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87B7E11-F44F-403D-8F46-D9093D14E71E" style="width:450.75pt;height:333.75pt">
            <v:imagedata r:id="rId9" o:title=""/>
          </v:shape>
        </w:pict>
      </w:r>
    </w:p>
    <w:bookmarkEnd w:id="0"/>
    <w:p>
      <w:pPr>
        <w:rPr>
          <w:rFonts w:eastAsiaTheme="minorHAnsi"/>
          <w:noProof/>
          <w:lang w:eastAsia="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1. Introduction</w:t>
      </w:r>
    </w:p>
    <w:p>
      <w:pPr>
        <w:spacing w:after="0"/>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purpose of the European Criminal Records Information System (ECRIS) is to improve the security of citizens within the EU Area of Freedom, Security and Justice, by enabling an efficient exchange between the Member States of information on previous criminal convictions handed down by criminal courts in the EU. ECRIS became operational in April 2012. It is regulated by Council Framework Decision 2009/315/JHA of 26 February 2009 on the organisation and content of the exchange of information extracted from the criminal record between Member States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and by Council Decision 2009/316/JHA of 6 April 2009 on the establishment of the European Criminal Records Information System</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29 June 2017 the Commission adopted its first Statistical Report in accordance with Article 7 of Council Decision 2009/316/JHA, which covered the period from </w:t>
      </w:r>
      <w:r>
        <w:rPr>
          <w:rFonts w:ascii="Times New Roman" w:hAnsi="Times New Roman"/>
          <w:noProof/>
          <w:sz w:val="24"/>
        </w:rPr>
        <w:t>April 2012 to 31 December 2016</w:t>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w:t>
      </w:r>
    </w:p>
    <w:p>
      <w:pPr>
        <w:jc w:val="both"/>
        <w:rPr>
          <w:rFonts w:ascii="Times New Roman" w:hAnsi="Times New Roman"/>
          <w:noProof/>
          <w:sz w:val="24"/>
        </w:rPr>
      </w:pPr>
      <w:r>
        <w:rPr>
          <w:rFonts w:ascii="Times New Roman" w:hAnsi="Times New Roman" w:cs="Times New Roman"/>
          <w:noProof/>
          <w:sz w:val="24"/>
          <w:szCs w:val="24"/>
        </w:rPr>
        <w:t xml:space="preserve">The present Report is the second statistical report of the Commission concerning the exchange through ECRIS of information extracted from the criminal records between the Member States. </w:t>
      </w:r>
      <w:r>
        <w:rPr>
          <w:rFonts w:ascii="Times New Roman" w:hAnsi="Times New Roman"/>
          <w:noProof/>
          <w:sz w:val="24"/>
        </w:rPr>
        <w:t>Its purpose is to present the compliance of the Member States' exchanges with the ECRIS legal framework and to identify any issues regarding the efficiency of the system, with a view to remedying the situation. The Commission reserves the right to take all appropriate action to ensure that the Member States fulfill these legal obligations as set in Framework Decision 2009/315/JHA.</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bookmarkStart w:id="2" w:name="_Toc479267018"/>
      <w:r>
        <w:rPr>
          <w:rFonts w:ascii="Times New Roman" w:hAnsi="Times New Roman" w:cs="Times New Roman"/>
          <w:b/>
          <w:noProof/>
          <w:sz w:val="24"/>
          <w:szCs w:val="24"/>
        </w:rPr>
        <w:t>1.1. ECRIS statistics</w:t>
      </w:r>
      <w:bookmarkEnd w:id="2"/>
      <w:r>
        <w:rPr>
          <w:rFonts w:ascii="Times New Roman" w:hAnsi="Times New Roman" w:cs="Times New Roman"/>
          <w:b/>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w:t>
      </w:r>
      <w:r>
        <w:rPr>
          <w:rFonts w:ascii="Times New Roman" w:hAnsi="Times New Roman"/>
          <w:noProof/>
          <w:sz w:val="24"/>
        </w:rPr>
        <w:t xml:space="preserve">gives an overview on the use of ECRIS since </w:t>
      </w:r>
      <w:r>
        <w:rPr>
          <w:rFonts w:ascii="Times New Roman" w:hAnsi="Times New Roman"/>
          <w:b/>
          <w:noProof/>
          <w:sz w:val="24"/>
        </w:rPr>
        <w:t xml:space="preserve">1 January 2017 to 31 December 2019, with an emphasis on </w:t>
      </w:r>
      <w:r>
        <w:rPr>
          <w:rFonts w:ascii="Times New Roman" w:hAnsi="Times New Roman" w:cs="Times New Roman"/>
          <w:b/>
          <w:noProof/>
          <w:sz w:val="24"/>
          <w:szCs w:val="24"/>
        </w:rPr>
        <w:t>2019</w:t>
      </w:r>
      <w:r>
        <w:rPr>
          <w:rFonts w:ascii="Times New Roman" w:hAnsi="Times New Roman" w:cs="Times New Roman"/>
          <w:noProof/>
          <w:sz w:val="24"/>
          <w:szCs w:val="24"/>
        </w:rPr>
        <w:t xml:space="preserve">. It is accompanied by Commission Staff Working Document </w:t>
      </w:r>
      <w:r>
        <w:rPr>
          <w:rFonts w:ascii="Times New Roman" w:hAnsi="Times New Roman" w:cs="Times New Roman"/>
          <w:noProof/>
          <w:sz w:val="24"/>
          <w:szCs w:val="24"/>
          <w:lang w:eastAsia="en-US"/>
        </w:rPr>
        <w:t xml:space="preserve">SWD/2020/378 (further: SWD). </w:t>
      </w:r>
      <w:r>
        <w:rPr>
          <w:rFonts w:ascii="Times New Roman" w:hAnsi="Times New Roman" w:cs="Times New Roman"/>
          <w:iCs/>
          <w:noProof/>
          <w:sz w:val="24"/>
          <w:szCs w:val="24"/>
          <w:lang w:val="en-US"/>
        </w:rPr>
        <w:t>While most of the tables and graphs in the report refer to 2019, the ones for 2017 and 2018 can be found in the accompanying SWD.</w:t>
      </w:r>
      <w:r>
        <w:rPr>
          <w:rFonts w:ascii="Calibri" w:hAnsi="Calibri" w:cs="Calibri"/>
          <w:i/>
          <w:iCs/>
          <w:noProof/>
          <w:sz w:val="22"/>
          <w:szCs w:val="22"/>
          <w:lang w:val="en-US"/>
        </w:rPr>
        <w:t xml:space="preserve"> </w:t>
      </w:r>
      <w:r>
        <w:rPr>
          <w:rFonts w:ascii="Times New Roman" w:hAnsi="Times New Roman" w:cs="Times New Roman"/>
          <w:noProof/>
          <w:sz w:val="24"/>
          <w:szCs w:val="24"/>
        </w:rPr>
        <w:t>Some statistics provided in the report give a general overview over the eight-year period of operation of ECRIS, since its “go live” in April 2012.  However, the comparative statistical data on all Member States, and the individual Member States' statistical tables (provided in section 3 of the SWD) cover ECRIS exchanges in the years 2017-2019. Where relevant, the statistics of 2016 were used as a reference point.</w:t>
      </w:r>
      <w:r>
        <w:rPr>
          <w:rFonts w:ascii="Times New Roman" w:hAnsi="Times New Roman"/>
          <w:noProof/>
          <w:sz w:val="24"/>
        </w:rPr>
        <w:t xml:space="preserve"> The report also includes data on the United Kingdom, as a EU Member State, until 2019.  </w:t>
      </w:r>
    </w:p>
    <w:p>
      <w:pPr>
        <w:jc w:val="both"/>
        <w:rPr>
          <w:rFonts w:ascii="Times New Roman" w:hAnsi="Times New Roman" w:cs="Times New Roman"/>
          <w:noProof/>
          <w:sz w:val="24"/>
          <w:szCs w:val="24"/>
        </w:rPr>
      </w:pPr>
      <w:r>
        <w:rPr>
          <w:rFonts w:ascii="Times New Roman" w:hAnsi="Times New Roman" w:cs="Times New Roman"/>
          <w:noProof/>
          <w:sz w:val="24"/>
          <w:szCs w:val="24"/>
        </w:rPr>
        <w:t>The report is based on the statistics automatically generated by the system and sent by the Member States to the Commission. Out of the 233 statistical indicators established for ECRIS, a choice was made to publish only the most relevant and meaningful information. In addition, the Member States were requested to communicate statistics on the number of convictions of nationals of other Member States (EU non-nationals) handed down on their territory, in order to be able to provide an overview of the implementation of the notification procedure. The report includes conviction data received from 23 Member States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1.2. General principles of the ECRIS system</w:t>
      </w:r>
    </w:p>
    <w:p>
      <w:pPr>
        <w:jc w:val="both"/>
        <w:rPr>
          <w:rFonts w:ascii="Times New Roman" w:hAnsi="Times New Roman" w:cs="Times New Roman"/>
          <w:noProof/>
          <w:sz w:val="24"/>
          <w:szCs w:val="24"/>
        </w:rPr>
      </w:pPr>
      <w:r>
        <w:rPr>
          <w:rFonts w:ascii="Times New Roman" w:hAnsi="Times New Roman" w:cs="Times New Roman"/>
          <w:noProof/>
          <w:sz w:val="24"/>
          <w:szCs w:val="24"/>
        </w:rPr>
        <w:t>ECRIS is based on a decentralised architecture, where criminal records information is exchanged electronically, exclusively between the Central Authorities of the Member States.</w:t>
      </w:r>
    </w:p>
    <w:p>
      <w:pPr>
        <w:jc w:val="both"/>
        <w:rPr>
          <w:rFonts w:ascii="Times New Roman" w:hAnsi="Times New Roman" w:cs="Times New Roman"/>
          <w:b/>
          <w:noProof/>
          <w:sz w:val="24"/>
          <w:szCs w:val="24"/>
        </w:rPr>
      </w:pPr>
      <w:r>
        <w:rPr>
          <w:rFonts w:ascii="Times New Roman" w:hAnsi="Times New Roman" w:cs="Times New Roman"/>
          <w:noProof/>
          <w:sz w:val="24"/>
          <w:szCs w:val="24"/>
        </w:rPr>
        <w:t>Each Member State having convicted a citizen of another Member State is obliged to notify through ECRIS the Member State in question (hereinafter Member State of nationality), as soon as possible, of all information related to the conviction (</w:t>
      </w:r>
      <w:r>
        <w:rPr>
          <w:rFonts w:ascii="Times New Roman" w:hAnsi="Times New Roman" w:cs="Times New Roman"/>
          <w:b/>
          <w:noProof/>
          <w:sz w:val="24"/>
          <w:szCs w:val="24"/>
        </w:rPr>
        <w:t>notifications on new convictions</w:t>
      </w:r>
      <w:r>
        <w:rPr>
          <w:rFonts w:ascii="Times New Roman" w:hAnsi="Times New Roman" w:cs="Times New Roman"/>
          <w:noProof/>
          <w:sz w:val="24"/>
          <w:szCs w:val="24"/>
        </w:rPr>
        <w:t>), and any subsequent updates (</w:t>
      </w:r>
      <w:r>
        <w:rPr>
          <w:rFonts w:ascii="Times New Roman" w:hAnsi="Times New Roman" w:cs="Times New Roman"/>
          <w:b/>
          <w:noProof/>
          <w:sz w:val="24"/>
          <w:szCs w:val="24"/>
        </w:rPr>
        <w:t>notifications on updates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Member State of nationality thus maintains a central repository of all convictions handed down against its nationals by criminal courts in the other EU Member States, in addition to any convictions handed down in the Member State itself. The Member State of nationality is then obliged to store and update all information received through ECRIS, and to provide full criminal records information (</w:t>
      </w:r>
      <w:r>
        <w:rPr>
          <w:rFonts w:ascii="Times New Roman" w:hAnsi="Times New Roman" w:cs="Times New Roman"/>
          <w:b/>
          <w:noProof/>
          <w:sz w:val="24"/>
          <w:szCs w:val="24"/>
        </w:rPr>
        <w:t>replies to requests</w:t>
      </w:r>
      <w:r>
        <w:rPr>
          <w:rFonts w:ascii="Times New Roman" w:hAnsi="Times New Roman" w:cs="Times New Roman"/>
          <w:noProof/>
          <w:sz w:val="24"/>
          <w:szCs w:val="24"/>
        </w:rPr>
        <w:t>) when requested by another Member State (</w:t>
      </w:r>
      <w:r>
        <w:rPr>
          <w:rFonts w:ascii="Times New Roman" w:hAnsi="Times New Roman" w:cs="Times New Roman"/>
          <w:b/>
          <w:noProof/>
          <w:sz w:val="24"/>
          <w:szCs w:val="24"/>
        </w:rPr>
        <w:t>requests for information</w:t>
      </w:r>
      <w:r>
        <w:rPr>
          <w:rFonts w:ascii="Times New Roman" w:hAnsi="Times New Roman" w:cs="Times New Roman"/>
          <w:noProof/>
          <w:sz w:val="24"/>
          <w:szCs w:val="24"/>
        </w:rPr>
        <w:t xml:space="preserve">), within </w:t>
      </w:r>
      <w:r>
        <w:rPr>
          <w:rFonts w:ascii="Times New Roman" w:hAnsi="Times New Roman" w:cs="Times New Roman"/>
          <w:b/>
          <w:noProof/>
          <w:sz w:val="24"/>
          <w:szCs w:val="24"/>
        </w:rPr>
        <w:t>short deadlines of 10 or 20 days.</w:t>
      </w:r>
      <w:r>
        <w:rPr>
          <w:rStyle w:val="FootnoteReference"/>
          <w:rFonts w:ascii="Times New Roman" w:hAnsi="Times New Roman" w:cs="Times New Roman"/>
          <w:b/>
          <w:noProof/>
          <w:sz w:val="24"/>
          <w:szCs w:val="24"/>
        </w:rPr>
        <w:footnoteReference w:id="6"/>
      </w:r>
    </w:p>
    <w:p>
      <w:pPr>
        <w:spacing w:after="0"/>
        <w:jc w:val="both"/>
        <w:rPr>
          <w:rFonts w:ascii="Times New Roman" w:hAnsi="Times New Roman" w:cs="Times New Roman"/>
          <w:noProof/>
          <w:sz w:val="24"/>
          <w:szCs w:val="24"/>
        </w:rPr>
      </w:pPr>
      <w:bookmarkStart w:id="3" w:name="_Hlk480363534"/>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bookmarkStart w:id="4" w:name="_Toc479267019"/>
      <w:bookmarkEnd w:id="3"/>
      <w:r>
        <w:rPr>
          <w:rFonts w:ascii="Times New Roman" w:hAnsi="Times New Roman" w:cs="Times New Roman"/>
          <w:b/>
          <w:noProof/>
          <w:sz w:val="24"/>
          <w:szCs w:val="24"/>
        </w:rPr>
        <w:t>2. ECRIS exchanges in numbers</w:t>
      </w:r>
      <w:bookmarkStart w:id="5" w:name="_Ref366147146"/>
      <w:bookmarkStart w:id="6" w:name="_Toc479267020"/>
      <w:bookmarkEnd w:id="4"/>
    </w:p>
    <w:p>
      <w:pPr>
        <w:jc w:val="both"/>
        <w:rPr>
          <w:rFonts w:ascii="Times New Roman" w:hAnsi="Times New Roman" w:cs="Times New Roman"/>
          <w:bCs/>
          <w:smallCaps/>
          <w:noProof/>
          <w:sz w:val="24"/>
          <w:szCs w:val="24"/>
        </w:rPr>
      </w:pPr>
    </w:p>
    <w:p>
      <w:pPr>
        <w:jc w:val="both"/>
        <w:rPr>
          <w:rFonts w:ascii="Times New Roman" w:hAnsi="Times New Roman" w:cs="Times New Roman"/>
          <w:b/>
          <w:noProof/>
          <w:sz w:val="24"/>
          <w:szCs w:val="24"/>
        </w:rPr>
      </w:pPr>
      <w:r>
        <w:rPr>
          <w:rFonts w:ascii="Times New Roman" w:hAnsi="Times New Roman" w:cs="Times New Roman"/>
          <w:b/>
          <w:bCs/>
          <w:smallCaps/>
          <w:noProof/>
          <w:sz w:val="24"/>
          <w:szCs w:val="24"/>
        </w:rPr>
        <w:t xml:space="preserve">2.1. </w:t>
      </w:r>
      <w:r>
        <w:rPr>
          <w:rFonts w:ascii="Times New Roman" w:hAnsi="Times New Roman" w:cs="Times New Roman"/>
          <w:b/>
          <w:noProof/>
          <w:sz w:val="24"/>
          <w:szCs w:val="24"/>
        </w:rPr>
        <w:t>Connected Member States</w:t>
      </w:r>
      <w:bookmarkEnd w:id="5"/>
      <w:bookmarkEnd w:id="6"/>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ECRIS is a decentralised system where all Member States should be interconnected with each other. A Member State is considered connected to ECRIS if it exchanges criminal records information with at least one other connected Member State. </w:t>
      </w:r>
      <w:bookmarkStart w:id="7" w:name="_Hlk481158166"/>
      <w:r>
        <w:rPr>
          <w:rFonts w:ascii="Times New Roman" w:hAnsi="Times New Roman" w:cs="Times New Roman"/>
          <w:b/>
          <w:noProof/>
          <w:sz w:val="24"/>
          <w:szCs w:val="24"/>
        </w:rPr>
        <w:t>All Member States are currently connected to ECRIS</w:t>
      </w:r>
      <w:r>
        <w:rPr>
          <w:rFonts w:ascii="Times New Roman" w:hAnsi="Times New Roman" w:cs="Times New Roman"/>
          <w:noProof/>
          <w:sz w:val="24"/>
          <w:szCs w:val="24"/>
        </w:rPr>
        <w:t xml:space="preserve"> and exchange criminal records information </w:t>
      </w:r>
      <w:r>
        <w:rPr>
          <w:rFonts w:ascii="Times New Roman" w:hAnsi="Times New Roman" w:cs="Times New Roman"/>
          <w:b/>
          <w:bCs/>
          <w:noProof/>
          <w:sz w:val="24"/>
          <w:szCs w:val="24"/>
        </w:rPr>
        <w:t>with</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 on average - 24 other Member States</w:t>
      </w:r>
      <w:r>
        <w:rPr>
          <w:rFonts w:ascii="Times New Roman" w:hAnsi="Times New Roman" w:cs="Times New Roman"/>
          <w:noProof/>
          <w:sz w:val="24"/>
          <w:szCs w:val="24"/>
        </w:rPr>
        <w:t>.</w:t>
      </w:r>
      <w:bookmarkEnd w:id="7"/>
      <w:r>
        <w:rPr>
          <w:rStyle w:val="FootnoteReference"/>
          <w:rFonts w:ascii="Times New Roman" w:hAnsi="Times New Roman" w:cs="Times New Roman"/>
          <w:noProof/>
          <w:sz w:val="24"/>
          <w:szCs w:val="24"/>
        </w:rPr>
        <w:footnoteReference w:id="7"/>
      </w:r>
    </w:p>
    <w:p>
      <w:pPr>
        <w:jc w:val="both"/>
        <w:rPr>
          <w:rFonts w:ascii="Times New Roman" w:hAnsi="Times New Roman" w:cs="Times New Roman"/>
          <w:noProof/>
          <w:sz w:val="24"/>
          <w:szCs w:val="24"/>
        </w:rPr>
      </w:pPr>
      <w:r>
        <w:rPr>
          <w:rFonts w:ascii="Times New Roman" w:hAnsi="Times New Roman" w:cs="Times New Roman"/>
          <w:noProof/>
          <w:sz w:val="24"/>
          <w:szCs w:val="24"/>
        </w:rPr>
        <w:t>The total possible number of interconnections is 756 (27*28)</w:t>
      </w:r>
      <w:r>
        <w:rPr>
          <w:rStyle w:val="FootnoteReference"/>
          <w:rFonts w:ascii="Times New Roman" w:hAnsi="Times New Roman" w:cs="Times New Roman"/>
          <w:noProof/>
          <w:sz w:val="24"/>
          <w:szCs w:val="24"/>
        </w:rPr>
        <w:footnoteReference w:id="8"/>
      </w:r>
      <w:bookmarkStart w:id="8" w:name="_Hlk481160969"/>
      <w:r>
        <w:rPr>
          <w:rFonts w:ascii="Times New Roman" w:hAnsi="Times New Roman" w:cs="Times New Roman"/>
          <w:noProof/>
          <w:sz w:val="24"/>
          <w:szCs w:val="24"/>
        </w:rPr>
        <w:t xml:space="preserve">. Although all Member States are now connected to ECRIS, </w:t>
      </w:r>
      <w:r>
        <w:rPr>
          <w:rFonts w:ascii="Times New Roman" w:hAnsi="Times New Roman" w:cs="Times New Roman"/>
          <w:b/>
          <w:noProof/>
          <w:sz w:val="24"/>
          <w:szCs w:val="24"/>
        </w:rPr>
        <w:t xml:space="preserve">only one Member State is effectively exchanging information with all the others through ECRIS (ES). </w:t>
      </w:r>
      <w:r>
        <w:rPr>
          <w:rFonts w:ascii="Times New Roman" w:hAnsi="Times New Roman" w:cs="Times New Roman"/>
          <w:noProof/>
          <w:sz w:val="24"/>
          <w:szCs w:val="24"/>
        </w:rPr>
        <w:t>For the majority of the Member States, one or two interconnections are still missing.</w:t>
      </w:r>
      <w:bookmarkEnd w:id="8"/>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ECRIS system started in 2012 with a total of 173 interconnections out of 756 possible (with 28 Member States “live”). </w:t>
      </w:r>
      <w:bookmarkStart w:id="9" w:name="_Hlk481158260"/>
      <w:r>
        <w:rPr>
          <w:rFonts w:ascii="Times New Roman" w:hAnsi="Times New Roman" w:cs="Times New Roman"/>
          <w:noProof/>
          <w:sz w:val="24"/>
          <w:szCs w:val="24"/>
        </w:rPr>
        <w:t xml:space="preserve">By the end of 2019, </w:t>
      </w:r>
      <w:r>
        <w:rPr>
          <w:rFonts w:ascii="Times New Roman" w:hAnsi="Times New Roman" w:cs="Times New Roman"/>
          <w:b/>
          <w:bCs/>
          <w:noProof/>
          <w:sz w:val="24"/>
          <w:szCs w:val="24"/>
        </w:rPr>
        <w:t>670 interconnections</w:t>
      </w:r>
      <w:r>
        <w:rPr>
          <w:rFonts w:ascii="Times New Roman" w:hAnsi="Times New Roman" w:cs="Times New Roman"/>
          <w:noProof/>
          <w:sz w:val="24"/>
          <w:szCs w:val="24"/>
        </w:rPr>
        <w:t xml:space="preserve"> had been established, representing </w:t>
      </w:r>
      <w:r>
        <w:rPr>
          <w:rFonts w:ascii="Times New Roman" w:hAnsi="Times New Roman" w:cs="Times New Roman"/>
          <w:b/>
          <w:noProof/>
          <w:sz w:val="24"/>
          <w:szCs w:val="24"/>
        </w:rPr>
        <w:t>90% of the total number of possible interconnections</w:t>
      </w:r>
      <w:r>
        <w:rPr>
          <w:rStyle w:val="FootnoteReference"/>
          <w:rFonts w:ascii="Times New Roman" w:hAnsi="Times New Roman" w:cs="Times New Roman"/>
          <w:b/>
          <w:noProof/>
          <w:sz w:val="24"/>
          <w:szCs w:val="24"/>
        </w:rPr>
        <w:footnoteReference w:id="9"/>
      </w:r>
      <w:r>
        <w:rPr>
          <w:rFonts w:ascii="Times New Roman" w:hAnsi="Times New Roman" w:cs="Times New Roman"/>
          <w:noProof/>
          <w:sz w:val="24"/>
          <w:szCs w:val="24"/>
        </w:rPr>
        <w:t xml:space="preserve">. </w:t>
      </w:r>
      <w:bookmarkStart w:id="10" w:name="_Hlk481160416"/>
    </w:p>
    <w:bookmarkEnd w:id="10"/>
    <w:p>
      <w:pPr>
        <w:jc w:val="both"/>
        <w:rPr>
          <w:rFonts w:ascii="Times New Roman" w:hAnsi="Times New Roman" w:cs="Times New Roman"/>
          <w:noProof/>
          <w:sz w:val="24"/>
          <w:szCs w:val="24"/>
        </w:rPr>
      </w:pPr>
      <w:r>
        <w:rPr>
          <w:rFonts w:ascii="Times New Roman" w:hAnsi="Times New Roman" w:cs="Times New Roman"/>
          <w:noProof/>
          <w:sz w:val="24"/>
          <w:szCs w:val="24"/>
        </w:rPr>
        <w:t>Nevertheless, the ultimate goal is not yet completely achieved, as not all Member States are connected to and exchange information with all the other Member States through ECRIS. </w:t>
      </w:r>
    </w:p>
    <w:p>
      <w:pPr>
        <w:jc w:val="both"/>
        <w:rPr>
          <w:rFonts w:ascii="Times New Roman" w:hAnsi="Times New Roman" w:cs="Times New Roman"/>
          <w:b/>
          <w:bCs/>
          <w:smallCaps/>
          <w:noProof/>
          <w:sz w:val="24"/>
          <w:szCs w:val="24"/>
        </w:rPr>
      </w:pPr>
      <w:bookmarkStart w:id="11" w:name="_Toc479267021"/>
      <w:bookmarkEnd w:id="9"/>
    </w:p>
    <w:p>
      <w:pPr>
        <w:jc w:val="both"/>
        <w:rPr>
          <w:rFonts w:ascii="Times New Roman" w:hAnsi="Times New Roman" w:cs="Times New Roman"/>
          <w:b/>
          <w:noProof/>
          <w:sz w:val="24"/>
          <w:szCs w:val="24"/>
        </w:rPr>
      </w:pPr>
      <w:r>
        <w:rPr>
          <w:rFonts w:ascii="Times New Roman" w:hAnsi="Times New Roman" w:cs="Times New Roman"/>
          <w:b/>
          <w:bCs/>
          <w:smallCaps/>
          <w:noProof/>
          <w:sz w:val="24"/>
          <w:szCs w:val="24"/>
        </w:rPr>
        <w:t xml:space="preserve">2.2. </w:t>
      </w:r>
      <w:r>
        <w:rPr>
          <w:rFonts w:ascii="Times New Roman" w:hAnsi="Times New Roman" w:cs="Times New Roman"/>
          <w:b/>
          <w:noProof/>
          <w:sz w:val="24"/>
          <w:szCs w:val="24"/>
        </w:rPr>
        <w:t>Total number of messages</w:t>
      </w:r>
      <w:bookmarkEnd w:id="11"/>
      <w:r>
        <w:rPr>
          <w:rFonts w:ascii="Times New Roman" w:hAnsi="Times New Roman" w:cs="Times New Roman"/>
          <w:b/>
          <w:noProof/>
          <w:sz w:val="24"/>
          <w:szCs w:val="24"/>
        </w:rPr>
        <w:t xml:space="preserve"> exchanged</w:t>
      </w:r>
    </w:p>
    <w:p>
      <w:pPr>
        <w:jc w:val="both"/>
        <w:rPr>
          <w:rFonts w:ascii="Times New Roman" w:hAnsi="Times New Roman" w:cs="Times New Roman"/>
          <w:noProof/>
          <w:sz w:val="24"/>
          <w:szCs w:val="24"/>
        </w:rPr>
      </w:pPr>
      <w:r>
        <w:rPr>
          <w:rFonts w:ascii="Times New Roman" w:hAnsi="Times New Roman" w:cs="Times New Roman"/>
          <w:noProof/>
          <w:sz w:val="24"/>
          <w:szCs w:val="24"/>
        </w:rPr>
        <w:t>The graph below illustrates the rapidly growing yearly volume of messages exchanged between the connected Member States since the ECRIS "go live" in April 2012 until 31 December 2019. It needs to be noted that there were only 8 months of activity in 2012.</w:t>
      </w:r>
    </w:p>
    <w:p>
      <w:pPr>
        <w:rPr>
          <w:rFonts w:ascii="Times New Roman" w:hAnsi="Times New Roman" w:cs="Times New Roman"/>
          <w:noProof/>
          <w:sz w:val="24"/>
          <w:szCs w:val="24"/>
          <w:highlight w:val="yellow"/>
        </w:rPr>
      </w:pPr>
      <w:r>
        <w:rPr>
          <w:noProof/>
        </w:rPr>
        <w:drawing>
          <wp:inline distT="0" distB="0" distL="0" distR="0">
            <wp:extent cx="5248275" cy="3829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48275" cy="3829050"/>
                    </a:xfrm>
                    <a:prstGeom prst="rect">
                      <a:avLst/>
                    </a:prstGeom>
                  </pic:spPr>
                </pic:pic>
              </a:graphicData>
            </a:graphic>
          </wp:inline>
        </w:drawing>
      </w:r>
    </w:p>
    <w:p>
      <w:pPr>
        <w:jc w:val="both"/>
        <w:rPr>
          <w:rFonts w:ascii="Times New Roman" w:hAnsi="Times New Roman" w:cs="Times New Roman"/>
          <w:noProof/>
          <w:sz w:val="24"/>
          <w:szCs w:val="24"/>
        </w:rPr>
      </w:pPr>
      <w:bookmarkStart w:id="12" w:name="_Hlk481162649"/>
      <w:bookmarkStart w:id="13" w:name="_Hlk481160518"/>
      <w:r>
        <w:rPr>
          <w:rFonts w:ascii="Times New Roman" w:hAnsi="Times New Roman" w:cs="Times New Roman"/>
          <w:noProof/>
          <w:sz w:val="24"/>
          <w:szCs w:val="24"/>
        </w:rPr>
        <w:t xml:space="preserve">From 2 million messages exchanged by all interconnected Member States in 2016, the number reached nearly </w:t>
      </w:r>
      <w:r>
        <w:rPr>
          <w:rFonts w:ascii="Times New Roman" w:hAnsi="Times New Roman" w:cs="Times New Roman"/>
          <w:b/>
          <w:noProof/>
          <w:sz w:val="24"/>
          <w:szCs w:val="24"/>
        </w:rPr>
        <w:t xml:space="preserve">4,2 million in 2019 </w:t>
      </w:r>
      <w:r>
        <w:rPr>
          <w:rFonts w:ascii="Times New Roman" w:hAnsi="Times New Roman" w:cs="Times New Roman"/>
          <w:noProof/>
          <w:sz w:val="24"/>
          <w:szCs w:val="24"/>
        </w:rPr>
        <w:t>with an</w:t>
      </w:r>
      <w:r>
        <w:rPr>
          <w:rFonts w:ascii="Times New Roman" w:hAnsi="Times New Roman" w:cs="Times New Roman"/>
          <w:b/>
          <w:noProof/>
          <w:sz w:val="24"/>
          <w:szCs w:val="24"/>
        </w:rPr>
        <w:t xml:space="preserve"> average of 348.000 messages per month</w:t>
      </w:r>
      <w:r>
        <w:rPr>
          <w:rFonts w:ascii="Times New Roman" w:hAnsi="Times New Roman" w:cs="Times New Roman"/>
          <w:noProof/>
          <w:sz w:val="24"/>
          <w:szCs w:val="24"/>
        </w:rPr>
        <w:t>.</w:t>
      </w:r>
      <w:bookmarkEnd w:id="12"/>
      <w:r>
        <w:rPr>
          <w:rFonts w:ascii="Times New Roman" w:hAnsi="Times New Roman" w:cs="Times New Roman"/>
          <w:noProof/>
          <w:sz w:val="24"/>
          <w:szCs w:val="24"/>
        </w:rPr>
        <w:t xml:space="preserve"> All types of messages are included in these volumes: notifications, updates, requests, replies, denials, other replies, exchanges of additional information, etc. </w:t>
      </w:r>
    </w:p>
    <w:p>
      <w:pPr>
        <w:jc w:val="both"/>
        <w:rPr>
          <w:rFonts w:ascii="Times New Roman" w:hAnsi="Times New Roman" w:cs="Times New Roman"/>
          <w:noProof/>
          <w:sz w:val="24"/>
          <w:szCs w:val="24"/>
        </w:rPr>
      </w:pPr>
      <w:r>
        <w:rPr>
          <w:rFonts w:ascii="Times New Roman" w:hAnsi="Times New Roman" w:cs="Times New Roman"/>
          <w:noProof/>
          <w:sz w:val="24"/>
          <w:szCs w:val="24"/>
        </w:rPr>
        <w:t>The graph below presents the trend of notifications, requests and replies to requests over the eight years of ECRIS operation. Only notifications on new convictions were taken into consideration, without updates. Replies include request replies, request denials and other replies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noProof/>
        </w:rPr>
        <w:drawing>
          <wp:inline distT="0" distB="0" distL="0" distR="0">
            <wp:extent cx="6153150" cy="3390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53150" cy="3390900"/>
                    </a:xfrm>
                    <a:prstGeom prst="rect">
                      <a:avLst/>
                    </a:prstGeom>
                  </pic:spPr>
                </pic:pic>
              </a:graphicData>
            </a:graphic>
          </wp:inline>
        </w:drawing>
      </w:r>
    </w:p>
    <w:p>
      <w:pPr>
        <w:jc w:val="both"/>
        <w:rPr>
          <w:rFonts w:ascii="Times New Roman" w:hAnsi="Times New Roman" w:cs="Times New Roman"/>
          <w:noProof/>
          <w:sz w:val="24"/>
          <w:szCs w:val="24"/>
        </w:rPr>
      </w:pPr>
      <w:bookmarkStart w:id="14" w:name="_Hlk481162482"/>
    </w:p>
    <w:p>
      <w:pPr>
        <w:jc w:val="both"/>
        <w:rPr>
          <w:rFonts w:ascii="Times New Roman" w:hAnsi="Times New Roman" w:cs="Times New Roman"/>
          <w:b/>
          <w:noProof/>
          <w:sz w:val="24"/>
          <w:szCs w:val="24"/>
        </w:rPr>
      </w:pPr>
      <w:r>
        <w:rPr>
          <w:rFonts w:ascii="Times New Roman" w:hAnsi="Times New Roman" w:cs="Times New Roman"/>
          <w:noProof/>
          <w:sz w:val="24"/>
          <w:szCs w:val="24"/>
        </w:rPr>
        <w:t xml:space="preserve">The last three years have brought a </w:t>
      </w:r>
      <w:r>
        <w:rPr>
          <w:rFonts w:ascii="Times New Roman" w:hAnsi="Times New Roman" w:cs="Times New Roman"/>
          <w:b/>
          <w:bCs/>
          <w:noProof/>
          <w:sz w:val="24"/>
          <w:szCs w:val="24"/>
        </w:rPr>
        <w:t>radical change in the proportions between</w:t>
      </w:r>
      <w:r>
        <w:rPr>
          <w:rFonts w:ascii="Times New Roman" w:hAnsi="Times New Roman" w:cs="Times New Roman"/>
          <w:noProof/>
          <w:sz w:val="24"/>
          <w:szCs w:val="24"/>
        </w:rPr>
        <w:t xml:space="preserve"> the number of</w:t>
      </w:r>
      <w:r>
        <w:rPr>
          <w:rFonts w:ascii="Times New Roman" w:hAnsi="Times New Roman" w:cs="Times New Roman"/>
          <w:b/>
          <w:noProof/>
          <w:sz w:val="24"/>
          <w:szCs w:val="24"/>
        </w:rPr>
        <w:t xml:space="preserve"> notifications on new convictions, requests and replies</w:t>
      </w:r>
      <w:r>
        <w:rPr>
          <w:rFonts w:ascii="Times New Roman" w:hAnsi="Times New Roman" w:cs="Times New Roman"/>
          <w:noProof/>
          <w:sz w:val="24"/>
          <w:szCs w:val="24"/>
        </w:rPr>
        <w:t xml:space="preserve"> </w:t>
      </w:r>
      <w:r>
        <w:rPr>
          <w:rFonts w:ascii="Times New Roman" w:hAnsi="Times New Roman" w:cs="Times New Roman"/>
          <w:b/>
          <w:noProof/>
          <w:sz w:val="24"/>
          <w:szCs w:val="24"/>
        </w:rPr>
        <w:t>to requests</w:t>
      </w:r>
      <w:r>
        <w:rPr>
          <w:rFonts w:ascii="Times New Roman" w:hAnsi="Times New Roman" w:cs="Times New Roman"/>
          <w:noProof/>
          <w:sz w:val="24"/>
          <w:szCs w:val="24"/>
        </w:rPr>
        <w:t xml:space="preserve">. In 2016 the numbers were almost equal for each of these three categories and amounted roughly to </w:t>
      </w:r>
      <w:r>
        <w:rPr>
          <w:rFonts w:ascii="Times New Roman" w:hAnsi="Times New Roman" w:cs="Times New Roman"/>
          <w:bCs/>
          <w:noProof/>
          <w:sz w:val="24"/>
          <w:szCs w:val="24"/>
        </w:rPr>
        <w:t>350.000 per year per category. In 2019 the number of requests for information and the related number of replies to requests were over three times higher than the number of notifications.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2017 </w:t>
      </w:r>
      <w:r>
        <w:rPr>
          <w:rFonts w:ascii="Times New Roman" w:hAnsi="Times New Roman" w:cs="Times New Roman"/>
          <w:b/>
          <w:noProof/>
          <w:sz w:val="24"/>
          <w:szCs w:val="24"/>
        </w:rPr>
        <w:t>the number of notifications on new convictions has dropped</w:t>
      </w:r>
      <w:r>
        <w:rPr>
          <w:rFonts w:ascii="Times New Roman" w:hAnsi="Times New Roman" w:cs="Times New Roman"/>
          <w:noProof/>
          <w:sz w:val="24"/>
          <w:szCs w:val="24"/>
        </w:rPr>
        <w:t xml:space="preserve"> and remained at the level of around </w:t>
      </w:r>
      <w:r>
        <w:rPr>
          <w:rFonts w:ascii="Times New Roman" w:hAnsi="Times New Roman" w:cs="Times New Roman"/>
          <w:b/>
          <w:bCs/>
          <w:noProof/>
          <w:sz w:val="24"/>
          <w:szCs w:val="24"/>
        </w:rPr>
        <w:t>310.000 until 2019</w:t>
      </w:r>
      <w:r>
        <w:rPr>
          <w:rFonts w:ascii="Times New Roman" w:hAnsi="Times New Roman" w:cs="Times New Roman"/>
          <w:noProof/>
          <w:sz w:val="24"/>
          <w:szCs w:val="24"/>
        </w:rPr>
        <w:t>. This downward tendency is surprising in the light of the increasing number of interconnections between the Member States. As indicated in section 2.4. below, some Member States had problems with notifying all new convictions.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contrast, the </w:t>
      </w:r>
      <w:r>
        <w:rPr>
          <w:rFonts w:ascii="Times New Roman" w:hAnsi="Times New Roman" w:cs="Times New Roman"/>
          <w:b/>
          <w:noProof/>
          <w:sz w:val="24"/>
          <w:szCs w:val="24"/>
        </w:rPr>
        <w:t>number of requests for information</w:t>
      </w:r>
      <w:r>
        <w:rPr>
          <w:rFonts w:ascii="Times New Roman" w:hAnsi="Times New Roman" w:cs="Times New Roman"/>
          <w:noProof/>
          <w:sz w:val="24"/>
          <w:szCs w:val="24"/>
        </w:rPr>
        <w:t xml:space="preserve"> and the related replies to requests </w:t>
      </w:r>
      <w:r>
        <w:rPr>
          <w:rFonts w:ascii="Times New Roman" w:hAnsi="Times New Roman" w:cs="Times New Roman"/>
          <w:b/>
          <w:noProof/>
          <w:sz w:val="24"/>
          <w:szCs w:val="24"/>
        </w:rPr>
        <w:t>has tripled since 2017 – and reached 1 m</w:t>
      </w:r>
      <w:r>
        <w:rPr>
          <w:rFonts w:ascii="Times New Roman" w:hAnsi="Times New Roman" w:cs="Times New Roman"/>
          <w:b/>
          <w:bCs/>
          <w:noProof/>
          <w:sz w:val="24"/>
          <w:szCs w:val="24"/>
        </w:rPr>
        <w:t>illion</w:t>
      </w:r>
      <w:r>
        <w:rPr>
          <w:rFonts w:ascii="Times New Roman" w:hAnsi="Times New Roman" w:cs="Times New Roman"/>
          <w:noProof/>
          <w:sz w:val="24"/>
          <w:szCs w:val="24"/>
        </w:rPr>
        <w:t xml:space="preserve"> for each of these categories in 2019. This</w:t>
      </w:r>
      <w:r>
        <w:rPr>
          <w:rFonts w:ascii="Times New Roman" w:hAnsi="Times New Roman" w:cs="Times New Roman"/>
          <w:b/>
          <w:noProof/>
          <w:sz w:val="24"/>
          <w:szCs w:val="24"/>
        </w:rPr>
        <w:t xml:space="preserve"> dramatic increase in the requests for information </w:t>
      </w:r>
      <w:r>
        <w:rPr>
          <w:rFonts w:ascii="Times New Roman" w:hAnsi="Times New Roman" w:cs="Times New Roman"/>
          <w:noProof/>
          <w:sz w:val="24"/>
          <w:szCs w:val="24"/>
        </w:rPr>
        <w:t>is due mostly to the</w:t>
      </w:r>
      <w:r>
        <w:rPr>
          <w:rFonts w:ascii="Times New Roman" w:hAnsi="Times New Roman" w:cs="Times New Roman"/>
          <w:b/>
          <w:noProof/>
          <w:sz w:val="24"/>
          <w:szCs w:val="24"/>
        </w:rPr>
        <w:t xml:space="preserve"> </w:t>
      </w:r>
      <w:r>
        <w:rPr>
          <w:rFonts w:ascii="Times New Roman" w:hAnsi="Times New Roman" w:cs="Times New Roman"/>
          <w:b/>
          <w:bCs/>
          <w:noProof/>
          <w:sz w:val="24"/>
          <w:szCs w:val="24"/>
        </w:rPr>
        <w:t>shift in the use of ECRIS, which is not anymore mainly used for the purpose of criminal proceedings, but also more and more for purposes other than criminal proceedings</w:t>
      </w:r>
      <w:r>
        <w:rPr>
          <w:rFonts w:ascii="Times New Roman" w:hAnsi="Times New Roman" w:cs="Times New Roman"/>
          <w:bCs/>
          <w:noProof/>
          <w:sz w:val="24"/>
          <w:szCs w:val="24"/>
        </w:rPr>
        <w:t>.</w:t>
      </w:r>
      <w:r>
        <w:rPr>
          <w:rFonts w:ascii="Times New Roman" w:hAnsi="Times New Roman" w:cs="Times New Roman"/>
          <w:noProof/>
          <w:sz w:val="24"/>
          <w:szCs w:val="24"/>
        </w:rPr>
        <w:t xml:space="preserve"> For further details, see section 2.8. It is also a positive sign of rising awareness in the Member States of the need to use ECRIS to request information in the course of criminal proceedings in order to be able to take account of previous convictions, in line with Framework Decision 2008/675/JHA</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jc w:val="both"/>
        <w:rPr>
          <w:rFonts w:ascii="Times New Roman" w:hAnsi="Times New Roman" w:cs="Times New Roman"/>
          <w:b/>
          <w:noProof/>
          <w:sz w:val="24"/>
          <w:szCs w:val="24"/>
        </w:rPr>
      </w:pPr>
      <w:bookmarkStart w:id="15" w:name="_Toc479267022"/>
      <w:bookmarkEnd w:id="13"/>
      <w:bookmarkEnd w:id="14"/>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2.3. Number of notifications, requests and </w:t>
      </w:r>
      <w:bookmarkEnd w:id="15"/>
      <w:r>
        <w:rPr>
          <w:rFonts w:ascii="Times New Roman" w:hAnsi="Times New Roman" w:cs="Times New Roman"/>
          <w:b/>
          <w:noProof/>
          <w:sz w:val="24"/>
          <w:szCs w:val="24"/>
        </w:rPr>
        <w:t>replies per Member State</w:t>
      </w:r>
    </w:p>
    <w:p>
      <w:pPr>
        <w:jc w:val="both"/>
        <w:rPr>
          <w:rFonts w:ascii="Times New Roman" w:hAnsi="Times New Roman" w:cs="Times New Roman"/>
          <w:noProof/>
          <w:sz w:val="24"/>
          <w:szCs w:val="24"/>
        </w:rPr>
      </w:pPr>
      <w:r>
        <w:rPr>
          <w:rFonts w:ascii="Times New Roman" w:hAnsi="Times New Roman" w:cs="Times New Roman"/>
          <w:noProof/>
          <w:sz w:val="24"/>
          <w:szCs w:val="24"/>
        </w:rPr>
        <w:t>The graph below illustrates the number of notifications on new convictions, requests for information and replies for all interconnected Member States in 2019.</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pPr>
        <w:jc w:val="center"/>
        <w:rPr>
          <w:rFonts w:ascii="Times New Roman" w:hAnsi="Times New Roman" w:cs="Times New Roman"/>
          <w:noProof/>
          <w:sz w:val="24"/>
          <w:szCs w:val="24"/>
        </w:rPr>
      </w:pPr>
      <w:r>
        <w:rPr>
          <w:noProof/>
        </w:rPr>
        <w:drawing>
          <wp:inline distT="0" distB="0" distL="0" distR="0">
            <wp:extent cx="6124575" cy="408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5076" cy="4086559"/>
                    </a:xfrm>
                    <a:prstGeom prst="rect">
                      <a:avLst/>
                    </a:prstGeom>
                  </pic:spPr>
                </pic:pic>
              </a:graphicData>
            </a:graphic>
          </wp:inline>
        </w:drawing>
      </w:r>
    </w:p>
    <w:p>
      <w:pPr>
        <w:jc w:val="both"/>
        <w:rPr>
          <w:rFonts w:ascii="Times New Roman" w:hAnsi="Times New Roman" w:cs="Times New Roman"/>
          <w:noProof/>
          <w:sz w:val="24"/>
          <w:szCs w:val="24"/>
        </w:rPr>
      </w:pPr>
      <w:bookmarkStart w:id="16" w:name="_Hlk481161857"/>
      <w:bookmarkStart w:id="17" w:name="_Hlk481162724"/>
    </w:p>
    <w:p>
      <w:pPr>
        <w:jc w:val="both"/>
        <w:rPr>
          <w:rFonts w:ascii="Times New Roman" w:hAnsi="Times New Roman" w:cs="Times New Roman"/>
          <w:noProof/>
          <w:sz w:val="24"/>
          <w:szCs w:val="24"/>
        </w:rPr>
      </w:pPr>
      <w:r>
        <w:rPr>
          <w:rFonts w:ascii="Times New Roman" w:hAnsi="Times New Roman" w:cs="Times New Roman"/>
          <w:noProof/>
          <w:sz w:val="24"/>
          <w:szCs w:val="24"/>
        </w:rPr>
        <w:t>Similar to the previous years, the most active Member States in terms of the total volume of these three types of message were those indicated below.</w:t>
      </w:r>
    </w:p>
    <w:p>
      <w:pPr>
        <w:jc w:val="center"/>
        <w:rPr>
          <w:rFonts w:ascii="Times New Roman" w:hAnsi="Times New Roman" w:cs="Times New Roman"/>
          <w:noProof/>
          <w:sz w:val="24"/>
          <w:szCs w:val="24"/>
        </w:rPr>
      </w:pPr>
      <w:r>
        <w:rPr>
          <w:noProof/>
        </w:rPr>
        <w:drawing>
          <wp:inline distT="0" distB="0" distL="0" distR="0">
            <wp:extent cx="3743325" cy="15525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552575"/>
                    </a:xfrm>
                    <a:prstGeom prst="rect">
                      <a:avLst/>
                    </a:prstGeom>
                  </pic:spPr>
                </pic:pic>
              </a:graphicData>
            </a:graphic>
          </wp:inline>
        </w:drawing>
      </w:r>
      <w:bookmarkEnd w:id="16"/>
    </w:p>
    <w:p>
      <w:pPr>
        <w:jc w:val="cente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figures demonstrate </w:t>
      </w:r>
      <w:r>
        <w:rPr>
          <w:rFonts w:ascii="Times New Roman" w:hAnsi="Times New Roman" w:cs="Times New Roman"/>
          <w:b/>
          <w:noProof/>
          <w:sz w:val="24"/>
          <w:szCs w:val="24"/>
        </w:rPr>
        <w:t>significant differences between the Member States' ECRIS activities and workload</w:t>
      </w:r>
      <w:r>
        <w:rPr>
          <w:rFonts w:ascii="Times New Roman" w:hAnsi="Times New Roman" w:cs="Times New Roman"/>
          <w:noProof/>
          <w:sz w:val="24"/>
          <w:szCs w:val="24"/>
        </w:rPr>
        <w:t>.</w:t>
      </w:r>
    </w:p>
    <w:bookmarkEnd w:id="17"/>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w:t>
      </w:r>
      <w:r>
        <w:rPr>
          <w:rFonts w:ascii="Times New Roman" w:hAnsi="Times New Roman" w:cs="Times New Roman"/>
          <w:b/>
          <w:bCs/>
          <w:noProof/>
          <w:sz w:val="24"/>
          <w:szCs w:val="24"/>
        </w:rPr>
        <w:t>request information considerably more often than they are requested</w:t>
      </w:r>
      <w:r>
        <w:rPr>
          <w:rFonts w:ascii="Times New Roman" w:hAnsi="Times New Roman" w:cs="Times New Roman"/>
          <w:noProof/>
          <w:sz w:val="24"/>
          <w:szCs w:val="24"/>
        </w:rPr>
        <w:t xml:space="preserve"> to provide information,: e.g. DE (745.000 requests sent, 32.400 requests received), UK (91.000 sent, 31.500 received) and CZ (38.500 sent, 24.700 received). Other Member States are confronted with a </w:t>
      </w:r>
      <w:r>
        <w:rPr>
          <w:rFonts w:ascii="Times New Roman" w:hAnsi="Times New Roman" w:cs="Times New Roman"/>
          <w:b/>
          <w:bCs/>
          <w:noProof/>
          <w:sz w:val="24"/>
          <w:szCs w:val="24"/>
        </w:rPr>
        <w:t>significant number of requests</w:t>
      </w:r>
      <w:r>
        <w:rPr>
          <w:rFonts w:ascii="Times New Roman" w:hAnsi="Times New Roman" w:cs="Times New Roman"/>
          <w:noProof/>
          <w:sz w:val="24"/>
          <w:szCs w:val="24"/>
        </w:rPr>
        <w:t xml:space="preserve">, while they send fewer requests: e.g. PL (197.300 replies given, 15.400 requests sent), RO (170.000 versus 1.200), IT (99.500 versus 1.500), HR (63.300 versus 3.000), SK (41.000 versus 900), HU (37.400 versus 500). Some other Member States </w:t>
      </w:r>
      <w:r>
        <w:rPr>
          <w:rFonts w:ascii="Times New Roman" w:hAnsi="Times New Roman" w:cs="Times New Roman"/>
          <w:b/>
          <w:bCs/>
          <w:noProof/>
          <w:sz w:val="24"/>
          <w:szCs w:val="24"/>
        </w:rPr>
        <w:t>send high volumes of notifications</w:t>
      </w:r>
      <w:r>
        <w:rPr>
          <w:rFonts w:ascii="Times New Roman" w:hAnsi="Times New Roman" w:cs="Times New Roman"/>
          <w:noProof/>
          <w:sz w:val="24"/>
          <w:szCs w:val="24"/>
        </w:rPr>
        <w:t xml:space="preserve"> on new convictions to the Member States of the offender's nationality, while they send fewer requests themselves: e.g. BE (36.300 notifications sent, 5.200 requests sent), IT (25.700 notifications, 1.500 requests).</w:t>
      </w:r>
    </w:p>
    <w:p>
      <w:pPr>
        <w:jc w:val="both"/>
        <w:rPr>
          <w:rFonts w:ascii="Times New Roman" w:hAnsi="Times New Roman" w:cs="Times New Roman"/>
          <w:b/>
          <w:noProof/>
          <w:sz w:val="24"/>
          <w:szCs w:val="24"/>
        </w:rPr>
      </w:pPr>
      <w:r>
        <w:rPr>
          <w:rFonts w:ascii="Times New Roman" w:hAnsi="Times New Roman" w:cs="Times New Roman"/>
          <w:b/>
          <w:noProof/>
          <w:sz w:val="24"/>
          <w:szCs w:val="24"/>
        </w:rPr>
        <w:t>2.4. Notifications</w:t>
      </w:r>
    </w:p>
    <w:p>
      <w:pPr>
        <w:jc w:val="both"/>
        <w:rPr>
          <w:rFonts w:ascii="Times New Roman" w:hAnsi="Times New Roman" w:cs="Times New Roman"/>
          <w:noProof/>
          <w:sz w:val="24"/>
          <w:szCs w:val="24"/>
        </w:rPr>
      </w:pPr>
      <w:r>
        <w:rPr>
          <w:rFonts w:ascii="Times New Roman" w:hAnsi="Times New Roman" w:cs="Times New Roman"/>
          <w:noProof/>
          <w:sz w:val="24"/>
          <w:szCs w:val="24"/>
        </w:rPr>
        <w:t>The graph below presents the volume of notifications issued by all interconnected Member States in 2019, broken down by notifications on new convictions and notifications updating previously sent notifications.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jc w:val="both"/>
        <w:rPr>
          <w:rStyle w:val="CommentReference"/>
          <w:rFonts w:ascii="Times New Roman" w:hAnsi="Times New Roman" w:cs="Times New Roman"/>
          <w:noProof/>
          <w:sz w:val="24"/>
          <w:szCs w:val="24"/>
        </w:rPr>
      </w:pPr>
      <w:r>
        <w:rPr>
          <w:noProof/>
        </w:rPr>
        <w:drawing>
          <wp:inline distT="0" distB="0" distL="0" distR="0">
            <wp:extent cx="6115050" cy="321972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37051" cy="3231307"/>
                    </a:xfrm>
                    <a:prstGeom prst="rect">
                      <a:avLst/>
                    </a:prstGeom>
                  </pic:spPr>
                </pic:pic>
              </a:graphicData>
            </a:graphic>
          </wp:inline>
        </w:drawing>
      </w:r>
      <w:bookmarkStart w:id="18" w:name="_Hlk481001185"/>
    </w:p>
    <w:p>
      <w:pPr>
        <w:jc w:val="both"/>
        <w:rPr>
          <w:rFonts w:ascii="Times New Roman" w:hAnsi="Times New Roman" w:cs="Times New Roman"/>
          <w:noProof/>
          <w:sz w:val="24"/>
          <w:szCs w:val="24"/>
        </w:rPr>
      </w:pPr>
      <w:r>
        <w:rPr>
          <w:rStyle w:val="CommentReference"/>
          <w:rFonts w:ascii="Times New Roman" w:hAnsi="Times New Roman" w:cs="Times New Roman"/>
          <w:noProof/>
          <w:sz w:val="24"/>
          <w:szCs w:val="24"/>
        </w:rPr>
        <w:t>T</w:t>
      </w:r>
      <w:r>
        <w:rPr>
          <w:rFonts w:ascii="Times New Roman" w:hAnsi="Times New Roman" w:cs="Times New Roman"/>
          <w:noProof/>
          <w:sz w:val="24"/>
          <w:szCs w:val="24"/>
        </w:rPr>
        <w:t xml:space="preserve">he </w:t>
      </w:r>
      <w:r>
        <w:rPr>
          <w:rFonts w:ascii="Times New Roman" w:hAnsi="Times New Roman" w:cs="Times New Roman"/>
          <w:b/>
          <w:noProof/>
          <w:sz w:val="24"/>
          <w:szCs w:val="24"/>
        </w:rPr>
        <w:t>volume of notifications varies considerably among Member States</w:t>
      </w:r>
      <w:r>
        <w:rPr>
          <w:rFonts w:ascii="Times New Roman" w:hAnsi="Times New Roman" w:cs="Times New Roman"/>
          <w:noProof/>
          <w:sz w:val="24"/>
          <w:szCs w:val="24"/>
        </w:rPr>
        <w:t>, from nearly 112.000 (DE) to zero notifications on new convictions (MT, PT) per year. There are mainly two factors to be taken into account in the analysis of these variations: the size of the country and the number of convictions of nationals of other Member States (EU non-national population)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jc w:val="both"/>
        <w:rPr>
          <w:rFonts w:ascii="Times New Roman" w:hAnsi="Times New Roman" w:cs="Times New Roman"/>
          <w:noProof/>
          <w:sz w:val="24"/>
          <w:szCs w:val="24"/>
        </w:rPr>
      </w:pPr>
      <w:bookmarkStart w:id="19" w:name="_Hlk480998606"/>
      <w:bookmarkStart w:id="20" w:name="_Hlk481162205"/>
      <w:r>
        <w:rPr>
          <w:rFonts w:ascii="Times New Roman" w:hAnsi="Times New Roman" w:cs="Times New Roman"/>
          <w:noProof/>
          <w:sz w:val="24"/>
          <w:szCs w:val="24"/>
        </w:rPr>
        <w:t xml:space="preserve">The </w:t>
      </w:r>
      <w:r>
        <w:rPr>
          <w:rFonts w:ascii="Times New Roman" w:hAnsi="Times New Roman" w:cs="Times New Roman"/>
          <w:b/>
          <w:noProof/>
          <w:sz w:val="24"/>
          <w:szCs w:val="24"/>
        </w:rPr>
        <w:t>most active</w:t>
      </w:r>
      <w:r>
        <w:rPr>
          <w:rFonts w:ascii="Times New Roman" w:hAnsi="Times New Roman" w:cs="Times New Roman"/>
          <w:noProof/>
          <w:sz w:val="24"/>
          <w:szCs w:val="24"/>
        </w:rPr>
        <w:t xml:space="preserve"> Member States in terms of sending</w:t>
      </w:r>
      <w:r>
        <w:rPr>
          <w:rFonts w:ascii="Times New Roman" w:hAnsi="Times New Roman" w:cs="Times New Roman"/>
          <w:b/>
          <w:noProof/>
          <w:sz w:val="24"/>
          <w:szCs w:val="24"/>
        </w:rPr>
        <w:t xml:space="preserve"> notifications</w:t>
      </w:r>
      <w:r>
        <w:rPr>
          <w:rFonts w:ascii="Times New Roman" w:hAnsi="Times New Roman" w:cs="Times New Roman"/>
          <w:noProof/>
          <w:sz w:val="24"/>
          <w:szCs w:val="24"/>
        </w:rPr>
        <w:t xml:space="preserve"> on new convictions were the Member States indicated in the table below.</w:t>
      </w:r>
    </w:p>
    <w:p>
      <w:pPr>
        <w:jc w:val="both"/>
        <w:rPr>
          <w:rFonts w:ascii="Times New Roman" w:hAnsi="Times New Roman" w:cs="Times New Roman"/>
          <w:noProof/>
          <w:sz w:val="24"/>
          <w:szCs w:val="24"/>
        </w:rPr>
      </w:pPr>
    </w:p>
    <w:p>
      <w:pPr>
        <w:jc w:val="center"/>
        <w:rPr>
          <w:rFonts w:ascii="Times New Roman" w:hAnsi="Times New Roman" w:cs="Times New Roman"/>
          <w:noProof/>
          <w:sz w:val="24"/>
          <w:szCs w:val="24"/>
        </w:rPr>
      </w:pPr>
      <w:r>
        <w:rPr>
          <w:noProof/>
        </w:rPr>
        <w:drawing>
          <wp:inline distT="0" distB="0" distL="0" distR="0">
            <wp:extent cx="3705225" cy="16478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05225" cy="1647825"/>
                    </a:xfrm>
                    <a:prstGeom prst="rect">
                      <a:avLst/>
                    </a:prstGeom>
                  </pic:spPr>
                </pic:pic>
              </a:graphicData>
            </a:graphic>
          </wp:inline>
        </w:drawing>
      </w:r>
    </w:p>
    <w:bookmarkEnd w:id="19"/>
    <w:p>
      <w:pPr>
        <w:jc w:val="both"/>
        <w:rPr>
          <w:rFonts w:ascii="Times New Roman" w:hAnsi="Times New Roman" w:cs="Times New Roman"/>
          <w:noProof/>
          <w:sz w:val="24"/>
          <w:szCs w:val="24"/>
        </w:rPr>
      </w:pPr>
      <w:r>
        <w:rPr>
          <w:rFonts w:ascii="Times New Roman" w:hAnsi="Times New Roman" w:cs="Times New Roman"/>
          <w:noProof/>
          <w:sz w:val="24"/>
          <w:szCs w:val="24"/>
        </w:rPr>
        <w:t>Taking into consideration all notifications sent, including notifications on updates, DE remains at the first position, but the ranking changes.</w:t>
      </w:r>
    </w:p>
    <w:p>
      <w:pPr>
        <w:jc w:val="center"/>
        <w:rPr>
          <w:rFonts w:ascii="Times New Roman" w:hAnsi="Times New Roman" w:cs="Times New Roman"/>
          <w:noProof/>
          <w:sz w:val="24"/>
          <w:szCs w:val="24"/>
        </w:rPr>
      </w:pPr>
      <w:r>
        <w:rPr>
          <w:noProof/>
        </w:rPr>
        <w:drawing>
          <wp:inline distT="0" distB="0" distL="0" distR="0">
            <wp:extent cx="3667125" cy="1514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7125" cy="1514475"/>
                    </a:xfrm>
                    <a:prstGeom prst="rect">
                      <a:avLst/>
                    </a:prstGeom>
                    <a:noFill/>
                    <a:ln>
                      <a:noFill/>
                    </a:ln>
                  </pic:spPr>
                </pic:pic>
              </a:graphicData>
            </a:graphic>
          </wp:inline>
        </w:drawing>
      </w:r>
    </w:p>
    <w:p>
      <w:pPr>
        <w:jc w:val="both"/>
        <w:rPr>
          <w:rFonts w:ascii="Times New Roman" w:hAnsi="Times New Roman" w:cs="Times New Roman"/>
          <w:b/>
          <w:noProof/>
          <w:sz w:val="24"/>
          <w:szCs w:val="24"/>
        </w:rPr>
      </w:pPr>
    </w:p>
    <w:p>
      <w:pPr>
        <w:jc w:val="both"/>
        <w:rPr>
          <w:rFonts w:ascii="Times New Roman" w:hAnsi="Times New Roman" w:cs="Times New Roman"/>
          <w:bCs/>
          <w:noProof/>
          <w:sz w:val="24"/>
          <w:szCs w:val="24"/>
        </w:rPr>
      </w:pPr>
      <w:r>
        <w:rPr>
          <w:rFonts w:ascii="Times New Roman" w:hAnsi="Times New Roman" w:cs="Times New Roman"/>
          <w:b/>
          <w:noProof/>
          <w:sz w:val="24"/>
          <w:szCs w:val="24"/>
        </w:rPr>
        <w:t xml:space="preserve">Notifications on new convictions and notifications on updates </w:t>
      </w:r>
      <w:r>
        <w:rPr>
          <w:rFonts w:ascii="Times New Roman" w:hAnsi="Times New Roman" w:cs="Times New Roman"/>
          <w:noProof/>
          <w:sz w:val="24"/>
          <w:szCs w:val="24"/>
        </w:rPr>
        <w:t>accounted respectively for</w:t>
      </w:r>
      <w:r>
        <w:rPr>
          <w:rFonts w:ascii="Times New Roman" w:hAnsi="Times New Roman" w:cs="Times New Roman"/>
          <w:b/>
          <w:noProof/>
          <w:sz w:val="24"/>
          <w:szCs w:val="24"/>
        </w:rPr>
        <w:t xml:space="preserve"> 58% and 42</w:t>
      </w:r>
      <w:r>
        <w:rPr>
          <w:rFonts w:ascii="Times New Roman" w:hAnsi="Times New Roman" w:cs="Times New Roman"/>
          <w:b/>
          <w:bCs/>
          <w:noProof/>
          <w:sz w:val="24"/>
          <w:szCs w:val="24"/>
        </w:rPr>
        <w:t>%</w:t>
      </w:r>
      <w:r>
        <w:rPr>
          <w:rFonts w:ascii="Times New Roman" w:hAnsi="Times New Roman" w:cs="Times New Roman"/>
          <w:noProof/>
          <w:sz w:val="24"/>
          <w:szCs w:val="24"/>
        </w:rPr>
        <w:t xml:space="preserve"> in 2019. In total, </w:t>
      </w:r>
      <w:r>
        <w:rPr>
          <w:rFonts w:ascii="Times New Roman" w:hAnsi="Times New Roman" w:cs="Times New Roman"/>
          <w:b/>
          <w:noProof/>
          <w:sz w:val="24"/>
          <w:szCs w:val="24"/>
        </w:rPr>
        <w:t>230.000 notifications of updates</w:t>
      </w:r>
      <w:r>
        <w:rPr>
          <w:rFonts w:ascii="Times New Roman" w:hAnsi="Times New Roman" w:cs="Times New Roman"/>
          <w:noProof/>
          <w:sz w:val="24"/>
          <w:szCs w:val="24"/>
        </w:rPr>
        <w:t xml:space="preserve"> were sent that year.</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It is worth pointing out that before 2017, updates accounted only for about one fourth of all notifications. The present </w:t>
      </w:r>
      <w:r>
        <w:rPr>
          <w:rFonts w:ascii="Times New Roman" w:hAnsi="Times New Roman" w:cs="Times New Roman"/>
          <w:b/>
          <w:bCs/>
          <w:noProof/>
          <w:sz w:val="24"/>
          <w:szCs w:val="24"/>
        </w:rPr>
        <w:t>significant</w:t>
      </w:r>
      <w:r>
        <w:rPr>
          <w:rFonts w:ascii="Times New Roman" w:hAnsi="Times New Roman" w:cs="Times New Roman"/>
          <w:bCs/>
          <w:noProof/>
          <w:sz w:val="24"/>
          <w:szCs w:val="24"/>
        </w:rPr>
        <w:t xml:space="preserve"> </w:t>
      </w:r>
      <w:r>
        <w:rPr>
          <w:rFonts w:ascii="Times New Roman" w:hAnsi="Times New Roman" w:cs="Times New Roman"/>
          <w:b/>
          <w:noProof/>
          <w:sz w:val="24"/>
          <w:szCs w:val="24"/>
        </w:rPr>
        <w:t xml:space="preserve">increase in updates </w:t>
      </w:r>
      <w:r>
        <w:rPr>
          <w:rFonts w:ascii="Times New Roman" w:hAnsi="Times New Roman" w:cs="Times New Roman"/>
          <w:bCs/>
          <w:noProof/>
          <w:sz w:val="24"/>
          <w:szCs w:val="24"/>
        </w:rPr>
        <w:t xml:space="preserve">for many Member States should be considered a positive sign of their awareness of the importance of communicating the subsequent changes on initial notifications. </w:t>
      </w:r>
    </w:p>
    <w:p>
      <w:pPr>
        <w:jc w:val="both"/>
        <w:rPr>
          <w:rFonts w:ascii="Times New Roman" w:hAnsi="Times New Roman" w:cs="Times New Roman"/>
          <w:noProof/>
          <w:sz w:val="24"/>
          <w:szCs w:val="24"/>
        </w:rPr>
      </w:pPr>
      <w:r>
        <w:rPr>
          <w:rFonts w:ascii="Times New Roman" w:hAnsi="Times New Roman" w:cs="Times New Roman"/>
          <w:b/>
          <w:noProof/>
          <w:sz w:val="24"/>
          <w:szCs w:val="24"/>
        </w:rPr>
        <w:t>The proportion between notifications on new convictions and on updates differs significantly among the Member States</w:t>
      </w:r>
      <w:r>
        <w:rPr>
          <w:rFonts w:ascii="Times New Roman" w:hAnsi="Times New Roman" w:cs="Times New Roman"/>
          <w:noProof/>
          <w:sz w:val="24"/>
          <w:szCs w:val="24"/>
        </w:rPr>
        <w:t>, from updates being three times as high as notifications (e.g. FR, PL) or twice as high as notifications (e.g. AT, CZ), through roughly equal amounts for both of these categories of messages (e.g. ES, NL, IT, HU, FI, SK) to updates constituting a tiny part of all notifications (e.g. CY, DK, IE, RO). For DE, FR and ES, which sent the highest number of all notifications, the updates amounted respectively to about 34%/ 76%/ 57% of all their notifications sent in 2019.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first Statistical Report identified two main problems: i.e. (i) many Member States </w:t>
      </w:r>
      <w:r>
        <w:rPr>
          <w:rFonts w:ascii="Times New Roman" w:hAnsi="Times New Roman" w:cs="Times New Roman"/>
          <w:b/>
          <w:noProof/>
          <w:sz w:val="24"/>
          <w:szCs w:val="24"/>
        </w:rPr>
        <w:t>do not send notifications on new convictions at all or send a low volume</w:t>
      </w:r>
      <w:r>
        <w:rPr>
          <w:rFonts w:ascii="Times New Roman" w:hAnsi="Times New Roman" w:cs="Times New Roman"/>
          <w:noProof/>
          <w:sz w:val="24"/>
          <w:szCs w:val="24"/>
        </w:rPr>
        <w:t xml:space="preserve"> and (ii) numerous Member States </w:t>
      </w:r>
      <w:r>
        <w:rPr>
          <w:rFonts w:ascii="Times New Roman" w:hAnsi="Times New Roman" w:cs="Times New Roman"/>
          <w:b/>
          <w:noProof/>
          <w:sz w:val="24"/>
          <w:szCs w:val="24"/>
        </w:rPr>
        <w:t>do not send updates</w:t>
      </w:r>
      <w:r>
        <w:rPr>
          <w:rFonts w:ascii="Times New Roman" w:hAnsi="Times New Roman" w:cs="Times New Roman"/>
          <w:noProof/>
          <w:sz w:val="24"/>
          <w:szCs w:val="24"/>
        </w:rPr>
        <w:t xml:space="preserve"> on their previously sent notifications </w:t>
      </w:r>
      <w:r>
        <w:rPr>
          <w:rFonts w:ascii="Times New Roman" w:hAnsi="Times New Roman" w:cs="Times New Roman"/>
          <w:b/>
          <w:bCs/>
          <w:noProof/>
          <w:sz w:val="24"/>
          <w:szCs w:val="24"/>
        </w:rPr>
        <w:t>at all</w:t>
      </w:r>
      <w:r>
        <w:rPr>
          <w:rFonts w:ascii="Times New Roman" w:hAnsi="Times New Roman" w:cs="Times New Roman"/>
          <w:b/>
          <w:noProof/>
          <w:sz w:val="24"/>
          <w:szCs w:val="24"/>
        </w:rPr>
        <w:t xml:space="preserve"> or send a low volume</w:t>
      </w:r>
      <w:r>
        <w:rPr>
          <w:rFonts w:ascii="Times New Roman" w:hAnsi="Times New Roman" w:cs="Times New Roman"/>
          <w:noProof/>
          <w:sz w:val="24"/>
          <w:szCs w:val="24"/>
        </w:rPr>
        <w:t>. These two problems also emerge from the detailed analysis of the statistical data for 2017-2019. However, this time these issues are even more prominent, as they concern a higher number of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Firstly, many Member States </w:t>
      </w:r>
      <w:r>
        <w:rPr>
          <w:rFonts w:ascii="Times New Roman" w:hAnsi="Times New Roman" w:cs="Times New Roman"/>
          <w:b/>
          <w:noProof/>
          <w:sz w:val="24"/>
          <w:szCs w:val="24"/>
        </w:rPr>
        <w:t>do not send notifications on new convictions at all</w:t>
      </w:r>
      <w:r>
        <w:rPr>
          <w:rFonts w:ascii="Times New Roman" w:hAnsi="Times New Roman" w:cs="Times New Roman"/>
          <w:noProof/>
          <w:sz w:val="24"/>
          <w:szCs w:val="24"/>
        </w:rPr>
        <w:t xml:space="preserve"> (PT in 2019 and 2018, MT in 2019 and 2017, EE in 2018, EL in 2017) </w:t>
      </w:r>
      <w:r>
        <w:rPr>
          <w:rFonts w:ascii="Times New Roman" w:hAnsi="Times New Roman" w:cs="Times New Roman"/>
          <w:b/>
          <w:noProof/>
          <w:sz w:val="24"/>
          <w:szCs w:val="24"/>
        </w:rPr>
        <w:t>or send a low volume</w:t>
      </w:r>
      <w:r>
        <w:rPr>
          <w:rFonts w:ascii="Times New Roman" w:hAnsi="Times New Roman" w:cs="Times New Roman"/>
          <w:noProof/>
          <w:sz w:val="24"/>
          <w:szCs w:val="24"/>
        </w:rPr>
        <w:t xml:space="preserve"> of such notifications in relation to their EU non-national population and the number of convictions (BG, EE, IE, LT, LU, NL, RO in 2019; BG, IE, LU, LT, RO, SI, SE, MT, EL, UK in 2018; BG, EE, IE, LT, LU, RO, SI, SE, PT, UK in 2017). </w:t>
      </w:r>
      <w:r>
        <w:rPr>
          <w:rFonts w:ascii="Times New Roman" w:hAnsi="Times New Roman" w:cs="Times New Roman"/>
          <w:b/>
          <w:noProof/>
          <w:sz w:val="24"/>
          <w:szCs w:val="24"/>
        </w:rPr>
        <w:t>As a result, these non-notified convictions were not registered in the Member State(s) of nationality.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Secondly, numerous Member States </w:t>
      </w:r>
      <w:r>
        <w:rPr>
          <w:rFonts w:ascii="Times New Roman" w:hAnsi="Times New Roman" w:cs="Times New Roman"/>
          <w:b/>
          <w:noProof/>
          <w:sz w:val="24"/>
          <w:szCs w:val="24"/>
        </w:rPr>
        <w:t>do not send updates</w:t>
      </w:r>
      <w:r>
        <w:rPr>
          <w:rFonts w:ascii="Times New Roman" w:hAnsi="Times New Roman" w:cs="Times New Roman"/>
          <w:noProof/>
          <w:sz w:val="24"/>
          <w:szCs w:val="24"/>
        </w:rPr>
        <w:t xml:space="preserve"> on their previously sent notifications </w:t>
      </w:r>
      <w:r>
        <w:rPr>
          <w:rFonts w:ascii="Times New Roman" w:hAnsi="Times New Roman" w:cs="Times New Roman"/>
          <w:b/>
          <w:bCs/>
          <w:noProof/>
          <w:sz w:val="24"/>
          <w:szCs w:val="24"/>
        </w:rPr>
        <w:t xml:space="preserve">at all </w:t>
      </w:r>
      <w:r>
        <w:rPr>
          <w:rFonts w:ascii="Times New Roman" w:hAnsi="Times New Roman" w:cs="Times New Roman"/>
          <w:noProof/>
          <w:sz w:val="24"/>
          <w:szCs w:val="24"/>
        </w:rPr>
        <w:t xml:space="preserve">(BG, EE, EL, LV, LU, MT, PT, SI in 2019; BG, DK, EL, SI, PT, MT, LV, LU, IE, EE in 2018; DK, EE, EL, LV, LU, BG in 2017) or </w:t>
      </w:r>
      <w:r>
        <w:rPr>
          <w:rFonts w:ascii="Times New Roman" w:hAnsi="Times New Roman" w:cs="Times New Roman"/>
          <w:b/>
          <w:noProof/>
          <w:sz w:val="24"/>
          <w:szCs w:val="24"/>
        </w:rPr>
        <w:t>send a low volume</w:t>
      </w:r>
      <w:r>
        <w:rPr>
          <w:rFonts w:ascii="Times New Roman" w:hAnsi="Times New Roman" w:cs="Times New Roman"/>
          <w:noProof/>
          <w:sz w:val="24"/>
          <w:szCs w:val="24"/>
        </w:rPr>
        <w:t xml:space="preserve"> of such messages (IE, RO, CY in 2019; RO, CY in 2018; SI, RO, PT, MT, IE, HR, CY in 2017). Failure to send updates by the convicting Member State </w:t>
      </w:r>
      <w:r>
        <w:rPr>
          <w:rFonts w:ascii="Times New Roman" w:hAnsi="Times New Roman" w:cs="Times New Roman"/>
          <w:b/>
          <w:noProof/>
          <w:sz w:val="24"/>
          <w:szCs w:val="24"/>
        </w:rPr>
        <w:t>results in the processing of not updated, unrealiable information by the Member State of nationality</w:t>
      </w:r>
      <w:r>
        <w:rPr>
          <w:rFonts w:ascii="Times New Roman" w:hAnsi="Times New Roman" w:cs="Times New Roman"/>
          <w:noProof/>
          <w:sz w:val="24"/>
          <w:szCs w:val="24"/>
        </w:rPr>
        <w:t>, including its dissemination.</w:t>
      </w:r>
      <w:r>
        <w:rPr>
          <w:rStyle w:val="FootnoteReference"/>
          <w:rFonts w:ascii="Times New Roman" w:hAnsi="Times New Roman" w:cs="Times New Roman"/>
          <w:noProof/>
          <w:sz w:val="24"/>
          <w:szCs w:val="24"/>
        </w:rPr>
        <w:footnoteReference w:id="16"/>
      </w:r>
    </w:p>
    <w:bookmarkEnd w:id="18"/>
    <w:bookmarkEnd w:id="20"/>
    <w:p>
      <w:pPr>
        <w:spacing w:after="0"/>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2.5. Requests for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The graph below compares the volume of requests for information sent by all interconnected Member States in 2019 with the volume of replies received to these requests.</w:t>
      </w:r>
      <w:r>
        <w:rPr>
          <w:rStyle w:val="FootnoteReference"/>
          <w:rFonts w:ascii="Times New Roman" w:hAnsi="Times New Roman" w:cs="Times New Roman"/>
          <w:noProof/>
          <w:sz w:val="24"/>
          <w:szCs w:val="24"/>
        </w:rPr>
        <w:footnoteReference w:id="17"/>
      </w:r>
    </w:p>
    <w:p>
      <w:pPr>
        <w:jc w:val="both"/>
        <w:rPr>
          <w:rFonts w:ascii="Times New Roman" w:hAnsi="Times New Roman" w:cs="Times New Roman"/>
          <w:noProof/>
          <w:sz w:val="24"/>
          <w:szCs w:val="24"/>
        </w:rPr>
      </w:pPr>
      <w:r>
        <w:rPr>
          <w:noProof/>
        </w:rPr>
        <w:drawing>
          <wp:inline distT="0" distB="0" distL="0" distR="0">
            <wp:extent cx="5934075" cy="326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2740" cy="3267164"/>
                    </a:xfrm>
                    <a:prstGeom prst="rect">
                      <a:avLst/>
                    </a:prstGeom>
                  </pic:spPr>
                </pic:pic>
              </a:graphicData>
            </a:graphic>
          </wp:inline>
        </w:drawing>
      </w:r>
    </w:p>
    <w:p>
      <w:pPr>
        <w:jc w:val="both"/>
        <w:rPr>
          <w:rFonts w:ascii="Times New Roman" w:hAnsi="Times New Roman" w:cs="Times New Roman"/>
          <w:noProof/>
          <w:sz w:val="24"/>
          <w:szCs w:val="24"/>
        </w:rPr>
      </w:pPr>
      <w:bookmarkStart w:id="21" w:name="_Hlk481003611"/>
      <w:r>
        <w:rPr>
          <w:rFonts w:ascii="Times New Roman" w:hAnsi="Times New Roman" w:cs="Times New Roman"/>
          <w:noProof/>
          <w:sz w:val="24"/>
          <w:szCs w:val="24"/>
        </w:rPr>
        <w:t xml:space="preserve">As presented above in section 2.2, the general </w:t>
      </w:r>
      <w:r>
        <w:rPr>
          <w:rFonts w:ascii="Times New Roman" w:hAnsi="Times New Roman" w:cs="Times New Roman"/>
          <w:b/>
          <w:noProof/>
          <w:sz w:val="24"/>
          <w:szCs w:val="24"/>
        </w:rPr>
        <w:t>number of requests for information</w:t>
      </w:r>
      <w:r>
        <w:rPr>
          <w:rFonts w:ascii="Times New Roman" w:hAnsi="Times New Roman" w:cs="Times New Roman"/>
          <w:noProof/>
          <w:sz w:val="24"/>
          <w:szCs w:val="24"/>
        </w:rPr>
        <w:t xml:space="preserve"> </w:t>
      </w:r>
      <w:r>
        <w:rPr>
          <w:rFonts w:ascii="Times New Roman" w:hAnsi="Times New Roman" w:cs="Times New Roman"/>
          <w:b/>
          <w:noProof/>
          <w:sz w:val="24"/>
          <w:szCs w:val="24"/>
        </w:rPr>
        <w:t>has tripled since 2017</w:t>
      </w:r>
      <w:r>
        <w:rPr>
          <w:rFonts w:ascii="Times New Roman" w:hAnsi="Times New Roman" w:cs="Times New Roman"/>
          <w:noProof/>
          <w:sz w:val="24"/>
          <w:szCs w:val="24"/>
        </w:rPr>
        <w:t xml:space="preserve"> – and reached </w:t>
      </w:r>
      <w:r>
        <w:rPr>
          <w:rFonts w:ascii="Times New Roman" w:hAnsi="Times New Roman" w:cs="Times New Roman"/>
          <w:b/>
          <w:bCs/>
          <w:noProof/>
          <w:sz w:val="24"/>
          <w:szCs w:val="24"/>
        </w:rPr>
        <w:t>1 million</w:t>
      </w:r>
      <w:r>
        <w:rPr>
          <w:rFonts w:ascii="Times New Roman" w:hAnsi="Times New Roman" w:cs="Times New Roman"/>
          <w:noProof/>
          <w:sz w:val="24"/>
          <w:szCs w:val="24"/>
        </w:rPr>
        <w:t xml:space="preserve"> in 2019.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volume of issued requests varies considerably among Member States</w:t>
      </w:r>
      <w:r>
        <w:rPr>
          <w:rFonts w:ascii="Times New Roman" w:hAnsi="Times New Roman" w:cs="Times New Roman"/>
          <w:noProof/>
          <w:sz w:val="24"/>
          <w:szCs w:val="24"/>
        </w:rPr>
        <w:t>, from 745.000 (DE) to 6 requests (EL) per year. The rise in the total number of requests is due mostly to DE, which has increased its number of requests by over 5 times. ES, LT, NL and PL have doubled their numbers. The main factor to be taken into account in the analysis of the variations between the Member States’ numbers of requests is the number of nationals of other Member States residing in a given Member State.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Similar to previous years, the </w:t>
      </w:r>
      <w:r>
        <w:rPr>
          <w:rFonts w:ascii="Times New Roman" w:hAnsi="Times New Roman" w:cs="Times New Roman"/>
          <w:b/>
          <w:noProof/>
          <w:sz w:val="24"/>
          <w:szCs w:val="24"/>
        </w:rPr>
        <w:t>most active</w:t>
      </w:r>
      <w:r>
        <w:rPr>
          <w:rFonts w:ascii="Times New Roman" w:hAnsi="Times New Roman" w:cs="Times New Roman"/>
          <w:noProof/>
          <w:sz w:val="24"/>
          <w:szCs w:val="24"/>
        </w:rPr>
        <w:t xml:space="preserve"> Member States in terms of </w:t>
      </w:r>
      <w:r>
        <w:rPr>
          <w:rFonts w:ascii="Times New Roman" w:hAnsi="Times New Roman" w:cs="Times New Roman"/>
          <w:b/>
          <w:noProof/>
          <w:sz w:val="24"/>
          <w:szCs w:val="24"/>
        </w:rPr>
        <w:t>issued requests</w:t>
      </w:r>
      <w:r>
        <w:rPr>
          <w:rFonts w:ascii="Times New Roman" w:hAnsi="Times New Roman" w:cs="Times New Roman"/>
          <w:noProof/>
          <w:sz w:val="24"/>
          <w:szCs w:val="24"/>
        </w:rPr>
        <w:t xml:space="preserve"> were the following.</w:t>
      </w:r>
    </w:p>
    <w:p>
      <w:pPr>
        <w:jc w:val="center"/>
        <w:rPr>
          <w:rFonts w:ascii="Times New Roman" w:hAnsi="Times New Roman" w:cs="Times New Roman"/>
          <w:noProof/>
          <w:sz w:val="24"/>
          <w:szCs w:val="24"/>
        </w:rPr>
      </w:pPr>
      <w:bookmarkStart w:id="22" w:name="_Hlk481001976"/>
      <w:r>
        <w:rPr>
          <w:noProof/>
        </w:rPr>
        <w:drawing>
          <wp:inline distT="0" distB="0" distL="0" distR="0">
            <wp:extent cx="3762375" cy="1438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62375" cy="1438275"/>
                    </a:xfrm>
                    <a:prstGeom prst="rect">
                      <a:avLst/>
                    </a:prstGeom>
                  </pic:spPr>
                </pic:pic>
              </a:graphicData>
            </a:graphic>
          </wp:inline>
        </w:drawing>
      </w:r>
      <w:bookmarkEnd w:id="22"/>
    </w:p>
    <w:p>
      <w:pPr>
        <w:jc w:val="cente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Despite the significant increase in the number of requests in general, the problem, already noted in the first Statistical Report, of some Member States</w:t>
      </w:r>
      <w:r>
        <w:rPr>
          <w:rFonts w:ascii="Times New Roman" w:hAnsi="Times New Roman" w:cs="Times New Roman"/>
          <w:b/>
          <w:noProof/>
          <w:sz w:val="24"/>
          <w:szCs w:val="24"/>
        </w:rPr>
        <w:t xml:space="preserve"> sending almost no requests at all</w:t>
      </w:r>
      <w:r>
        <w:rPr>
          <w:rFonts w:ascii="Times New Roman" w:hAnsi="Times New Roman" w:cs="Times New Roman"/>
          <w:noProof/>
          <w:sz w:val="24"/>
          <w:szCs w:val="24"/>
        </w:rPr>
        <w:t xml:space="preserve"> (EL, CY, MT) or </w:t>
      </w:r>
      <w:r>
        <w:rPr>
          <w:rFonts w:ascii="Times New Roman" w:hAnsi="Times New Roman" w:cs="Times New Roman"/>
          <w:b/>
          <w:noProof/>
          <w:sz w:val="24"/>
          <w:szCs w:val="24"/>
        </w:rPr>
        <w:t>sending a low number</w:t>
      </w:r>
      <w:r>
        <w:rPr>
          <w:rFonts w:ascii="Times New Roman" w:hAnsi="Times New Roman" w:cs="Times New Roman"/>
          <w:noProof/>
          <w:sz w:val="24"/>
          <w:szCs w:val="24"/>
        </w:rPr>
        <w:t xml:space="preserve"> of requests in relation to their EU non-national population (BG, EE, HU, IT, LV, RO, SI in 2017-2019) still persists. This might lead to a situation where criminal courts could pass judgements without the knowledge of convictions handed down in other Member States, contrary to the requirements set out in Framework Decision 2008/675/JHA. In addition, the preventive effect of requesting criminal records certificates for purposes other than criminal proceedings, such as pre-employment checks, will be diminished.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can be also concluded from the above data that </w:t>
      </w:r>
      <w:r>
        <w:rPr>
          <w:rFonts w:ascii="Times New Roman" w:hAnsi="Times New Roman" w:cs="Times New Roman"/>
          <w:b/>
          <w:noProof/>
          <w:sz w:val="24"/>
          <w:szCs w:val="24"/>
        </w:rPr>
        <w:t xml:space="preserve">not all requests for information are responded to </w:t>
      </w:r>
      <w:r>
        <w:rPr>
          <w:rFonts w:ascii="Times New Roman" w:hAnsi="Times New Roman" w:cs="Times New Roman"/>
          <w:bCs/>
          <w:noProof/>
          <w:sz w:val="24"/>
          <w:szCs w:val="24"/>
        </w:rPr>
        <w:t>(see also section 2.6.). I</w:t>
      </w:r>
      <w:r>
        <w:rPr>
          <w:rFonts w:ascii="Times New Roman" w:hAnsi="Times New Roman" w:cs="Times New Roman"/>
          <w:noProof/>
          <w:sz w:val="24"/>
          <w:szCs w:val="24"/>
        </w:rPr>
        <w:t>n case of the Member States most active in sending requests, 5,6% of DE requests (41.662) and 2,5% of AT requests (945) in 2019 were never responded to, while for the UK and CZ the number of responses received that year exceeded the number of their requests.</w:t>
      </w:r>
    </w:p>
    <w:bookmarkEnd w:id="21"/>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2.6. Replies to requests</w:t>
      </w:r>
    </w:p>
    <w:p>
      <w:pPr>
        <w:jc w:val="both"/>
        <w:rPr>
          <w:rFonts w:ascii="Times New Roman" w:hAnsi="Times New Roman" w:cs="Times New Roman"/>
          <w:noProof/>
          <w:sz w:val="24"/>
          <w:szCs w:val="24"/>
        </w:rPr>
      </w:pPr>
      <w:r>
        <w:rPr>
          <w:rFonts w:ascii="Times New Roman" w:hAnsi="Times New Roman" w:cs="Times New Roman"/>
          <w:noProof/>
          <w:sz w:val="24"/>
          <w:szCs w:val="24"/>
        </w:rPr>
        <w:t>The graph below illustrates the volume of replies sent by all interconnected Member States in 2019 in comparison to the volume of corresponding requests for information received by them.</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noProof/>
        </w:rPr>
        <w:drawing>
          <wp:inline distT="0" distB="0" distL="0" distR="0">
            <wp:extent cx="5760085" cy="3324860"/>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3324860"/>
                    </a:xfrm>
                    <a:prstGeom prst="rect">
                      <a:avLst/>
                    </a:prstGeom>
                  </pic:spPr>
                </pic:pic>
              </a:graphicData>
            </a:graphic>
          </wp:inline>
        </w:drawing>
      </w:r>
    </w:p>
    <w:p>
      <w:pPr>
        <w:jc w:val="both"/>
        <w:rPr>
          <w:rFonts w:ascii="Times New Roman" w:hAnsi="Times New Roman" w:cs="Times New Roman"/>
          <w:noProof/>
          <w:sz w:val="24"/>
          <w:szCs w:val="24"/>
        </w:rPr>
      </w:pPr>
      <w:bookmarkStart w:id="23" w:name="_Hlk481164813"/>
      <w:r>
        <w:rPr>
          <w:rFonts w:ascii="Times New Roman" w:hAnsi="Times New Roman" w:cs="Times New Roman"/>
          <w:noProof/>
          <w:sz w:val="24"/>
          <w:szCs w:val="24"/>
        </w:rPr>
        <w:t xml:space="preserve">The </w:t>
      </w:r>
      <w:r>
        <w:rPr>
          <w:rFonts w:ascii="Times New Roman" w:hAnsi="Times New Roman" w:cs="Times New Roman"/>
          <w:b/>
          <w:noProof/>
          <w:sz w:val="24"/>
          <w:szCs w:val="24"/>
        </w:rPr>
        <w:t>volume of requests received and</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sent replies </w:t>
      </w:r>
      <w:r>
        <w:rPr>
          <w:rFonts w:ascii="Times New Roman" w:hAnsi="Times New Roman" w:cs="Times New Roman"/>
          <w:noProof/>
          <w:sz w:val="24"/>
          <w:szCs w:val="24"/>
        </w:rPr>
        <w:t xml:space="preserve">corresponding to them </w:t>
      </w:r>
      <w:r>
        <w:rPr>
          <w:rFonts w:ascii="Times New Roman" w:hAnsi="Times New Roman" w:cs="Times New Roman"/>
          <w:b/>
          <w:noProof/>
          <w:sz w:val="24"/>
          <w:szCs w:val="24"/>
        </w:rPr>
        <w:t>varies significantly among the Member States</w:t>
      </w:r>
      <w:r>
        <w:rPr>
          <w:rFonts w:ascii="Times New Roman" w:hAnsi="Times New Roman" w:cs="Times New Roman"/>
          <w:noProof/>
          <w:sz w:val="24"/>
          <w:szCs w:val="24"/>
        </w:rPr>
        <w:t>, from 179.000 (PL) to 646 requests (MT) per year. There are mainly two factors to be taken into account in the analysis of these variations: the overall population per Member State, and the number of its nationals residing in other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Member States which </w:t>
      </w:r>
      <w:r>
        <w:rPr>
          <w:rFonts w:ascii="Times New Roman" w:hAnsi="Times New Roman" w:cs="Times New Roman"/>
          <w:b/>
          <w:noProof/>
          <w:sz w:val="24"/>
          <w:szCs w:val="24"/>
        </w:rPr>
        <w:t>responded to the highest amount of requests</w:t>
      </w:r>
      <w:r>
        <w:rPr>
          <w:rFonts w:ascii="Times New Roman" w:hAnsi="Times New Roman" w:cs="Times New Roman"/>
          <w:noProof/>
          <w:sz w:val="24"/>
          <w:szCs w:val="24"/>
        </w:rPr>
        <w:t xml:space="preserve"> in absolute terms (not necessarily the highest in proportion to what they received) were:</w:t>
      </w:r>
    </w:p>
    <w:p>
      <w:pPr>
        <w:jc w:val="center"/>
        <w:rPr>
          <w:rFonts w:ascii="Times New Roman" w:hAnsi="Times New Roman" w:cs="Times New Roman"/>
          <w:noProof/>
          <w:sz w:val="24"/>
          <w:szCs w:val="24"/>
        </w:rPr>
      </w:pPr>
      <w:r>
        <w:rPr>
          <w:noProof/>
        </w:rPr>
        <w:drawing>
          <wp:inline distT="0" distB="0" distL="0" distR="0">
            <wp:extent cx="3752850" cy="1609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52850" cy="1609725"/>
                    </a:xfrm>
                    <a:prstGeom prst="rect">
                      <a:avLst/>
                    </a:prstGeom>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bCs/>
          <w:noProof/>
          <w:sz w:val="24"/>
          <w:szCs w:val="24"/>
        </w:rPr>
      </w:pPr>
      <w:r>
        <w:rPr>
          <w:rFonts w:ascii="Times New Roman" w:hAnsi="Times New Roman" w:cs="Times New Roman"/>
          <w:noProof/>
          <w:sz w:val="24"/>
          <w:szCs w:val="24"/>
        </w:rPr>
        <w:t>While all Member States respond to</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requests in general, in 2019 still </w:t>
      </w:r>
      <w:r>
        <w:rPr>
          <w:rFonts w:ascii="Times New Roman" w:hAnsi="Times New Roman" w:cs="Times New Roman"/>
          <w:b/>
          <w:bCs/>
          <w:noProof/>
          <w:sz w:val="24"/>
          <w:szCs w:val="24"/>
        </w:rPr>
        <w:t>over 42.000 </w:t>
      </w:r>
      <w:r>
        <w:rPr>
          <w:rFonts w:ascii="Times New Roman" w:hAnsi="Times New Roman" w:cs="Times New Roman"/>
          <w:b/>
          <w:noProof/>
          <w:sz w:val="24"/>
          <w:szCs w:val="24"/>
        </w:rPr>
        <w:t>requests for information were not responded to</w:t>
      </w:r>
      <w:r>
        <w:rPr>
          <w:rFonts w:ascii="Times New Roman" w:hAnsi="Times New Roman" w:cs="Times New Roman"/>
          <w:noProof/>
          <w:sz w:val="24"/>
          <w:szCs w:val="24"/>
        </w:rPr>
        <w:t xml:space="preserve">. In most of the cases, the number of sent replies was slightly lower than the number of received requests for information, with on average </w:t>
      </w:r>
      <w:r>
        <w:rPr>
          <w:rFonts w:ascii="Times New Roman" w:hAnsi="Times New Roman" w:cs="Times New Roman"/>
          <w:b/>
          <w:noProof/>
          <w:sz w:val="24"/>
          <w:szCs w:val="24"/>
        </w:rPr>
        <w:t>around 4.1%, in comparison to 3,6% in 2016.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Among the Member States which received the highest amount of requests in 2019, BG did not respond to 53% of requests received by them (30.975), EL to 38% (19.564), IT to 8,9% (9.720) and RO to 1.3% (2.347). For PL and HR the number of responses sent in 2019 was actually higher than the number of requests received, which might have been caused by sending a backlog of responses from the previous year. </w:t>
      </w:r>
      <w:bookmarkStart w:id="24" w:name="_Hlk481154445"/>
    </w:p>
    <w:p>
      <w:pPr>
        <w:jc w:val="both"/>
        <w:rPr>
          <w:rFonts w:ascii="Times New Roman" w:hAnsi="Times New Roman" w:cs="Times New Roman"/>
          <w:noProof/>
          <w:sz w:val="24"/>
          <w:szCs w:val="24"/>
        </w:rPr>
      </w:pPr>
      <w:bookmarkStart w:id="25" w:name="_Hlk481154348"/>
      <w:r>
        <w:rPr>
          <w:rFonts w:ascii="Times New Roman" w:hAnsi="Times New Roman" w:cs="Times New Roman"/>
          <w:noProof/>
          <w:sz w:val="24"/>
          <w:szCs w:val="24"/>
        </w:rPr>
        <w:t xml:space="preserve">In 2019, the </w:t>
      </w:r>
      <w:r>
        <w:rPr>
          <w:rFonts w:ascii="Times New Roman" w:hAnsi="Times New Roman" w:cs="Times New Roman"/>
          <w:b/>
          <w:bCs/>
          <w:noProof/>
          <w:sz w:val="24"/>
          <w:szCs w:val="24"/>
        </w:rPr>
        <w:t xml:space="preserve">Member States with the highest percentage of requests not replied to </w:t>
      </w:r>
      <w:r>
        <w:rPr>
          <w:rFonts w:ascii="Times New Roman" w:hAnsi="Times New Roman" w:cs="Times New Roman"/>
          <w:noProof/>
          <w:sz w:val="24"/>
          <w:szCs w:val="24"/>
        </w:rPr>
        <w:t xml:space="preserve">were: MT (82% of the requests received by them), CY (65%), BG (53%) and EL (38%). For a detailed analysis of individual Member State statistics on replies to requests - see the SWD, section 3. </w:t>
      </w:r>
    </w:p>
    <w:p>
      <w:pPr>
        <w:jc w:val="both"/>
        <w:rPr>
          <w:rFonts w:ascii="Times New Roman" w:hAnsi="Times New Roman" w:cs="Times New Roman"/>
          <w:noProof/>
          <w:sz w:val="24"/>
          <w:szCs w:val="24"/>
        </w:rPr>
      </w:pPr>
      <w:r>
        <w:rPr>
          <w:rFonts w:ascii="Times New Roman" w:hAnsi="Times New Roman" w:cs="Times New Roman"/>
          <w:noProof/>
          <w:sz w:val="24"/>
          <w:szCs w:val="24"/>
        </w:rPr>
        <w:t>The consequences of violating the obligation to respond to requests for information can be tragic, as pointed out in the previous points.</w:t>
      </w:r>
    </w:p>
    <w:bookmarkEnd w:id="23"/>
    <w:bookmarkEnd w:id="24"/>
    <w:bookmarkEnd w:id="25"/>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2.7. Replies not meeting legal deadlines</w:t>
      </w:r>
    </w:p>
    <w:p>
      <w:pPr>
        <w:jc w:val="both"/>
        <w:rPr>
          <w:rFonts w:ascii="Times New Roman" w:hAnsi="Times New Roman" w:cs="Times New Roman"/>
          <w:noProof/>
          <w:sz w:val="24"/>
          <w:szCs w:val="24"/>
        </w:rPr>
      </w:pPr>
      <w:r>
        <w:rPr>
          <w:rFonts w:ascii="Times New Roman" w:hAnsi="Times New Roman" w:cs="Times New Roman"/>
          <w:noProof/>
          <w:sz w:val="24"/>
          <w:szCs w:val="24"/>
        </w:rPr>
        <w:t>Another issue is that some requests are not replied to within the legal deadlines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The graph below presents an overview for all Member States of the volumes of replies not meeting the legal deadlines in 2019, with indication of the replies sent after deadline and the requests with expired deadline to reply.</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p>
    <w:p>
      <w:pPr>
        <w:jc w:val="center"/>
        <w:rPr>
          <w:rFonts w:ascii="Times New Roman" w:hAnsi="Times New Roman" w:cs="Times New Roman"/>
          <w:noProof/>
          <w:sz w:val="24"/>
          <w:szCs w:val="24"/>
        </w:rPr>
      </w:pPr>
      <w:r>
        <w:rPr>
          <w:noProof/>
        </w:rPr>
        <w:drawing>
          <wp:inline distT="0" distB="0" distL="0" distR="0">
            <wp:extent cx="5760085" cy="3707601"/>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085" cy="3707601"/>
                    </a:xfrm>
                    <a:prstGeom prst="rect">
                      <a:avLst/>
                    </a:prstGeom>
                  </pic:spPr>
                </pic:pic>
              </a:graphicData>
            </a:graphic>
          </wp:inline>
        </w:drawing>
      </w:r>
    </w:p>
    <w:p>
      <w:pPr>
        <w:jc w:val="both"/>
        <w:rPr>
          <w:rFonts w:ascii="Times New Roman" w:hAnsi="Times New Roman" w:cs="Times New Roman"/>
          <w:b/>
          <w:bCs/>
          <w:noProof/>
          <w:sz w:val="24"/>
          <w:szCs w:val="24"/>
        </w:rPr>
      </w:pPr>
      <w:r>
        <w:rPr>
          <w:rFonts w:ascii="Times New Roman" w:hAnsi="Times New Roman" w:cs="Times New Roman"/>
          <w:noProof/>
          <w:sz w:val="24"/>
          <w:szCs w:val="24"/>
        </w:rPr>
        <w:t xml:space="preserve">In 2019, </w:t>
      </w:r>
      <w:r>
        <w:rPr>
          <w:rFonts w:ascii="Times New Roman" w:hAnsi="Times New Roman" w:cs="Times New Roman"/>
          <w:b/>
          <w:bCs/>
          <w:noProof/>
          <w:sz w:val="24"/>
          <w:szCs w:val="24"/>
        </w:rPr>
        <w:t>1</w:t>
      </w:r>
      <w:r>
        <w:rPr>
          <w:rFonts w:ascii="Times New Roman" w:hAnsi="Times New Roman" w:cs="Times New Roman"/>
          <w:b/>
          <w:noProof/>
          <w:sz w:val="24"/>
          <w:szCs w:val="24"/>
        </w:rPr>
        <w:t xml:space="preserve">90.000 requests were replied to after the legal deadline, </w:t>
      </w:r>
      <w:r>
        <w:rPr>
          <w:rFonts w:ascii="Times New Roman" w:hAnsi="Times New Roman" w:cs="Times New Roman"/>
          <w:bCs/>
          <w:noProof/>
          <w:sz w:val="24"/>
          <w:szCs w:val="24"/>
        </w:rPr>
        <w:t>which</w:t>
      </w:r>
      <w:r>
        <w:rPr>
          <w:rFonts w:ascii="Times New Roman" w:hAnsi="Times New Roman" w:cs="Times New Roman"/>
          <w:noProof/>
          <w:sz w:val="24"/>
          <w:szCs w:val="24"/>
        </w:rPr>
        <w:t xml:space="preserve"> represents </w:t>
      </w:r>
      <w:r>
        <w:rPr>
          <w:rFonts w:ascii="Times New Roman" w:hAnsi="Times New Roman" w:cs="Times New Roman"/>
          <w:b/>
          <w:noProof/>
          <w:sz w:val="24"/>
          <w:szCs w:val="24"/>
        </w:rPr>
        <w:t>18,4%</w:t>
      </w:r>
      <w:r>
        <w:rPr>
          <w:rFonts w:ascii="Times New Roman" w:hAnsi="Times New Roman" w:cs="Times New Roman"/>
          <w:noProof/>
          <w:sz w:val="24"/>
          <w:szCs w:val="24"/>
        </w:rPr>
        <w:t xml:space="preserve"> </w:t>
      </w:r>
      <w:r>
        <w:rPr>
          <w:rFonts w:ascii="Times New Roman" w:hAnsi="Times New Roman" w:cs="Times New Roman"/>
          <w:b/>
          <w:noProof/>
          <w:sz w:val="24"/>
          <w:szCs w:val="24"/>
        </w:rPr>
        <w:t>of the total</w:t>
      </w:r>
      <w:r>
        <w:rPr>
          <w:rFonts w:ascii="Times New Roman" w:hAnsi="Times New Roman" w:cs="Times New Roman"/>
          <w:noProof/>
          <w:sz w:val="24"/>
          <w:szCs w:val="24"/>
        </w:rPr>
        <w:t xml:space="preserve"> number of requests. In addition,</w:t>
      </w:r>
      <w:r>
        <w:rPr>
          <w:rFonts w:ascii="Times New Roman" w:hAnsi="Times New Roman" w:cs="Times New Roman"/>
          <w:bCs/>
          <w:noProof/>
          <w:sz w:val="24"/>
          <w:szCs w:val="24"/>
        </w:rPr>
        <w:t xml:space="preserve"> </w:t>
      </w:r>
      <w:r>
        <w:rPr>
          <w:rFonts w:ascii="Times New Roman" w:hAnsi="Times New Roman" w:cs="Times New Roman"/>
          <w:b/>
          <w:noProof/>
          <w:sz w:val="24"/>
          <w:szCs w:val="24"/>
        </w:rPr>
        <w:t xml:space="preserve">42.000 requests with expired deadline to reply </w:t>
      </w:r>
      <w:r>
        <w:rPr>
          <w:rFonts w:ascii="Times New Roman" w:hAnsi="Times New Roman" w:cs="Times New Roman"/>
          <w:bCs/>
          <w:noProof/>
          <w:sz w:val="24"/>
          <w:szCs w:val="24"/>
        </w:rPr>
        <w:t>were registered. T</w:t>
      </w:r>
      <w:r>
        <w:rPr>
          <w:rFonts w:ascii="Times New Roman" w:hAnsi="Times New Roman" w:cs="Times New Roman"/>
          <w:noProof/>
          <w:sz w:val="24"/>
          <w:szCs w:val="24"/>
        </w:rPr>
        <w:t xml:space="preserve">hese high numbers, paired with the reference data for 2016 (respectively: 13.800 (3,8%); 13.000), indicate an </w:t>
      </w:r>
      <w:r>
        <w:rPr>
          <w:rFonts w:ascii="Times New Roman" w:hAnsi="Times New Roman" w:cs="Times New Roman"/>
          <w:b/>
          <w:bCs/>
          <w:noProof/>
          <w:sz w:val="24"/>
          <w:szCs w:val="24"/>
        </w:rPr>
        <w:t>alarming increase of replies not meeting the legal deadlines.</w:t>
      </w: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This tendency concerns only a few Member States, </w:t>
      </w:r>
      <w:r>
        <w:rPr>
          <w:rFonts w:ascii="Times New Roman" w:hAnsi="Times New Roman" w:cs="Times New Roman"/>
          <w:noProof/>
          <w:sz w:val="24"/>
          <w:szCs w:val="24"/>
        </w:rPr>
        <w:t>in particular those that were</w:t>
      </w:r>
      <w:r>
        <w:rPr>
          <w:rFonts w:ascii="Times New Roman" w:hAnsi="Times New Roman" w:cs="Times New Roman"/>
          <w:b/>
          <w:bCs/>
          <w:noProof/>
          <w:sz w:val="24"/>
          <w:szCs w:val="24"/>
        </w:rPr>
        <w:t xml:space="preserve"> confronted with a huge volume of requests for information, </w:t>
      </w:r>
      <w:r>
        <w:rPr>
          <w:rFonts w:ascii="Times New Roman" w:hAnsi="Times New Roman" w:cs="Times New Roman"/>
          <w:noProof/>
          <w:sz w:val="24"/>
          <w:szCs w:val="24"/>
        </w:rPr>
        <w:t>while the great majority of the Member States remains under 0,5% of late replies. The Member States having most problems to respect the deadlines in 2019 were: PL with 55% of their replies sent late (99.000), RO (30%; 50.000), HR (43%; 24.600), LV (47%; 6.200), BE (18%; 2.800) and BG (5%; 3.300). The problem of requests with an expired deadline to reply, which might result either in late replies or in requests not replied to, concerned 33% of requests received by MT and CY, 13,5% by LV and 8% of those received by PL.</w:t>
      </w:r>
    </w:p>
    <w:p>
      <w:pPr>
        <w:rPr>
          <w:rFonts w:ascii="Times New Roman" w:hAnsi="Times New Roman" w:cs="Times New Roman"/>
          <w:b/>
          <w:noProof/>
          <w:sz w:val="24"/>
          <w:szCs w:val="24"/>
        </w:rPr>
      </w:pPr>
      <w:bookmarkStart w:id="26" w:name="_Toc479267023"/>
    </w:p>
    <w:p>
      <w:pPr>
        <w:rPr>
          <w:rFonts w:ascii="Times New Roman" w:hAnsi="Times New Roman" w:cs="Times New Roman"/>
          <w:b/>
          <w:noProof/>
          <w:sz w:val="24"/>
          <w:szCs w:val="24"/>
        </w:rPr>
      </w:pPr>
      <w:r>
        <w:rPr>
          <w:rFonts w:ascii="Times New Roman" w:hAnsi="Times New Roman" w:cs="Times New Roman"/>
          <w:b/>
          <w:noProof/>
          <w:sz w:val="24"/>
          <w:szCs w:val="24"/>
        </w:rPr>
        <w:t>2.8. Requests for criminal proceedings and other purposes</w:t>
      </w:r>
      <w:bookmarkEnd w:id="26"/>
    </w:p>
    <w:p>
      <w:pPr>
        <w:spacing w:after="0"/>
        <w:jc w:val="both"/>
        <w:rPr>
          <w:rFonts w:ascii="Times New Roman" w:hAnsi="Times New Roman" w:cs="Times New Roman"/>
          <w:noProof/>
          <w:sz w:val="24"/>
          <w:szCs w:val="24"/>
        </w:rPr>
      </w:pPr>
      <w:bookmarkStart w:id="27" w:name="_Hlk481158644"/>
      <w:r>
        <w:rPr>
          <w:rFonts w:ascii="Times New Roman" w:hAnsi="Times New Roman" w:cs="Times New Roman"/>
          <w:noProof/>
          <w:sz w:val="24"/>
          <w:szCs w:val="24"/>
        </w:rPr>
        <w:t>The graphs below represent the proportion between the requests for criminal proceedings and for other purposes than criminal proceedings from 2012 until 2019.</w:t>
      </w:r>
    </w:p>
    <w:p>
      <w:pPr>
        <w:spacing w:after="0"/>
        <w:jc w:val="both"/>
        <w:rPr>
          <w:rFonts w:ascii="Times New Roman" w:hAnsi="Times New Roman" w:cs="Times New Roman"/>
          <w:noProof/>
          <w:sz w:val="24"/>
          <w:szCs w:val="24"/>
        </w:rPr>
      </w:pPr>
    </w:p>
    <w:p>
      <w:pPr>
        <w:spacing w:after="0"/>
        <w:jc w:val="center"/>
        <w:rPr>
          <w:rFonts w:ascii="Times New Roman" w:hAnsi="Times New Roman" w:cs="Times New Roman"/>
          <w:noProof/>
          <w:sz w:val="24"/>
          <w:szCs w:val="24"/>
        </w:rPr>
      </w:pPr>
      <w:r>
        <w:rPr>
          <w:noProof/>
        </w:rPr>
        <w:drawing>
          <wp:inline distT="0" distB="0" distL="0" distR="0">
            <wp:extent cx="4248150" cy="2543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48150" cy="2543175"/>
                    </a:xfrm>
                    <a:prstGeom prst="rect">
                      <a:avLst/>
                    </a:prstGeom>
                  </pic:spPr>
                </pic:pic>
              </a:graphicData>
            </a:graphic>
          </wp:inline>
        </w:drawing>
      </w:r>
    </w:p>
    <w:p>
      <w:pPr>
        <w:spacing w:after="0"/>
        <w:jc w:val="center"/>
        <w:rPr>
          <w:rFonts w:ascii="Times New Roman" w:hAnsi="Times New Roman" w:cs="Times New Roman"/>
          <w:noProof/>
          <w:sz w:val="24"/>
          <w:szCs w:val="24"/>
        </w:rPr>
      </w:pPr>
    </w:p>
    <w:p>
      <w:pPr>
        <w:spacing w:after="0"/>
        <w:jc w:val="center"/>
        <w:rPr>
          <w:rFonts w:ascii="Times New Roman" w:hAnsi="Times New Roman" w:cs="Times New Roman"/>
          <w:noProof/>
          <w:sz w:val="24"/>
          <w:szCs w:val="24"/>
        </w:rPr>
      </w:pPr>
      <w:r>
        <w:rPr>
          <w:noProof/>
        </w:rPr>
        <w:drawing>
          <wp:inline distT="0" distB="0" distL="0" distR="0">
            <wp:extent cx="5381625" cy="3819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81625" cy="3819525"/>
                    </a:xfrm>
                    <a:prstGeom prst="rect">
                      <a:avLst/>
                    </a:prstGeom>
                  </pic:spPr>
                </pic:pic>
              </a:graphicData>
            </a:graphic>
          </wp:inline>
        </w:drawing>
      </w:r>
    </w:p>
    <w:bookmarkEnd w:id="27"/>
    <w:p>
      <w:pPr>
        <w:jc w:val="center"/>
        <w:rPr>
          <w:rFonts w:ascii="Times New Roman" w:hAnsi="Times New Roman" w:cs="Times New Roman"/>
          <w:noProof/>
          <w:sz w:val="24"/>
          <w:szCs w:val="24"/>
        </w:rPr>
      </w:pPr>
    </w:p>
    <w:p>
      <w:pPr>
        <w:jc w:val="both"/>
        <w:rPr>
          <w:rFonts w:ascii="Times New Roman" w:hAnsi="Times New Roman" w:cs="Times New Roman"/>
          <w:bCs/>
          <w:noProof/>
          <w:sz w:val="24"/>
          <w:szCs w:val="24"/>
        </w:rPr>
      </w:pPr>
      <w:r>
        <w:rPr>
          <w:rFonts w:ascii="Times New Roman" w:hAnsi="Times New Roman" w:cs="Times New Roman"/>
          <w:noProof/>
          <w:sz w:val="24"/>
          <w:szCs w:val="24"/>
        </w:rPr>
        <w:t>For many years the percentage of requests for other purposes than criminal proceedings was at the average level of 20% of all requests. As mentioned above, the years 2018-2019 brought</w:t>
      </w:r>
      <w:r>
        <w:rPr>
          <w:rFonts w:ascii="Times New Roman" w:hAnsi="Times New Roman" w:cs="Times New Roman"/>
          <w:b/>
          <w:bCs/>
          <w:noProof/>
          <w:sz w:val="24"/>
          <w:szCs w:val="24"/>
        </w:rPr>
        <w:t xml:space="preserve"> a complete shift in the use of the system, which started to be consulted equally often for criminal as for other purposes (50/50%).</w:t>
      </w:r>
      <w:r>
        <w:rPr>
          <w:rFonts w:ascii="Times New Roman" w:hAnsi="Times New Roman" w:cs="Times New Roman"/>
          <w:noProof/>
          <w:sz w:val="24"/>
          <w:szCs w:val="24"/>
        </w:rPr>
        <w:t xml:space="preserve"> The average for the whole ECRIS operation period is </w:t>
      </w:r>
      <w:r>
        <w:rPr>
          <w:rFonts w:ascii="Times New Roman" w:hAnsi="Times New Roman" w:cs="Times New Roman"/>
          <w:b/>
          <w:noProof/>
          <w:sz w:val="24"/>
          <w:szCs w:val="24"/>
        </w:rPr>
        <w:t>69%</w:t>
      </w:r>
      <w:r>
        <w:rPr>
          <w:rFonts w:ascii="Times New Roman" w:hAnsi="Times New Roman" w:cs="Times New Roman"/>
          <w:noProof/>
          <w:sz w:val="24"/>
          <w:szCs w:val="24"/>
        </w:rPr>
        <w:t xml:space="preserve"> of all requests for the purpose of </w:t>
      </w:r>
      <w:r>
        <w:rPr>
          <w:rFonts w:ascii="Times New Roman" w:hAnsi="Times New Roman" w:cs="Times New Roman"/>
          <w:b/>
          <w:noProof/>
          <w:sz w:val="24"/>
          <w:szCs w:val="24"/>
        </w:rPr>
        <w:t>criminal proceedings</w:t>
      </w:r>
      <w:r>
        <w:rPr>
          <w:rFonts w:ascii="Times New Roman" w:hAnsi="Times New Roman" w:cs="Times New Roman"/>
          <w:noProof/>
          <w:sz w:val="24"/>
          <w:szCs w:val="24"/>
        </w:rPr>
        <w:t xml:space="preserve"> and </w:t>
      </w:r>
      <w:r>
        <w:rPr>
          <w:rFonts w:ascii="Times New Roman" w:hAnsi="Times New Roman" w:cs="Times New Roman"/>
          <w:b/>
          <w:noProof/>
          <w:sz w:val="24"/>
          <w:szCs w:val="24"/>
        </w:rPr>
        <w:t>31%</w:t>
      </w:r>
      <w:r>
        <w:rPr>
          <w:rFonts w:ascii="Times New Roman" w:hAnsi="Times New Roman" w:cs="Times New Roman"/>
          <w:noProof/>
          <w:sz w:val="24"/>
          <w:szCs w:val="24"/>
        </w:rPr>
        <w:t xml:space="preserve"> for </w:t>
      </w:r>
      <w:r>
        <w:rPr>
          <w:rFonts w:ascii="Times New Roman" w:hAnsi="Times New Roman" w:cs="Times New Roman"/>
          <w:b/>
          <w:noProof/>
          <w:sz w:val="24"/>
          <w:szCs w:val="24"/>
        </w:rPr>
        <w:t>other purposes</w:t>
      </w:r>
      <w:r>
        <w:rPr>
          <w:rFonts w:ascii="Times New Roman" w:hAnsi="Times New Roman" w:cs="Times New Roman"/>
          <w:noProof/>
          <w:sz w:val="24"/>
          <w:szCs w:val="24"/>
        </w:rPr>
        <w:t>.</w:t>
      </w:r>
    </w:p>
    <w:p>
      <w:pPr>
        <w:jc w:val="both"/>
        <w:rPr>
          <w:rFonts w:ascii="Times New Roman" w:hAnsi="Times New Roman" w:cs="Times New Roman"/>
          <w:bCs/>
          <w:noProof/>
          <w:sz w:val="24"/>
          <w:szCs w:val="24"/>
        </w:rPr>
      </w:pPr>
      <w:r>
        <w:rPr>
          <w:rFonts w:ascii="Times New Roman" w:hAnsi="Times New Roman" w:cs="Times New Roman"/>
          <w:noProof/>
          <w:sz w:val="24"/>
          <w:szCs w:val="24"/>
        </w:rPr>
        <w:t xml:space="preserve">The amount of </w:t>
      </w:r>
      <w:r>
        <w:rPr>
          <w:rFonts w:ascii="Times New Roman" w:hAnsi="Times New Roman" w:cs="Times New Roman"/>
          <w:b/>
          <w:noProof/>
          <w:sz w:val="24"/>
          <w:szCs w:val="24"/>
        </w:rPr>
        <w:t>requests for</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other purposes </w:t>
      </w:r>
      <w:r>
        <w:rPr>
          <w:rFonts w:ascii="Times New Roman" w:hAnsi="Times New Roman" w:cs="Times New Roman"/>
          <w:b/>
          <w:bCs/>
          <w:noProof/>
          <w:sz w:val="24"/>
          <w:szCs w:val="24"/>
        </w:rPr>
        <w:t>exceeded</w:t>
      </w:r>
      <w:r>
        <w:rPr>
          <w:rFonts w:ascii="Times New Roman" w:hAnsi="Times New Roman" w:cs="Times New Roman"/>
          <w:b/>
          <w:noProof/>
          <w:sz w:val="24"/>
          <w:szCs w:val="24"/>
        </w:rPr>
        <w:t xml:space="preserve"> 500.000 in 2019, </w:t>
      </w:r>
      <w:r>
        <w:rPr>
          <w:rFonts w:ascii="Times New Roman" w:hAnsi="Times New Roman" w:cs="Times New Roman"/>
          <w:bCs/>
          <w:noProof/>
          <w:sz w:val="24"/>
          <w:szCs w:val="24"/>
        </w:rPr>
        <w:t xml:space="preserve">which is over </w:t>
      </w:r>
      <w:r>
        <w:rPr>
          <w:rFonts w:ascii="Times New Roman" w:hAnsi="Times New Roman" w:cs="Times New Roman"/>
          <w:b/>
          <w:noProof/>
          <w:sz w:val="24"/>
          <w:szCs w:val="24"/>
        </w:rPr>
        <w:t>6 times more than in 2016</w:t>
      </w:r>
      <w:r>
        <w:rPr>
          <w:rFonts w:ascii="Times New Roman" w:hAnsi="Times New Roman" w:cs="Times New Roman"/>
          <w:bCs/>
          <w:noProof/>
          <w:sz w:val="24"/>
          <w:szCs w:val="24"/>
        </w:rPr>
        <w:t xml:space="preserve">. The amount of </w:t>
      </w:r>
      <w:r>
        <w:rPr>
          <w:rFonts w:ascii="Times New Roman" w:hAnsi="Times New Roman" w:cs="Times New Roman"/>
          <w:b/>
          <w:noProof/>
          <w:sz w:val="24"/>
          <w:szCs w:val="24"/>
        </w:rPr>
        <w:t xml:space="preserve">requests for criminal purposes </w:t>
      </w:r>
      <w:r>
        <w:rPr>
          <w:rFonts w:ascii="Times New Roman" w:hAnsi="Times New Roman" w:cs="Times New Roman"/>
          <w:bCs/>
          <w:noProof/>
          <w:sz w:val="24"/>
          <w:szCs w:val="24"/>
        </w:rPr>
        <w:t xml:space="preserve">remained </w:t>
      </w:r>
      <w:r>
        <w:rPr>
          <w:rFonts w:ascii="Times New Roman" w:hAnsi="Times New Roman" w:cs="Times New Roman"/>
          <w:b/>
          <w:noProof/>
          <w:sz w:val="24"/>
          <w:szCs w:val="24"/>
        </w:rPr>
        <w:t>at the stable level of around 500.000</w:t>
      </w:r>
      <w:r>
        <w:rPr>
          <w:rFonts w:ascii="Times New Roman" w:hAnsi="Times New Roman" w:cs="Times New Roman"/>
          <w:bCs/>
          <w:noProof/>
          <w:sz w:val="24"/>
          <w:szCs w:val="24"/>
        </w:rPr>
        <w:t xml:space="preserve"> as well.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increase of requests for other purposes was caused mainly by the </w:t>
      </w:r>
      <w:r>
        <w:rPr>
          <w:rFonts w:ascii="Times New Roman" w:hAnsi="Times New Roman" w:cs="Times New Roman"/>
          <w:b/>
          <w:bCs/>
          <w:noProof/>
          <w:sz w:val="24"/>
          <w:szCs w:val="24"/>
        </w:rPr>
        <w:t xml:space="preserve">strong growth of requests made by individuals on their own criminal records </w:t>
      </w:r>
      <w:r>
        <w:rPr>
          <w:rFonts w:ascii="Times New Roman" w:hAnsi="Times New Roman" w:cs="Times New Roman"/>
          <w:noProof/>
          <w:sz w:val="24"/>
          <w:szCs w:val="24"/>
        </w:rPr>
        <w:t>–</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by</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over six times since 2016, amounting to a total of </w:t>
      </w:r>
      <w:r>
        <w:rPr>
          <w:rFonts w:ascii="Times New Roman" w:hAnsi="Times New Roman" w:cs="Times New Roman"/>
          <w:b/>
          <w:bCs/>
          <w:noProof/>
          <w:sz w:val="24"/>
          <w:szCs w:val="24"/>
        </w:rPr>
        <w:t>356.000 requests</w:t>
      </w:r>
      <w:r>
        <w:rPr>
          <w:rFonts w:ascii="Times New Roman" w:hAnsi="Times New Roman" w:cs="Times New Roman"/>
          <w:noProof/>
          <w:sz w:val="24"/>
          <w:szCs w:val="24"/>
        </w:rPr>
        <w:t xml:space="preserve">. The second contributing factor was the number of </w:t>
      </w:r>
      <w:r>
        <w:rPr>
          <w:rFonts w:ascii="Times New Roman" w:hAnsi="Times New Roman" w:cs="Times New Roman"/>
          <w:b/>
          <w:bCs/>
          <w:noProof/>
          <w:sz w:val="24"/>
          <w:szCs w:val="24"/>
        </w:rPr>
        <w:t xml:space="preserve">requests for the purpose of </w:t>
      </w:r>
      <w:r>
        <w:rPr>
          <w:rFonts w:ascii="Times New Roman" w:hAnsi="Times New Roman" w:cs="Times New Roman"/>
          <w:b/>
          <w:noProof/>
          <w:sz w:val="24"/>
          <w:szCs w:val="24"/>
        </w:rPr>
        <w:t xml:space="preserve">recruitment </w:t>
      </w:r>
      <w:r>
        <w:rPr>
          <w:rFonts w:ascii="Times New Roman" w:hAnsi="Times New Roman" w:cs="Times New Roman"/>
          <w:noProof/>
          <w:sz w:val="24"/>
          <w:szCs w:val="24"/>
        </w:rPr>
        <w:t xml:space="preserve">for professional or organised voluntary </w:t>
      </w:r>
      <w:r>
        <w:rPr>
          <w:rFonts w:ascii="Times New Roman" w:hAnsi="Times New Roman" w:cs="Times New Roman"/>
          <w:b/>
          <w:noProof/>
          <w:sz w:val="24"/>
          <w:szCs w:val="24"/>
        </w:rPr>
        <w:t>activities involving direct and regular contact with children</w:t>
      </w:r>
      <w:r>
        <w:rPr>
          <w:rFonts w:ascii="Times New Roman" w:hAnsi="Times New Roman" w:cs="Times New Roman"/>
          <w:noProof/>
          <w:sz w:val="24"/>
          <w:szCs w:val="24"/>
        </w:rPr>
        <w:t xml:space="preserve">, in implementation of </w:t>
      </w:r>
      <w:r>
        <w:rPr>
          <w:rFonts w:ascii="Times New Roman" w:hAnsi="Times New Roman" w:cs="Times New Roman"/>
          <w:b/>
          <w:noProof/>
          <w:sz w:val="24"/>
          <w:szCs w:val="24"/>
        </w:rPr>
        <w:t>Directive 2011/93/EU</w:t>
      </w:r>
      <w:r>
        <w:rPr>
          <w:rStyle w:val="FootnoteReference"/>
          <w:rFonts w:ascii="Times New Roman" w:hAnsi="Times New Roman" w:cs="Times New Roman"/>
          <w:b/>
          <w:noProof/>
          <w:sz w:val="24"/>
          <w:szCs w:val="24"/>
        </w:rPr>
        <w:footnoteReference w:id="21"/>
      </w:r>
      <w:r>
        <w:rPr>
          <w:rFonts w:ascii="Times New Roman" w:hAnsi="Times New Roman" w:cs="Times New Roman"/>
          <w:b/>
          <w:noProof/>
          <w:sz w:val="24"/>
          <w:szCs w:val="24"/>
        </w:rPr>
        <w:t>.</w:t>
      </w:r>
      <w:r>
        <w:rPr>
          <w:rFonts w:ascii="Times New Roman" w:hAnsi="Times New Roman" w:cs="Times New Roman"/>
          <w:noProof/>
          <w:sz w:val="24"/>
          <w:szCs w:val="24"/>
        </w:rPr>
        <w:t xml:space="preserve"> These requests amounted to </w:t>
      </w:r>
      <w:r>
        <w:rPr>
          <w:rFonts w:ascii="Times New Roman" w:hAnsi="Times New Roman" w:cs="Times New Roman"/>
          <w:b/>
          <w:noProof/>
          <w:sz w:val="24"/>
          <w:szCs w:val="24"/>
        </w:rPr>
        <w:t>115.000</w:t>
      </w:r>
      <w:r>
        <w:rPr>
          <w:rFonts w:ascii="Times New Roman" w:hAnsi="Times New Roman" w:cs="Times New Roman"/>
          <w:bCs/>
          <w:noProof/>
          <w:sz w:val="24"/>
          <w:szCs w:val="24"/>
        </w:rPr>
        <w:t xml:space="preserve"> in 2019, </w:t>
      </w:r>
      <w:r>
        <w:rPr>
          <w:rFonts w:ascii="Times New Roman" w:hAnsi="Times New Roman" w:cs="Times New Roman"/>
          <w:noProof/>
          <w:sz w:val="24"/>
          <w:szCs w:val="24"/>
        </w:rPr>
        <w:t xml:space="preserve">a </w:t>
      </w:r>
      <w:r>
        <w:rPr>
          <w:rFonts w:ascii="Times New Roman" w:hAnsi="Times New Roman" w:cs="Times New Roman"/>
          <w:b/>
          <w:bCs/>
          <w:noProof/>
          <w:sz w:val="24"/>
          <w:szCs w:val="24"/>
        </w:rPr>
        <w:t>significant rise</w:t>
      </w:r>
      <w:r>
        <w:rPr>
          <w:rFonts w:ascii="Times New Roman" w:hAnsi="Times New Roman" w:cs="Times New Roman"/>
          <w:noProof/>
          <w:sz w:val="24"/>
          <w:szCs w:val="24"/>
        </w:rPr>
        <w:t xml:space="preserve"> from 7.800 in 2016. DE is the Member State mainly responsible for the increased number of requests for other purposes.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2019, most requests for other purposes than criminal proceedings were made by </w:t>
      </w:r>
      <w:r>
        <w:rPr>
          <w:rFonts w:ascii="Times New Roman" w:hAnsi="Times New Roman" w:cs="Times New Roman"/>
          <w:b/>
          <w:noProof/>
          <w:sz w:val="24"/>
          <w:szCs w:val="24"/>
        </w:rPr>
        <w:t>individual</w:t>
      </w:r>
      <w:r>
        <w:rPr>
          <w:rFonts w:ascii="Times New Roman" w:hAnsi="Times New Roman" w:cs="Times New Roman"/>
          <w:noProof/>
          <w:sz w:val="24"/>
          <w:szCs w:val="24"/>
        </w:rPr>
        <w:t xml:space="preserve"> </w:t>
      </w:r>
      <w:r>
        <w:rPr>
          <w:rFonts w:ascii="Times New Roman" w:hAnsi="Times New Roman" w:cs="Times New Roman"/>
          <w:b/>
          <w:bCs/>
          <w:noProof/>
          <w:sz w:val="24"/>
          <w:szCs w:val="24"/>
        </w:rPr>
        <w:t>persons</w:t>
      </w:r>
      <w:r>
        <w:rPr>
          <w:rFonts w:ascii="Times New Roman" w:hAnsi="Times New Roman" w:cs="Times New Roman"/>
          <w:noProof/>
          <w:sz w:val="24"/>
          <w:szCs w:val="24"/>
        </w:rPr>
        <w:t xml:space="preserve"> </w:t>
      </w:r>
      <w:r>
        <w:rPr>
          <w:rFonts w:ascii="Times New Roman" w:hAnsi="Times New Roman" w:cs="Times New Roman"/>
          <w:b/>
          <w:noProof/>
          <w:sz w:val="24"/>
          <w:szCs w:val="24"/>
        </w:rPr>
        <w:t>to obtain information on their own criminal records</w:t>
      </w:r>
      <w:r>
        <w:rPr>
          <w:rFonts w:ascii="Times New Roman" w:hAnsi="Times New Roman" w:cs="Times New Roman"/>
          <w:noProof/>
          <w:sz w:val="24"/>
          <w:szCs w:val="24"/>
        </w:rPr>
        <w:t xml:space="preserve"> - </w:t>
      </w:r>
      <w:r>
        <w:rPr>
          <w:rFonts w:ascii="Times New Roman" w:hAnsi="Times New Roman" w:cs="Times New Roman"/>
          <w:b/>
          <w:bCs/>
          <w:noProof/>
          <w:sz w:val="24"/>
          <w:szCs w:val="24"/>
        </w:rPr>
        <w:t xml:space="preserve">70% of requests for other purposes </w:t>
      </w:r>
      <w:r>
        <w:rPr>
          <w:rFonts w:ascii="Times New Roman" w:hAnsi="Times New Roman" w:cs="Times New Roman"/>
          <w:noProof/>
          <w:sz w:val="24"/>
          <w:szCs w:val="24"/>
        </w:rPr>
        <w:t xml:space="preserve">and </w:t>
      </w:r>
      <w:r>
        <w:rPr>
          <w:rFonts w:ascii="Times New Roman" w:hAnsi="Times New Roman" w:cs="Times New Roman"/>
          <w:b/>
          <w:bCs/>
          <w:noProof/>
          <w:sz w:val="24"/>
          <w:szCs w:val="24"/>
        </w:rPr>
        <w:t>35% of all requests</w:t>
      </w:r>
      <w:r>
        <w:rPr>
          <w:rFonts w:ascii="Times New Roman" w:hAnsi="Times New Roman" w:cs="Times New Roman"/>
          <w:noProof/>
          <w:sz w:val="24"/>
          <w:szCs w:val="24"/>
        </w:rPr>
        <w:t xml:space="preserve"> made. The next highest number of requests related to requests for </w:t>
      </w:r>
      <w:r>
        <w:rPr>
          <w:rFonts w:ascii="Times New Roman" w:hAnsi="Times New Roman" w:cs="Times New Roman"/>
          <w:b/>
          <w:bCs/>
          <w:noProof/>
          <w:sz w:val="24"/>
          <w:szCs w:val="24"/>
        </w:rPr>
        <w:t xml:space="preserve">recruitment in accordance with Directive 2011/93/EU (22% </w:t>
      </w:r>
      <w:r>
        <w:rPr>
          <w:rFonts w:ascii="Times New Roman" w:hAnsi="Times New Roman" w:cs="Times New Roman"/>
          <w:noProof/>
          <w:sz w:val="24"/>
          <w:szCs w:val="24"/>
        </w:rPr>
        <w:t>of the requests for other purposes and 11% of all requests made - in comparison with 10% of the requests for other purposes in 2016). The percentage of requests from a competent administrative authority for non-criminal proceedings dropped from 14% of requests for other purposes in 2016 to 3,8% in 2019 (and 2% of all requests), to be placed on the third position with 19.000 requests. The requests for obtaining a permit to carry weapons amounted to 1,1% of the requests for other purposes. Finally, the requests for the important purpose of obtaining a different nationality constituted only around 0,9% of requests for other purposes and 0,4% of all requests.</w:t>
      </w:r>
      <w:r>
        <w:rPr>
          <w:rStyle w:val="FootnoteReference"/>
          <w:rFonts w:ascii="Times New Roman" w:hAnsi="Times New Roman" w:cs="Times New Roman"/>
          <w:noProof/>
          <w:sz w:val="24"/>
          <w:szCs w:val="24"/>
        </w:rPr>
        <w:footnoteReference w:id="22"/>
      </w:r>
    </w:p>
    <w:p>
      <w:pPr>
        <w:rPr>
          <w:rFonts w:ascii="Times New Roman" w:hAnsi="Times New Roman" w:cs="Times New Roman"/>
          <w:noProof/>
          <w:sz w:val="24"/>
          <w:szCs w:val="24"/>
        </w:rPr>
      </w:pPr>
      <w:bookmarkStart w:id="28" w:name="_Toc479267024"/>
    </w:p>
    <w:p>
      <w:pPr>
        <w:rPr>
          <w:rFonts w:ascii="Times New Roman" w:hAnsi="Times New Roman" w:cs="Times New Roman"/>
          <w:b/>
          <w:noProof/>
          <w:sz w:val="24"/>
          <w:szCs w:val="24"/>
        </w:rPr>
      </w:pPr>
      <w:r>
        <w:rPr>
          <w:rFonts w:ascii="Times New Roman" w:hAnsi="Times New Roman" w:cs="Times New Roman"/>
          <w:b/>
          <w:noProof/>
          <w:sz w:val="24"/>
          <w:szCs w:val="24"/>
        </w:rPr>
        <w:t xml:space="preserve">2.9. Requests concerning EU nationals and </w:t>
      </w:r>
      <w:bookmarkEnd w:id="28"/>
      <w:r>
        <w:rPr>
          <w:rFonts w:ascii="Times New Roman" w:hAnsi="Times New Roman" w:cs="Times New Roman"/>
          <w:b/>
          <w:noProof/>
          <w:sz w:val="24"/>
          <w:szCs w:val="24"/>
        </w:rPr>
        <w:t>Third Country Nationals (TCN)</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graphs below represent the proportion between requests concerning EU nationals and TCN per year</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on average during the whole ECRIS operation period.</w:t>
      </w:r>
    </w:p>
    <w:p>
      <w:pPr>
        <w:jc w:val="center"/>
        <w:rPr>
          <w:rStyle w:val="CommentReference"/>
          <w:rFonts w:ascii="Times New Roman" w:hAnsi="Times New Roman" w:cs="Times New Roman"/>
          <w:noProof/>
          <w:sz w:val="24"/>
          <w:szCs w:val="24"/>
        </w:rPr>
      </w:pPr>
    </w:p>
    <w:p>
      <w:pPr>
        <w:jc w:val="center"/>
        <w:rPr>
          <w:rFonts w:ascii="Times New Roman" w:hAnsi="Times New Roman" w:cs="Times New Roman"/>
          <w:noProof/>
          <w:sz w:val="24"/>
          <w:szCs w:val="24"/>
        </w:rPr>
      </w:pPr>
      <w:r>
        <w:rPr>
          <w:noProof/>
        </w:rPr>
        <w:drawing>
          <wp:inline distT="0" distB="0" distL="0" distR="0">
            <wp:extent cx="3733800" cy="27146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733800" cy="2714625"/>
                    </a:xfrm>
                    <a:prstGeom prst="rect">
                      <a:avLst/>
                    </a:prstGeom>
                  </pic:spPr>
                </pic:pic>
              </a:graphicData>
            </a:graphic>
          </wp:inline>
        </w:drawing>
      </w:r>
      <w:r>
        <w:rPr>
          <w:rStyle w:val="CommentReference"/>
          <w:rFonts w:ascii="Times New Roman" w:hAnsi="Times New Roman" w:cs="Times New Roman"/>
          <w:noProof/>
          <w:sz w:val="24"/>
          <w:szCs w:val="24"/>
        </w:rPr>
        <w:t xml:space="preserve"> </w:t>
      </w:r>
    </w:p>
    <w:p>
      <w:pPr>
        <w:contextualSpacing/>
        <w:jc w:val="center"/>
        <w:rPr>
          <w:rFonts w:ascii="Times New Roman" w:hAnsi="Times New Roman" w:cs="Times New Roman"/>
          <w:noProof/>
          <w:sz w:val="24"/>
          <w:szCs w:val="24"/>
        </w:rPr>
      </w:pPr>
    </w:p>
    <w:p>
      <w:pPr>
        <w:contextualSpacing/>
        <w:jc w:val="center"/>
        <w:rPr>
          <w:rFonts w:ascii="Times New Roman" w:hAnsi="Times New Roman" w:cs="Times New Roman"/>
          <w:noProof/>
          <w:sz w:val="24"/>
          <w:szCs w:val="24"/>
        </w:rPr>
      </w:pPr>
      <w:r>
        <w:rPr>
          <w:noProof/>
        </w:rPr>
        <w:drawing>
          <wp:inline distT="0" distB="0" distL="0" distR="0">
            <wp:extent cx="5760085" cy="34455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085" cy="3445510"/>
                    </a:xfrm>
                    <a:prstGeom prst="rect">
                      <a:avLst/>
                    </a:prstGeom>
                  </pic:spPr>
                </pic:pic>
              </a:graphicData>
            </a:graphic>
          </wp:inline>
        </w:drawing>
      </w:r>
    </w:p>
    <w:p>
      <w:pPr>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On average,</w:t>
      </w:r>
      <w:r>
        <w:rPr>
          <w:rFonts w:ascii="Times New Roman" w:hAnsi="Times New Roman" w:cs="Times New Roman"/>
          <w:b/>
          <w:noProof/>
          <w:sz w:val="24"/>
          <w:szCs w:val="24"/>
        </w:rPr>
        <w:t xml:space="preserve"> 92 %</w:t>
      </w:r>
      <w:r>
        <w:rPr>
          <w:rFonts w:ascii="Times New Roman" w:hAnsi="Times New Roman" w:cs="Times New Roman"/>
          <w:noProof/>
          <w:sz w:val="24"/>
          <w:szCs w:val="24"/>
        </w:rPr>
        <w:t xml:space="preserve"> of all requests concern </w:t>
      </w:r>
      <w:r>
        <w:rPr>
          <w:rFonts w:ascii="Times New Roman" w:hAnsi="Times New Roman" w:cs="Times New Roman"/>
          <w:b/>
          <w:noProof/>
          <w:sz w:val="24"/>
          <w:szCs w:val="24"/>
        </w:rPr>
        <w:t>EU nationals</w:t>
      </w:r>
      <w:r>
        <w:rPr>
          <w:rFonts w:ascii="Times New Roman" w:hAnsi="Times New Roman" w:cs="Times New Roman"/>
          <w:noProof/>
          <w:sz w:val="24"/>
          <w:szCs w:val="24"/>
        </w:rPr>
        <w:t xml:space="preserve"> and around </w:t>
      </w:r>
      <w:r>
        <w:rPr>
          <w:rFonts w:ascii="Times New Roman" w:hAnsi="Times New Roman" w:cs="Times New Roman"/>
          <w:b/>
          <w:noProof/>
          <w:sz w:val="24"/>
          <w:szCs w:val="24"/>
        </w:rPr>
        <w:t>8% concern TCN</w:t>
      </w:r>
      <w:r>
        <w:rPr>
          <w:rFonts w:ascii="Times New Roman" w:hAnsi="Times New Roman" w:cs="Times New Roman"/>
          <w:noProof/>
          <w:sz w:val="24"/>
          <w:szCs w:val="24"/>
        </w:rPr>
        <w:t>. The share of requests for stateless persons is marginal (0,02%).</w:t>
      </w:r>
    </w:p>
    <w:p>
      <w:pPr>
        <w:jc w:val="both"/>
        <w:rPr>
          <w:rFonts w:ascii="Times New Roman" w:hAnsi="Times New Roman" w:cs="Times New Roman"/>
          <w:bCs/>
          <w:noProof/>
          <w:sz w:val="24"/>
          <w:szCs w:val="24"/>
        </w:rPr>
      </w:pPr>
      <w:r>
        <w:rPr>
          <w:rFonts w:ascii="Times New Roman" w:hAnsi="Times New Roman" w:cs="Times New Roman"/>
          <w:noProof/>
          <w:sz w:val="24"/>
          <w:szCs w:val="24"/>
        </w:rPr>
        <w:t xml:space="preserve">Although the </w:t>
      </w:r>
      <w:r>
        <w:rPr>
          <w:rFonts w:ascii="Times New Roman" w:hAnsi="Times New Roman" w:cs="Times New Roman"/>
          <w:b/>
          <w:bCs/>
          <w:noProof/>
          <w:sz w:val="24"/>
          <w:szCs w:val="24"/>
        </w:rPr>
        <w:t xml:space="preserve">percentage of requests for information on TCN </w:t>
      </w:r>
      <w:r>
        <w:rPr>
          <w:rFonts w:ascii="Times New Roman" w:hAnsi="Times New Roman" w:cs="Times New Roman"/>
          <w:noProof/>
          <w:sz w:val="24"/>
          <w:szCs w:val="24"/>
        </w:rPr>
        <w:t xml:space="preserve">has </w:t>
      </w:r>
      <w:r>
        <w:rPr>
          <w:rFonts w:ascii="Times New Roman" w:hAnsi="Times New Roman" w:cs="Times New Roman"/>
          <w:b/>
          <w:bCs/>
          <w:noProof/>
          <w:sz w:val="24"/>
          <w:szCs w:val="24"/>
        </w:rPr>
        <w:t>dropped</w:t>
      </w:r>
      <w:r>
        <w:rPr>
          <w:rFonts w:ascii="Times New Roman" w:hAnsi="Times New Roman" w:cs="Times New Roman"/>
          <w:noProof/>
          <w:sz w:val="24"/>
          <w:szCs w:val="24"/>
        </w:rPr>
        <w:t xml:space="preserve"> since 2016, from 10% to</w:t>
      </w:r>
      <w:r>
        <w:rPr>
          <w:rFonts w:ascii="Times New Roman" w:hAnsi="Times New Roman" w:cs="Times New Roman"/>
          <w:b/>
          <w:bCs/>
          <w:noProof/>
          <w:sz w:val="24"/>
          <w:szCs w:val="24"/>
        </w:rPr>
        <w:t xml:space="preserve"> 7% of all requests in 2019</w:t>
      </w:r>
      <w:r>
        <w:rPr>
          <w:rFonts w:ascii="Times New Roman" w:hAnsi="Times New Roman" w:cs="Times New Roman"/>
          <w:noProof/>
          <w:sz w:val="24"/>
          <w:szCs w:val="24"/>
        </w:rPr>
        <w:t xml:space="preserve">, the </w:t>
      </w:r>
      <w:r>
        <w:rPr>
          <w:rFonts w:ascii="Times New Roman" w:hAnsi="Times New Roman" w:cs="Times New Roman"/>
          <w:b/>
          <w:bCs/>
          <w:noProof/>
          <w:sz w:val="24"/>
          <w:szCs w:val="24"/>
        </w:rPr>
        <w:t>actual</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number of such requests </w:t>
      </w:r>
      <w:r>
        <w:rPr>
          <w:rFonts w:ascii="Times New Roman" w:hAnsi="Times New Roman" w:cs="Times New Roman"/>
          <w:bCs/>
          <w:noProof/>
          <w:sz w:val="24"/>
          <w:szCs w:val="24"/>
        </w:rPr>
        <w:t xml:space="preserve">has been steadily </w:t>
      </w:r>
      <w:r>
        <w:rPr>
          <w:rFonts w:ascii="Times New Roman" w:hAnsi="Times New Roman" w:cs="Times New Roman"/>
          <w:b/>
          <w:noProof/>
          <w:sz w:val="24"/>
          <w:szCs w:val="24"/>
        </w:rPr>
        <w:t>growing</w:t>
      </w:r>
      <w:r>
        <w:rPr>
          <w:rFonts w:ascii="Times New Roman" w:hAnsi="Times New Roman" w:cs="Times New Roman"/>
          <w:noProof/>
          <w:sz w:val="24"/>
          <w:szCs w:val="24"/>
        </w:rPr>
        <w:t>,</w:t>
      </w:r>
      <w:r>
        <w:rPr>
          <w:rFonts w:ascii="Times New Roman" w:hAnsi="Times New Roman" w:cs="Times New Roman"/>
          <w:bCs/>
          <w:noProof/>
          <w:sz w:val="24"/>
          <w:szCs w:val="24"/>
        </w:rPr>
        <w:t xml:space="preserve"> to exceed </w:t>
      </w:r>
      <w:r>
        <w:rPr>
          <w:rFonts w:ascii="Times New Roman" w:hAnsi="Times New Roman" w:cs="Times New Roman"/>
          <w:b/>
          <w:noProof/>
          <w:sz w:val="24"/>
          <w:szCs w:val="24"/>
        </w:rPr>
        <w:t xml:space="preserve">69.000 in 2019. </w:t>
      </w:r>
      <w:r>
        <w:rPr>
          <w:rFonts w:ascii="Times New Roman" w:hAnsi="Times New Roman" w:cs="Times New Roman"/>
          <w:bCs/>
          <w:noProof/>
          <w:sz w:val="24"/>
          <w:szCs w:val="24"/>
        </w:rPr>
        <w:t>This phenomenon is caused by the significant increase in requests for purposes other than criminal proceedings that concern mostly EU nationals.</w:t>
      </w:r>
    </w:p>
    <w:p>
      <w:pPr>
        <w:jc w:val="both"/>
        <w:rPr>
          <w:rFonts w:ascii="Times New Roman" w:hAnsi="Times New Roman" w:cs="Times New Roman"/>
          <w:noProof/>
          <w:sz w:val="24"/>
          <w:szCs w:val="24"/>
        </w:rPr>
      </w:pPr>
      <w:r>
        <w:rPr>
          <w:rFonts w:ascii="Times New Roman" w:hAnsi="Times New Roman" w:cs="Times New Roman"/>
          <w:noProof/>
          <w:sz w:val="24"/>
          <w:szCs w:val="24"/>
        </w:rPr>
        <w:t>In 2019 supplementing legislation was adopted</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establishing a centralised ECRIS-TCN system allowing for efficient identification of the Member State(s) holding criminal records information on TCN convicted in the EU. Once operarional in 2023, the system is expected to support more efficient exchanges through ECRIS of information on TCN and to lead to a considerable increase of such requests.</w:t>
      </w:r>
    </w:p>
    <w:p>
      <w:pPr>
        <w:rPr>
          <w:rFonts w:ascii="Times New Roman" w:hAnsi="Times New Roman" w:cs="Times New Roman"/>
          <w:noProof/>
          <w:sz w:val="24"/>
          <w:szCs w:val="24"/>
        </w:rPr>
      </w:pPr>
      <w:bookmarkStart w:id="29" w:name="_Toc479267025"/>
    </w:p>
    <w:p>
      <w:pPr>
        <w:rPr>
          <w:rFonts w:ascii="Times New Roman" w:hAnsi="Times New Roman" w:cs="Times New Roman"/>
          <w:b/>
          <w:noProof/>
          <w:sz w:val="24"/>
          <w:szCs w:val="24"/>
        </w:rPr>
      </w:pPr>
      <w:r>
        <w:rPr>
          <w:rFonts w:ascii="Times New Roman" w:hAnsi="Times New Roman" w:cs="Times New Roman"/>
          <w:b/>
          <w:noProof/>
          <w:sz w:val="24"/>
          <w:szCs w:val="24"/>
        </w:rPr>
        <w:t>2.10.</w:t>
      </w:r>
      <w:bookmarkEnd w:id="29"/>
      <w:r>
        <w:rPr>
          <w:rFonts w:ascii="Times New Roman" w:hAnsi="Times New Roman" w:cs="Times New Roman"/>
          <w:b/>
          <w:noProof/>
          <w:sz w:val="24"/>
          <w:szCs w:val="24"/>
        </w:rPr>
        <w:t xml:space="preserve"> Replies containing conviction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In the graphs below information is given on the proportion of the replies to requests containing one or more convictions, replies with no convictions and other replies per year</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and on average during the ECRIS operation period.</w:t>
      </w:r>
    </w:p>
    <w:p>
      <w:pPr>
        <w:jc w:val="center"/>
        <w:rPr>
          <w:rFonts w:ascii="Times New Roman" w:hAnsi="Times New Roman" w:cs="Times New Roman"/>
          <w:noProof/>
          <w:sz w:val="24"/>
          <w:szCs w:val="24"/>
        </w:rPr>
      </w:pPr>
      <w:r>
        <w:rPr>
          <w:noProof/>
        </w:rPr>
        <w:drawing>
          <wp:inline distT="0" distB="0" distL="0" distR="0">
            <wp:extent cx="4324350" cy="2562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4350" cy="2562225"/>
                    </a:xfrm>
                    <a:prstGeom prst="rect">
                      <a:avLst/>
                    </a:prstGeom>
                  </pic:spPr>
                </pic:pic>
              </a:graphicData>
            </a:graphic>
          </wp:inline>
        </w:drawing>
      </w:r>
    </w:p>
    <w:p>
      <w:pPr>
        <w:jc w:val="center"/>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Since the first year of ECRIS operation, </w:t>
      </w:r>
      <w:r>
        <w:rPr>
          <w:rFonts w:ascii="Times New Roman" w:hAnsi="Times New Roman" w:cs="Times New Roman"/>
          <w:b/>
          <w:noProof/>
          <w:sz w:val="24"/>
          <w:szCs w:val="24"/>
        </w:rPr>
        <w:t xml:space="preserve">26% of replies on avarage contained information on previous convictions. </w:t>
      </w:r>
      <w:r>
        <w:rPr>
          <w:rFonts w:ascii="Times New Roman" w:hAnsi="Times New Roman" w:cs="Times New Roman"/>
          <w:noProof/>
          <w:sz w:val="24"/>
          <w:szCs w:val="24"/>
        </w:rPr>
        <w:t xml:space="preserve">This means that </w:t>
      </w:r>
      <w:r>
        <w:rPr>
          <w:rFonts w:ascii="Times New Roman" w:hAnsi="Times New Roman" w:cs="Times New Roman"/>
          <w:b/>
          <w:bCs/>
          <w:noProof/>
          <w:sz w:val="24"/>
          <w:szCs w:val="24"/>
        </w:rPr>
        <w:t>in</w:t>
      </w:r>
      <w:r>
        <w:rPr>
          <w:rFonts w:ascii="Times New Roman" w:hAnsi="Times New Roman" w:cs="Times New Roman"/>
          <w:noProof/>
          <w:sz w:val="24"/>
          <w:szCs w:val="24"/>
        </w:rPr>
        <w:t xml:space="preserve"> </w:t>
      </w:r>
      <w:r>
        <w:rPr>
          <w:rFonts w:ascii="Times New Roman" w:hAnsi="Times New Roman" w:cs="Times New Roman"/>
          <w:b/>
          <w:bCs/>
          <w:noProof/>
          <w:sz w:val="24"/>
          <w:szCs w:val="24"/>
        </w:rPr>
        <w:t>one case out of four the person concerned had been already convicted</w:t>
      </w:r>
      <w:r>
        <w:rPr>
          <w:rFonts w:ascii="Times New Roman" w:hAnsi="Times New Roman" w:cs="Times New Roman"/>
          <w:noProof/>
          <w:sz w:val="24"/>
          <w:szCs w:val="24"/>
        </w:rPr>
        <w:t xml:space="preserve"> one or more times, proving the value of ECRIS as a tool for obtaining criminal records information. </w:t>
      </w: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For many years, until 2018, this percentage remained at the stable level of around 30%, to suddenly </w:t>
      </w:r>
      <w:r>
        <w:rPr>
          <w:rFonts w:ascii="Times New Roman" w:hAnsi="Times New Roman" w:cs="Times New Roman"/>
          <w:b/>
          <w:bCs/>
          <w:noProof/>
          <w:sz w:val="24"/>
          <w:szCs w:val="24"/>
        </w:rPr>
        <w:t>drop in 2019 till 19%</w:t>
      </w:r>
      <w:r>
        <w:rPr>
          <w:rFonts w:ascii="Times New Roman" w:hAnsi="Times New Roman" w:cs="Times New Roman"/>
          <w:noProof/>
          <w:sz w:val="24"/>
          <w:szCs w:val="24"/>
        </w:rPr>
        <w:t xml:space="preserve">, in paralel to the dramatic growth of the number of requests for other purposes than criminal proceedings. It is a positive sign that the majority of persons, being subjects of requests for information related to, </w:t>
      </w:r>
      <w:r>
        <w:rPr>
          <w:rFonts w:ascii="Times New Roman" w:hAnsi="Times New Roman" w:cs="Times New Roman"/>
          <w:i/>
          <w:iCs/>
          <w:noProof/>
          <w:sz w:val="24"/>
          <w:szCs w:val="24"/>
        </w:rPr>
        <w:t>inter alia</w:t>
      </w:r>
      <w:r>
        <w:rPr>
          <w:rFonts w:ascii="Times New Roman" w:hAnsi="Times New Roman" w:cs="Times New Roman"/>
          <w:noProof/>
          <w:sz w:val="24"/>
          <w:szCs w:val="24"/>
        </w:rPr>
        <w:t>, recruitment, licenses, administrative purposes, have not had any previous convictions.</w:t>
      </w:r>
    </w:p>
    <w:p>
      <w:pPr>
        <w:contextualSpacing/>
        <w:jc w:val="both"/>
        <w:rPr>
          <w:rFonts w:ascii="Times New Roman" w:hAnsi="Times New Roman" w:cs="Times New Roman"/>
          <w:noProof/>
          <w:sz w:val="24"/>
          <w:szCs w:val="24"/>
        </w:rPr>
      </w:pPr>
    </w:p>
    <w:p>
      <w:p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 xml:space="preserve">2019 </w:t>
      </w:r>
      <w:r>
        <w:rPr>
          <w:rFonts w:ascii="Times New Roman" w:hAnsi="Times New Roman" w:cs="Times New Roman"/>
          <w:noProof/>
          <w:sz w:val="24"/>
          <w:szCs w:val="24"/>
        </w:rPr>
        <w:t xml:space="preserve">this represented over </w:t>
      </w:r>
      <w:r>
        <w:rPr>
          <w:rFonts w:ascii="Times New Roman" w:hAnsi="Times New Roman" w:cs="Times New Roman"/>
          <w:b/>
          <w:noProof/>
          <w:sz w:val="24"/>
          <w:szCs w:val="24"/>
        </w:rPr>
        <w:t xml:space="preserve">188.000 replies to all requests including conviction information </w:t>
      </w:r>
      <w:r>
        <w:rPr>
          <w:rFonts w:ascii="Times New Roman" w:hAnsi="Times New Roman" w:cs="Times New Roman"/>
          <w:bCs/>
          <w:noProof/>
          <w:sz w:val="24"/>
          <w:szCs w:val="24"/>
        </w:rPr>
        <w:t>(in comparison with 105.000 in 2016).</w:t>
      </w:r>
      <w:r>
        <w:rPr>
          <w:rFonts w:ascii="Times New Roman" w:hAnsi="Times New Roman" w:cs="Times New Roman"/>
          <w:b/>
          <w:noProof/>
          <w:sz w:val="24"/>
          <w:szCs w:val="24"/>
        </w:rPr>
        <w:t xml:space="preserve"> </w:t>
      </w:r>
      <w:r>
        <w:rPr>
          <w:rFonts w:ascii="Times New Roman" w:hAnsi="Times New Roman" w:cs="Times New Roman"/>
          <w:noProof/>
          <w:sz w:val="24"/>
          <w:szCs w:val="24"/>
        </w:rPr>
        <w:t>The replies with no conviction information constituted on average 74%, and other replies 7%.</w:t>
      </w:r>
    </w:p>
    <w:p>
      <w:pPr>
        <w:rPr>
          <w:rStyle w:val="Hyperlink"/>
          <w:rFonts w:ascii="Times New Roman" w:hAnsi="Times New Roman" w:cs="Times New Roman"/>
          <w:noProof/>
          <w:color w:val="auto"/>
          <w:sz w:val="24"/>
          <w:szCs w:val="24"/>
          <w:u w:val="none"/>
        </w:rPr>
      </w:pPr>
      <w:bookmarkStart w:id="30" w:name="_Toc479267027"/>
      <w:bookmarkStart w:id="31" w:name="_Toc479267028"/>
      <w:bookmarkStart w:id="32" w:name="_Toc479267029"/>
      <w:bookmarkStart w:id="33" w:name="_Toc479267030"/>
      <w:bookmarkStart w:id="34" w:name="_Toc479267031"/>
      <w:bookmarkStart w:id="35" w:name="_Toc479267032"/>
      <w:bookmarkStart w:id="36" w:name="_Toc479267033"/>
      <w:bookmarkStart w:id="37" w:name="_Toc479267034"/>
      <w:bookmarkStart w:id="38" w:name="_Toc479267035"/>
      <w:bookmarkStart w:id="39" w:name="_Toc479267036"/>
      <w:bookmarkStart w:id="40" w:name="_Toc479267037"/>
      <w:bookmarkStart w:id="41" w:name="_Toc479267038"/>
      <w:bookmarkStart w:id="42" w:name="_Toc479267039"/>
      <w:bookmarkStart w:id="43" w:name="_Toc479267040"/>
      <w:bookmarkStart w:id="44" w:name="_Toc479267041"/>
      <w:bookmarkStart w:id="45" w:name="_Toc479267042"/>
      <w:bookmarkStart w:id="46" w:name="_Toc479267043"/>
      <w:bookmarkStart w:id="47" w:name="_Toc479267044"/>
      <w:bookmarkStart w:id="48" w:name="_Toc479267045"/>
      <w:bookmarkStart w:id="49" w:name="_Toc479267046"/>
      <w:bookmarkStart w:id="50" w:name="_Toc479267047"/>
      <w:bookmarkStart w:id="51" w:name="_Toc479267048"/>
      <w:bookmarkStart w:id="52" w:name="_Toc479267049"/>
      <w:bookmarkStart w:id="53" w:name="_Toc479267050"/>
      <w:bookmarkStart w:id="54" w:name="_Toc479267051"/>
      <w:bookmarkStart w:id="55" w:name="_Toc479267052"/>
      <w:bookmarkStart w:id="56" w:name="_Toc479267053"/>
      <w:bookmarkStart w:id="57" w:name="_Toc479267054"/>
      <w:bookmarkStart w:id="58" w:name="_Toc479267055"/>
      <w:bookmarkStart w:id="59" w:name="_Toc479267056"/>
      <w:bookmarkStart w:id="60" w:name="_Toc479267057"/>
      <w:bookmarkStart w:id="61" w:name="_Toc479267058"/>
      <w:bookmarkStart w:id="62" w:name="_Toc479267059"/>
      <w:bookmarkStart w:id="63" w:name="_Toc479267060"/>
      <w:bookmarkStart w:id="64" w:name="_Toc479267061"/>
      <w:bookmarkStart w:id="65" w:name="_Toc479267062"/>
      <w:bookmarkStart w:id="66" w:name="_Toc479267063"/>
      <w:bookmarkStart w:id="67" w:name="_Toc479267064"/>
      <w:bookmarkStart w:id="68" w:name="_Toc479267065"/>
      <w:bookmarkStart w:id="69" w:name="_Toc479267066"/>
      <w:bookmarkStart w:id="70" w:name="_Toc479267067"/>
      <w:bookmarkStart w:id="71" w:name="_Toc479267068"/>
      <w:bookmarkStart w:id="72" w:name="_Toc479267069"/>
      <w:bookmarkStart w:id="73" w:name="_Toc479267070"/>
      <w:bookmarkStart w:id="74" w:name="_Toc479267071"/>
      <w:bookmarkStart w:id="75" w:name="_Toc479267072"/>
      <w:bookmarkStart w:id="76" w:name="_Toc479267073"/>
      <w:bookmarkStart w:id="77" w:name="_Toc479267074"/>
      <w:bookmarkStart w:id="78" w:name="_Toc479267075"/>
      <w:bookmarkStart w:id="79" w:name="_Toc479267076"/>
      <w:bookmarkStart w:id="80" w:name="_Toc479267077"/>
      <w:bookmarkStart w:id="81" w:name="_Toc479267078"/>
      <w:bookmarkStart w:id="82" w:name="_Toc479267079"/>
      <w:bookmarkStart w:id="83" w:name="_Toc479267080"/>
      <w:bookmarkStart w:id="84" w:name="_Toc479267081"/>
      <w:bookmarkStart w:id="85" w:name="_Toc479267082"/>
      <w:bookmarkStart w:id="86" w:name="_Toc479267083"/>
      <w:bookmarkStart w:id="87" w:name="_Toc479267084"/>
      <w:bookmarkStart w:id="88" w:name="_Toc479267085"/>
      <w:bookmarkStart w:id="89" w:name="_Toc479267086"/>
      <w:bookmarkStart w:id="90" w:name="_Toc479267087"/>
      <w:bookmarkStart w:id="91" w:name="_Toc479267088"/>
      <w:bookmarkStart w:id="92" w:name="_Toc479267089"/>
      <w:bookmarkStart w:id="93" w:name="_Toc479267090"/>
      <w:bookmarkStart w:id="94" w:name="_Toc479267091"/>
      <w:bookmarkStart w:id="95" w:name="_Toc479267092"/>
      <w:bookmarkStart w:id="96" w:name="_Toc479267093"/>
      <w:bookmarkStart w:id="97" w:name="_Toc479267094"/>
      <w:bookmarkStart w:id="98" w:name="_Toc479267095"/>
      <w:bookmarkStart w:id="99" w:name="_Toc479267096"/>
      <w:bookmarkStart w:id="100" w:name="_Toc479267097"/>
      <w:bookmarkStart w:id="101" w:name="_Toc479267098"/>
      <w:bookmarkStart w:id="102" w:name="_Toc479267099"/>
      <w:bookmarkStart w:id="103" w:name="_Toc479267100"/>
      <w:bookmarkStart w:id="104" w:name="_Toc479267101"/>
      <w:bookmarkStart w:id="105" w:name="_Toc479267102"/>
      <w:bookmarkStart w:id="106" w:name="_Toc479267103"/>
      <w:bookmarkStart w:id="107" w:name="_Toc479267104"/>
      <w:bookmarkStart w:id="108" w:name="_Toc479267105"/>
      <w:bookmarkStart w:id="109" w:name="_Toc479267106"/>
      <w:bookmarkStart w:id="110" w:name="_Toc479267107"/>
      <w:bookmarkStart w:id="111" w:name="_Toc479267108"/>
      <w:bookmarkStart w:id="112" w:name="_Toc479267109"/>
      <w:bookmarkStart w:id="113" w:name="_Toc479267110"/>
      <w:bookmarkStart w:id="114" w:name="_Toc479267111"/>
      <w:bookmarkStart w:id="115" w:name="_Toc479267112"/>
      <w:bookmarkStart w:id="116" w:name="_Toc479267113"/>
      <w:bookmarkStart w:id="117" w:name="_Toc479267114"/>
      <w:bookmarkStart w:id="118" w:name="_Toc479267115"/>
      <w:bookmarkStart w:id="119" w:name="_Toc479267116"/>
      <w:bookmarkStart w:id="120" w:name="_Toc479267117"/>
      <w:bookmarkStart w:id="121" w:name="_Toc479267118"/>
      <w:bookmarkStart w:id="122" w:name="_Toc479267119"/>
      <w:bookmarkStart w:id="123" w:name="_Toc479267120"/>
      <w:bookmarkStart w:id="124" w:name="_Toc479267121"/>
      <w:bookmarkStart w:id="125" w:name="_Toc479267122"/>
      <w:bookmarkStart w:id="126" w:name="_Toc479267123"/>
      <w:bookmarkStart w:id="127" w:name="_Toc479267124"/>
      <w:bookmarkStart w:id="128" w:name="_Toc479267125"/>
      <w:bookmarkStart w:id="129" w:name="_Toc479267126"/>
      <w:bookmarkStart w:id="130" w:name="_Toc479267127"/>
      <w:bookmarkStart w:id="131" w:name="_Toc479267128"/>
      <w:bookmarkStart w:id="132" w:name="_Toc479267129"/>
      <w:bookmarkStart w:id="133" w:name="_Toc479267130"/>
      <w:bookmarkStart w:id="134" w:name="_Toc479267131"/>
      <w:bookmarkStart w:id="135" w:name="_Toc479267132"/>
      <w:bookmarkStart w:id="136" w:name="_Toc479267133"/>
      <w:bookmarkStart w:id="137" w:name="_Toc479267134"/>
      <w:bookmarkStart w:id="138" w:name="_Toc479267135"/>
      <w:bookmarkStart w:id="139" w:name="_Toc479267136"/>
      <w:bookmarkStart w:id="140" w:name="_Toc479267137"/>
      <w:bookmarkStart w:id="141" w:name="_Toc479267138"/>
      <w:bookmarkStart w:id="142" w:name="_Toc479267139"/>
      <w:bookmarkStart w:id="143" w:name="_Toc479267140"/>
      <w:bookmarkStart w:id="144" w:name="_Toc479267141"/>
      <w:bookmarkStart w:id="145" w:name="_Toc479267142"/>
      <w:bookmarkStart w:id="146" w:name="_Toc479267143"/>
      <w:bookmarkStart w:id="147" w:name="_Toc479267144"/>
      <w:bookmarkStart w:id="148" w:name="_Toc479267145"/>
      <w:bookmarkStart w:id="149" w:name="_Toc479267146"/>
      <w:bookmarkStart w:id="150" w:name="_Toc479267147"/>
      <w:bookmarkStart w:id="151" w:name="_Toc479267148"/>
      <w:bookmarkStart w:id="152" w:name="_Toc479267149"/>
      <w:bookmarkStart w:id="153" w:name="_Toc479267150"/>
      <w:bookmarkStart w:id="154" w:name="_Toc479267151"/>
      <w:bookmarkStart w:id="155" w:name="_Toc479267152"/>
      <w:bookmarkStart w:id="156" w:name="_Toc479267153"/>
      <w:bookmarkStart w:id="157" w:name="_Toc479267154"/>
      <w:bookmarkStart w:id="158" w:name="_Toc479267155"/>
      <w:bookmarkStart w:id="159" w:name="_Toc479267156"/>
      <w:bookmarkStart w:id="160" w:name="_Toc479267157"/>
      <w:bookmarkStart w:id="161" w:name="_Toc479267158"/>
      <w:bookmarkStart w:id="162" w:name="_Toc479267159"/>
      <w:bookmarkStart w:id="163" w:name="_Toc479267160"/>
      <w:bookmarkStart w:id="164" w:name="_Toc479267161"/>
      <w:bookmarkStart w:id="165" w:name="_Toc479267162"/>
      <w:bookmarkStart w:id="166" w:name="_Toc479267163"/>
      <w:bookmarkStart w:id="167" w:name="_Toc479267164"/>
      <w:bookmarkStart w:id="168" w:name="_Toc479267165"/>
      <w:bookmarkStart w:id="169" w:name="_Toc47926716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jc w:val="both"/>
        <w:rPr>
          <w:rFonts w:ascii="Times New Roman" w:hAnsi="Times New Roman" w:cs="Times New Roman"/>
          <w:b/>
          <w:smallCaps/>
          <w:noProof/>
          <w:kern w:val="28"/>
          <w:sz w:val="24"/>
          <w:szCs w:val="24"/>
        </w:rPr>
      </w:pPr>
      <w:r>
        <w:rPr>
          <w:rFonts w:ascii="Times New Roman" w:hAnsi="Times New Roman" w:cs="Times New Roman"/>
          <w:b/>
          <w:noProof/>
          <w:sz w:val="24"/>
          <w:szCs w:val="24"/>
        </w:rPr>
        <w:t>3. Main</w:t>
      </w:r>
      <w:r>
        <w:rPr>
          <w:rFonts w:ascii="Times New Roman" w:hAnsi="Times New Roman" w:cs="Times New Roman"/>
          <w:b/>
          <w:smallCaps/>
          <w:noProof/>
          <w:kern w:val="28"/>
          <w:sz w:val="24"/>
          <w:szCs w:val="24"/>
        </w:rPr>
        <w:t xml:space="preserve"> </w:t>
      </w:r>
      <w:r>
        <w:rPr>
          <w:rFonts w:ascii="Times New Roman" w:hAnsi="Times New Roman" w:cs="Times New Roman"/>
          <w:b/>
          <w:noProof/>
          <w:sz w:val="24"/>
          <w:szCs w:val="24"/>
        </w:rPr>
        <w:t xml:space="preserve">findings </w:t>
      </w:r>
    </w:p>
    <w:p>
      <w:pPr>
        <w:numPr>
          <w:ilvl w:val="0"/>
          <w:numId w:val="27"/>
        </w:numPr>
        <w:ind w:left="714" w:hanging="357"/>
        <w:jc w:val="both"/>
        <w:rPr>
          <w:rFonts w:ascii="Times New Roman" w:hAnsi="Times New Roman" w:cs="Times New Roman"/>
          <w:noProof/>
          <w:sz w:val="24"/>
          <w:szCs w:val="24"/>
        </w:rPr>
      </w:pPr>
      <w:r>
        <w:rPr>
          <w:rFonts w:ascii="Times New Roman" w:hAnsi="Times New Roman" w:cs="Times New Roman"/>
          <w:b/>
          <w:noProof/>
          <w:sz w:val="24"/>
          <w:szCs w:val="24"/>
        </w:rPr>
        <w:t>In 2019, all 28 Member States were active in using ECRIS, but 9.8% of the possible interconnections were still missing</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After eight years of ECRIS operation, </w:t>
      </w:r>
      <w:r>
        <w:rPr>
          <w:rFonts w:ascii="Times New Roman" w:hAnsi="Times New Roman" w:cs="Times New Roman"/>
          <w:b/>
          <w:noProof/>
          <w:sz w:val="24"/>
          <w:szCs w:val="24"/>
        </w:rPr>
        <w:t xml:space="preserve">all 28 Member States </w:t>
      </w:r>
      <w:r>
        <w:rPr>
          <w:rFonts w:ascii="Times New Roman" w:hAnsi="Times New Roman" w:cs="Times New Roman"/>
          <w:noProof/>
          <w:sz w:val="24"/>
          <w:szCs w:val="24"/>
        </w:rPr>
        <w:t xml:space="preserve">were </w:t>
      </w:r>
      <w:r>
        <w:rPr>
          <w:rFonts w:ascii="Times New Roman" w:hAnsi="Times New Roman" w:cs="Times New Roman"/>
          <w:b/>
          <w:noProof/>
          <w:sz w:val="24"/>
          <w:szCs w:val="24"/>
        </w:rPr>
        <w:t>connected to ECRIS</w:t>
      </w:r>
      <w:r>
        <w:rPr>
          <w:rFonts w:ascii="Times New Roman" w:hAnsi="Times New Roman" w:cs="Times New Roman"/>
          <w:noProof/>
          <w:sz w:val="24"/>
          <w:szCs w:val="24"/>
        </w:rPr>
        <w:t xml:space="preserve">. However, </w:t>
      </w:r>
      <w:r>
        <w:rPr>
          <w:rFonts w:ascii="Times New Roman" w:hAnsi="Times New Roman" w:cs="Times New Roman"/>
          <w:bCs/>
          <w:noProof/>
          <w:sz w:val="24"/>
          <w:szCs w:val="24"/>
        </w:rPr>
        <w:t>only one of them (ES) is exchanging information with the other 27 Member States.</w:t>
      </w:r>
      <w:r>
        <w:rPr>
          <w:rFonts w:ascii="Times New Roman" w:hAnsi="Times New Roman" w:cs="Times New Roman"/>
          <w:b/>
          <w:noProof/>
          <w:sz w:val="24"/>
          <w:szCs w:val="24"/>
        </w:rPr>
        <w:t xml:space="preserve"> On average, each </w:t>
      </w:r>
      <w:r>
        <w:rPr>
          <w:rFonts w:ascii="Times New Roman" w:hAnsi="Times New Roman" w:cs="Times New Roman"/>
          <w:b/>
          <w:bCs/>
          <w:noProof/>
          <w:sz w:val="24"/>
          <w:szCs w:val="24"/>
        </w:rPr>
        <w:t>Member State has 24 active connections</w:t>
      </w:r>
      <w:r>
        <w:rPr>
          <w:rFonts w:ascii="Times New Roman" w:hAnsi="Times New Roman" w:cs="Times New Roman"/>
          <w:noProof/>
          <w:sz w:val="24"/>
          <w:szCs w:val="24"/>
        </w:rPr>
        <w:t xml:space="preserve"> with the others. At the end of 2019,</w:t>
      </w:r>
      <w:r>
        <w:rPr>
          <w:rFonts w:ascii="Times New Roman" w:hAnsi="Times New Roman" w:cs="Times New Roman"/>
          <w:b/>
          <w:noProof/>
          <w:sz w:val="24"/>
          <w:szCs w:val="24"/>
        </w:rPr>
        <w:t xml:space="preserve"> 90% of the total number of possible interconnections</w:t>
      </w:r>
      <w:r>
        <w:rPr>
          <w:rFonts w:ascii="Times New Roman" w:hAnsi="Times New Roman" w:cs="Times New Roman"/>
          <w:noProof/>
          <w:sz w:val="24"/>
          <w:szCs w:val="24"/>
        </w:rPr>
        <w:t xml:space="preserve"> was established.</w:t>
      </w:r>
    </w:p>
    <w:p>
      <w:pPr>
        <w:numPr>
          <w:ilvl w:val="0"/>
          <w:numId w:val="27"/>
        </w:numPr>
        <w:ind w:left="714" w:hanging="357"/>
        <w:jc w:val="both"/>
        <w:rPr>
          <w:rFonts w:ascii="Times New Roman" w:hAnsi="Times New Roman"/>
          <w:b/>
          <w:noProof/>
          <w:sz w:val="24"/>
        </w:rPr>
      </w:pPr>
      <w:r>
        <w:rPr>
          <w:rFonts w:ascii="Times New Roman" w:hAnsi="Times New Roman" w:cs="Times New Roman"/>
          <w:b/>
          <w:noProof/>
          <w:sz w:val="24"/>
          <w:szCs w:val="24"/>
        </w:rPr>
        <w:t>The number of messages exchanged reached 4,2 million in 2019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From 2 million messages exchanged by all interconnected Member States in 2016, the number </w:t>
      </w:r>
      <w:r>
        <w:rPr>
          <w:rFonts w:ascii="Times New Roman" w:hAnsi="Times New Roman" w:cs="Times New Roman"/>
          <w:b/>
          <w:bCs/>
          <w:noProof/>
          <w:sz w:val="24"/>
          <w:szCs w:val="24"/>
        </w:rPr>
        <w:t>doubled</w:t>
      </w:r>
      <w:r>
        <w:rPr>
          <w:rFonts w:ascii="Times New Roman" w:hAnsi="Times New Roman" w:cs="Times New Roman"/>
          <w:noProof/>
          <w:sz w:val="24"/>
          <w:szCs w:val="24"/>
        </w:rPr>
        <w:t xml:space="preserve"> </w:t>
      </w:r>
      <w:r>
        <w:rPr>
          <w:rFonts w:ascii="Times New Roman" w:hAnsi="Times New Roman" w:cs="Times New Roman"/>
          <w:b/>
          <w:noProof/>
          <w:sz w:val="24"/>
          <w:szCs w:val="24"/>
        </w:rPr>
        <w:t>in 2019 to reach</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4,2 million, </w:t>
      </w:r>
      <w:r>
        <w:rPr>
          <w:rFonts w:ascii="Times New Roman" w:hAnsi="Times New Roman" w:cs="Times New Roman"/>
          <w:noProof/>
          <w:sz w:val="24"/>
          <w:szCs w:val="24"/>
        </w:rPr>
        <w:t>with an</w:t>
      </w:r>
      <w:r>
        <w:rPr>
          <w:rFonts w:ascii="Times New Roman" w:hAnsi="Times New Roman" w:cs="Times New Roman"/>
          <w:b/>
          <w:noProof/>
          <w:sz w:val="24"/>
          <w:szCs w:val="24"/>
        </w:rPr>
        <w:t xml:space="preserve"> average of 348.000 messages per month</w:t>
      </w:r>
      <w:r>
        <w:rPr>
          <w:rFonts w:ascii="Times New Roman" w:hAnsi="Times New Roman" w:cs="Times New Roman"/>
          <w:noProof/>
          <w:sz w:val="24"/>
          <w:szCs w:val="24"/>
        </w:rPr>
        <w:t xml:space="preserve">. The last three years have brought a radical </w:t>
      </w:r>
      <w:r>
        <w:rPr>
          <w:rFonts w:ascii="Times New Roman" w:hAnsi="Times New Roman" w:cs="Times New Roman"/>
          <w:b/>
          <w:bCs/>
          <w:noProof/>
          <w:sz w:val="24"/>
          <w:szCs w:val="24"/>
        </w:rPr>
        <w:t xml:space="preserve">change in the proportions </w:t>
      </w:r>
      <w:r>
        <w:rPr>
          <w:rFonts w:ascii="Times New Roman" w:hAnsi="Times New Roman" w:cs="Times New Roman"/>
          <w:noProof/>
          <w:sz w:val="24"/>
          <w:szCs w:val="24"/>
        </w:rPr>
        <w:t xml:space="preserve">between the number of notifications, requests and replies to requests – with </w:t>
      </w:r>
      <w:r>
        <w:rPr>
          <w:rFonts w:ascii="Times New Roman" w:hAnsi="Times New Roman" w:cs="Times New Roman"/>
          <w:bCs/>
          <w:noProof/>
          <w:sz w:val="24"/>
          <w:szCs w:val="24"/>
        </w:rPr>
        <w:t xml:space="preserve">the </w:t>
      </w:r>
      <w:r>
        <w:rPr>
          <w:rFonts w:ascii="Times New Roman" w:hAnsi="Times New Roman" w:cs="Times New Roman"/>
          <w:b/>
          <w:noProof/>
          <w:sz w:val="24"/>
          <w:szCs w:val="24"/>
        </w:rPr>
        <w:t xml:space="preserve">number of requests for information </w:t>
      </w:r>
      <w:r>
        <w:rPr>
          <w:rFonts w:ascii="Times New Roman" w:hAnsi="Times New Roman" w:cs="Times New Roman"/>
          <w:bCs/>
          <w:noProof/>
          <w:sz w:val="24"/>
          <w:szCs w:val="24"/>
        </w:rPr>
        <w:t>becoming</w:t>
      </w:r>
      <w:r>
        <w:rPr>
          <w:rFonts w:ascii="Times New Roman" w:hAnsi="Times New Roman" w:cs="Times New Roman"/>
          <w:b/>
          <w:noProof/>
          <w:sz w:val="24"/>
          <w:szCs w:val="24"/>
        </w:rPr>
        <w:t xml:space="preserve"> over three times higher than the number of notifications</w:t>
      </w:r>
      <w:r>
        <w:rPr>
          <w:rFonts w:ascii="Times New Roman" w:hAnsi="Times New Roman" w:cs="Times New Roman"/>
          <w:bCs/>
          <w:noProof/>
          <w:sz w:val="24"/>
          <w:szCs w:val="24"/>
        </w:rPr>
        <w:t>.</w:t>
      </w:r>
    </w:p>
    <w:p>
      <w:pPr>
        <w:numPr>
          <w:ilvl w:val="0"/>
          <w:numId w:val="27"/>
        </w:numPr>
        <w:ind w:left="714" w:hanging="357"/>
        <w:jc w:val="both"/>
        <w:rPr>
          <w:rFonts w:ascii="Times New Roman" w:hAnsi="Times New Roman"/>
          <w:b/>
          <w:noProof/>
          <w:sz w:val="24"/>
        </w:rPr>
      </w:pPr>
      <w:r>
        <w:rPr>
          <w:rFonts w:ascii="Times New Roman" w:hAnsi="Times New Roman" w:cs="Times New Roman"/>
          <w:b/>
          <w:noProof/>
          <w:sz w:val="24"/>
          <w:szCs w:val="24"/>
        </w:rPr>
        <w:t xml:space="preserve">Drop in the number of notifications on new convictions - many convictions not notified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2017 </w:t>
      </w:r>
      <w:r>
        <w:rPr>
          <w:rFonts w:ascii="Times New Roman" w:hAnsi="Times New Roman" w:cs="Times New Roman"/>
          <w:b/>
          <w:noProof/>
          <w:sz w:val="24"/>
          <w:szCs w:val="24"/>
        </w:rPr>
        <w:t>the number of notifications on new convictions has dropped</w:t>
      </w:r>
      <w:r>
        <w:rPr>
          <w:rFonts w:ascii="Times New Roman" w:hAnsi="Times New Roman" w:cs="Times New Roman"/>
          <w:noProof/>
          <w:sz w:val="24"/>
          <w:szCs w:val="24"/>
        </w:rPr>
        <w:t xml:space="preserve"> and remained at the level of around </w:t>
      </w:r>
      <w:r>
        <w:rPr>
          <w:rFonts w:ascii="Times New Roman" w:hAnsi="Times New Roman" w:cs="Times New Roman"/>
          <w:b/>
          <w:bCs/>
          <w:noProof/>
          <w:sz w:val="24"/>
          <w:szCs w:val="24"/>
        </w:rPr>
        <w:t>310.000 until 2019</w:t>
      </w:r>
      <w:r>
        <w:rPr>
          <w:rFonts w:ascii="Times New Roman" w:hAnsi="Times New Roman" w:cs="Times New Roman"/>
          <w:noProof/>
          <w:sz w:val="24"/>
          <w:szCs w:val="24"/>
        </w:rPr>
        <w:t xml:space="preserve">. This downward tendency is surprising in the light of the ascending number of interconnections between the Member States. </w:t>
      </w: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Some Member States </w:t>
      </w:r>
      <w:r>
        <w:rPr>
          <w:rFonts w:ascii="Times New Roman" w:hAnsi="Times New Roman" w:cs="Times New Roman"/>
          <w:b/>
          <w:noProof/>
          <w:sz w:val="24"/>
          <w:szCs w:val="24"/>
        </w:rPr>
        <w:t>did not send notifications on new convictions</w:t>
      </w:r>
      <w:r>
        <w:rPr>
          <w:rFonts w:ascii="Times New Roman" w:hAnsi="Times New Roman" w:cs="Times New Roman"/>
          <w:bCs/>
          <w:noProof/>
          <w:sz w:val="24"/>
          <w:szCs w:val="24"/>
        </w:rPr>
        <w:t xml:space="preserve"> in some years </w:t>
      </w:r>
      <w:r>
        <w:rPr>
          <w:rFonts w:ascii="Times New Roman" w:hAnsi="Times New Roman" w:cs="Times New Roman"/>
          <w:b/>
          <w:bCs/>
          <w:noProof/>
          <w:sz w:val="24"/>
          <w:szCs w:val="24"/>
        </w:rPr>
        <w:t>at all</w:t>
      </w:r>
      <w:r>
        <w:rPr>
          <w:rFonts w:ascii="Times New Roman" w:hAnsi="Times New Roman" w:cs="Times New Roman"/>
          <w:noProof/>
          <w:sz w:val="24"/>
          <w:szCs w:val="24"/>
        </w:rPr>
        <w:t xml:space="preserve"> (PT, MT, EE, EL) and </w:t>
      </w:r>
      <w:r>
        <w:rPr>
          <w:rFonts w:ascii="Times New Roman" w:hAnsi="Times New Roman" w:cs="Times New Roman"/>
          <w:b/>
          <w:noProof/>
          <w:sz w:val="24"/>
          <w:szCs w:val="24"/>
        </w:rPr>
        <w:t>many</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sent a low volume </w:t>
      </w:r>
      <w:r>
        <w:rPr>
          <w:rFonts w:ascii="Times New Roman" w:hAnsi="Times New Roman" w:cs="Times New Roman"/>
          <w:noProof/>
          <w:sz w:val="24"/>
          <w:szCs w:val="24"/>
        </w:rPr>
        <w:t xml:space="preserve">of such notifications in relation to their EU non-national population and the number of convictions (BG, EE, EL, IE, LT, LU, MT, RO, SI, SE, PT, UK). Not sending notifications is contrary to the ECRIS legislation and may have serious consequences.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Strong increase in requests for information hitting 1 million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number of requests for information</w:t>
      </w:r>
      <w:r>
        <w:rPr>
          <w:rFonts w:ascii="Times New Roman" w:hAnsi="Times New Roman" w:cs="Times New Roman"/>
          <w:noProof/>
          <w:sz w:val="24"/>
          <w:szCs w:val="24"/>
        </w:rPr>
        <w:t xml:space="preserve"> </w:t>
      </w:r>
      <w:r>
        <w:rPr>
          <w:rFonts w:ascii="Times New Roman" w:hAnsi="Times New Roman" w:cs="Times New Roman"/>
          <w:b/>
          <w:noProof/>
          <w:sz w:val="24"/>
          <w:szCs w:val="24"/>
        </w:rPr>
        <w:t>has tripled since 2017 – to hit 1 m</w:t>
      </w:r>
      <w:r>
        <w:rPr>
          <w:rFonts w:ascii="Times New Roman" w:hAnsi="Times New Roman" w:cs="Times New Roman"/>
          <w:b/>
          <w:bCs/>
          <w:noProof/>
          <w:sz w:val="24"/>
          <w:szCs w:val="24"/>
        </w:rPr>
        <w:t>illion</w:t>
      </w:r>
      <w:r>
        <w:rPr>
          <w:rFonts w:ascii="Times New Roman" w:hAnsi="Times New Roman" w:cs="Times New Roman"/>
          <w:noProof/>
          <w:sz w:val="24"/>
          <w:szCs w:val="24"/>
        </w:rPr>
        <w:t xml:space="preserve"> in 2019 alone. This</w:t>
      </w:r>
      <w:r>
        <w:rPr>
          <w:rFonts w:ascii="Times New Roman" w:hAnsi="Times New Roman" w:cs="Times New Roman"/>
          <w:b/>
          <w:noProof/>
          <w:sz w:val="24"/>
          <w:szCs w:val="24"/>
        </w:rPr>
        <w:t xml:space="preserve"> </w:t>
      </w:r>
      <w:r>
        <w:rPr>
          <w:rFonts w:ascii="Times New Roman" w:hAnsi="Times New Roman" w:cs="Times New Roman"/>
          <w:bCs/>
          <w:noProof/>
          <w:sz w:val="24"/>
          <w:szCs w:val="24"/>
        </w:rPr>
        <w:t>high increase</w:t>
      </w:r>
      <w:r>
        <w:rPr>
          <w:rFonts w:ascii="Times New Roman" w:hAnsi="Times New Roman" w:cs="Times New Roman"/>
          <w:b/>
          <w:noProof/>
          <w:sz w:val="24"/>
          <w:szCs w:val="24"/>
        </w:rPr>
        <w:t xml:space="preserve"> </w:t>
      </w:r>
      <w:r>
        <w:rPr>
          <w:rFonts w:ascii="Times New Roman" w:hAnsi="Times New Roman" w:cs="Times New Roman"/>
          <w:noProof/>
          <w:sz w:val="24"/>
          <w:szCs w:val="24"/>
        </w:rPr>
        <w:t>is due mostly to the</w:t>
      </w:r>
      <w:r>
        <w:rPr>
          <w:rFonts w:ascii="Times New Roman" w:hAnsi="Times New Roman" w:cs="Times New Roman"/>
          <w:b/>
          <w:noProof/>
          <w:sz w:val="24"/>
          <w:szCs w:val="24"/>
        </w:rPr>
        <w:t xml:space="preserve"> </w:t>
      </w:r>
      <w:r>
        <w:rPr>
          <w:rFonts w:ascii="Times New Roman" w:hAnsi="Times New Roman" w:cs="Times New Roman"/>
          <w:b/>
          <w:bCs/>
          <w:noProof/>
          <w:sz w:val="24"/>
          <w:szCs w:val="24"/>
        </w:rPr>
        <w:t xml:space="preserve">shift in the use of ECRIS, </w:t>
      </w:r>
      <w:r>
        <w:rPr>
          <w:rFonts w:ascii="Times New Roman" w:hAnsi="Times New Roman" w:cs="Times New Roman"/>
          <w:noProof/>
          <w:sz w:val="24"/>
          <w:szCs w:val="24"/>
        </w:rPr>
        <w:t xml:space="preserve">not used any more exclusively or even mainly for the purpose of criminal proceedings, but also – </w:t>
      </w:r>
      <w:r>
        <w:rPr>
          <w:rFonts w:ascii="Times New Roman" w:hAnsi="Times New Roman" w:cs="Times New Roman"/>
          <w:b/>
          <w:bCs/>
          <w:noProof/>
          <w:sz w:val="24"/>
          <w:szCs w:val="24"/>
        </w:rPr>
        <w:t>on a regular basis - for purposes other than criminal proceedings (e.g. pre-employment screening, requests on one’s own criminal record, etc.).</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w:t>
      </w:r>
      <w:r>
        <w:rPr>
          <w:rFonts w:ascii="Times New Roman" w:hAnsi="Times New Roman" w:cs="Times New Roman"/>
          <w:b/>
          <w:noProof/>
          <w:sz w:val="24"/>
          <w:szCs w:val="24"/>
        </w:rPr>
        <w:t>volume of issued requests varies considerably among the Member States</w:t>
      </w:r>
      <w:r>
        <w:rPr>
          <w:rFonts w:ascii="Times New Roman" w:hAnsi="Times New Roman" w:cs="Times New Roman"/>
          <w:noProof/>
          <w:sz w:val="24"/>
          <w:szCs w:val="24"/>
        </w:rPr>
        <w:t xml:space="preserve">, from 745.000 (DE) to 6 requests (EL) per year. The rise in the total number of requests is caused mostly by an increase in DE requests.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ECRIS</w:t>
      </w:r>
      <w:r>
        <w:rPr>
          <w:rFonts w:ascii="Times New Roman" w:hAnsi="Times New Roman" w:cs="Times New Roman"/>
          <w:b/>
          <w:noProof/>
          <w:sz w:val="24"/>
          <w:szCs w:val="24"/>
        </w:rPr>
        <w:t xml:space="preserve"> used for purposes other than criminal proceedings equally often as for criminal proceedings</w:t>
      </w:r>
    </w:p>
    <w:p>
      <w:pPr>
        <w:jc w:val="both"/>
        <w:rPr>
          <w:rFonts w:ascii="Times New Roman" w:hAnsi="Times New Roman" w:cs="Times New Roman"/>
          <w:bCs/>
          <w:noProof/>
          <w:sz w:val="24"/>
          <w:szCs w:val="24"/>
        </w:rPr>
      </w:pPr>
      <w:r>
        <w:rPr>
          <w:rFonts w:ascii="Times New Roman" w:hAnsi="Times New Roman" w:cs="Times New Roman"/>
          <w:noProof/>
          <w:sz w:val="24"/>
          <w:szCs w:val="24"/>
        </w:rPr>
        <w:t>For many years the percentage of requests for other purposes than criminal proceedings was at an average level of 20%. With the new approach of the Member States to the use of ECRIS, noted since 2018,</w:t>
      </w:r>
      <w:r>
        <w:rPr>
          <w:rFonts w:ascii="Times New Roman" w:hAnsi="Times New Roman" w:cs="Times New Roman"/>
          <w:b/>
          <w:bCs/>
          <w:noProof/>
          <w:sz w:val="24"/>
          <w:szCs w:val="24"/>
        </w:rPr>
        <w:t xml:space="preserve"> the system started to be consulted equally often for both, criminal and other purposes (50/ 50%).</w:t>
      </w:r>
      <w:r>
        <w:rPr>
          <w:rFonts w:ascii="Times New Roman" w:hAnsi="Times New Roman" w:cs="Times New Roman"/>
          <w:noProof/>
          <w:sz w:val="24"/>
          <w:szCs w:val="24"/>
        </w:rPr>
        <w:t xml:space="preserve"> The amount of </w:t>
      </w:r>
      <w:r>
        <w:rPr>
          <w:rFonts w:ascii="Times New Roman" w:hAnsi="Times New Roman" w:cs="Times New Roman"/>
          <w:b/>
          <w:noProof/>
          <w:sz w:val="24"/>
          <w:szCs w:val="24"/>
        </w:rPr>
        <w:t>requests for</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other purposes </w:t>
      </w:r>
      <w:r>
        <w:rPr>
          <w:rFonts w:ascii="Times New Roman" w:hAnsi="Times New Roman" w:cs="Times New Roman"/>
          <w:b/>
          <w:bCs/>
          <w:noProof/>
          <w:sz w:val="24"/>
          <w:szCs w:val="24"/>
        </w:rPr>
        <w:t>exceeded</w:t>
      </w:r>
      <w:r>
        <w:rPr>
          <w:rFonts w:ascii="Times New Roman" w:hAnsi="Times New Roman" w:cs="Times New Roman"/>
          <w:b/>
          <w:noProof/>
          <w:sz w:val="24"/>
          <w:szCs w:val="24"/>
        </w:rPr>
        <w:t xml:space="preserve"> half a million in 2019 - </w:t>
      </w:r>
      <w:r>
        <w:rPr>
          <w:rFonts w:ascii="Times New Roman" w:hAnsi="Times New Roman" w:cs="Times New Roman"/>
          <w:bCs/>
          <w:noProof/>
          <w:sz w:val="24"/>
          <w:szCs w:val="24"/>
        </w:rPr>
        <w:t>over six times more than in 2016.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increase of requests was caused mainly by the </w:t>
      </w:r>
      <w:r>
        <w:rPr>
          <w:rFonts w:ascii="Times New Roman" w:hAnsi="Times New Roman" w:cs="Times New Roman"/>
          <w:b/>
          <w:bCs/>
          <w:noProof/>
          <w:sz w:val="24"/>
          <w:szCs w:val="24"/>
        </w:rPr>
        <w:t>significant</w:t>
      </w:r>
      <w:r>
        <w:rPr>
          <w:rFonts w:ascii="Times New Roman" w:hAnsi="Times New Roman" w:cs="Times New Roman"/>
          <w:noProof/>
          <w:sz w:val="24"/>
          <w:szCs w:val="24"/>
        </w:rPr>
        <w:t xml:space="preserve"> </w:t>
      </w:r>
      <w:r>
        <w:rPr>
          <w:rFonts w:ascii="Times New Roman" w:hAnsi="Times New Roman" w:cs="Times New Roman"/>
          <w:b/>
          <w:bCs/>
          <w:noProof/>
          <w:sz w:val="24"/>
          <w:szCs w:val="24"/>
        </w:rPr>
        <w:t>growth of requests made by individuals for their own criminal records (356.000</w:t>
      </w:r>
      <w:r>
        <w:rPr>
          <w:rFonts w:ascii="Times New Roman" w:hAnsi="Times New Roman" w:cs="Times New Roman"/>
          <w:noProof/>
          <w:sz w:val="24"/>
          <w:szCs w:val="24"/>
        </w:rPr>
        <w:t xml:space="preserve"> in 2019, which constituted </w:t>
      </w:r>
      <w:r>
        <w:rPr>
          <w:rFonts w:ascii="Times New Roman" w:hAnsi="Times New Roman" w:cs="Times New Roman"/>
          <w:b/>
          <w:bCs/>
          <w:noProof/>
          <w:sz w:val="24"/>
          <w:szCs w:val="24"/>
        </w:rPr>
        <w:t>70% of requests for other purposes)</w:t>
      </w:r>
      <w:r>
        <w:rPr>
          <w:rFonts w:ascii="Times New Roman" w:hAnsi="Times New Roman" w:cs="Times New Roman"/>
          <w:noProof/>
          <w:sz w:val="24"/>
          <w:szCs w:val="24"/>
        </w:rPr>
        <w:t xml:space="preserve">, as well as of </w:t>
      </w:r>
      <w:r>
        <w:rPr>
          <w:rFonts w:ascii="Times New Roman" w:hAnsi="Times New Roman" w:cs="Times New Roman"/>
          <w:b/>
          <w:bCs/>
          <w:noProof/>
          <w:sz w:val="24"/>
          <w:szCs w:val="24"/>
        </w:rPr>
        <w:t xml:space="preserve">requests for the purpose of </w:t>
      </w:r>
      <w:r>
        <w:rPr>
          <w:rFonts w:ascii="Times New Roman" w:hAnsi="Times New Roman" w:cs="Times New Roman"/>
          <w:b/>
          <w:noProof/>
          <w:sz w:val="24"/>
          <w:szCs w:val="24"/>
        </w:rPr>
        <w:t xml:space="preserve">recruitment </w:t>
      </w:r>
      <w:r>
        <w:rPr>
          <w:rFonts w:ascii="Times New Roman" w:hAnsi="Times New Roman" w:cs="Times New Roman"/>
          <w:noProof/>
          <w:sz w:val="24"/>
          <w:szCs w:val="24"/>
        </w:rPr>
        <w:t xml:space="preserve">for </w:t>
      </w:r>
      <w:r>
        <w:rPr>
          <w:rFonts w:ascii="Times New Roman" w:hAnsi="Times New Roman" w:cs="Times New Roman"/>
          <w:b/>
          <w:noProof/>
          <w:sz w:val="24"/>
          <w:szCs w:val="24"/>
        </w:rPr>
        <w:t>activities involving contact with children</w:t>
      </w:r>
      <w:r>
        <w:rPr>
          <w:rFonts w:ascii="Times New Roman" w:hAnsi="Times New Roman" w:cs="Times New Roman"/>
          <w:noProof/>
          <w:sz w:val="24"/>
          <w:szCs w:val="24"/>
        </w:rPr>
        <w:t xml:space="preserve">, in implementation of </w:t>
      </w:r>
      <w:r>
        <w:rPr>
          <w:rFonts w:ascii="Times New Roman" w:hAnsi="Times New Roman" w:cs="Times New Roman"/>
          <w:b/>
          <w:noProof/>
          <w:sz w:val="24"/>
          <w:szCs w:val="24"/>
        </w:rPr>
        <w:t>Directive 2011/93/EU (115.000 </w:t>
      </w:r>
      <w:r>
        <w:rPr>
          <w:rFonts w:ascii="Times New Roman" w:hAnsi="Times New Roman" w:cs="Times New Roman"/>
          <w:noProof/>
          <w:sz w:val="24"/>
          <w:szCs w:val="24"/>
        </w:rPr>
        <w:t xml:space="preserve">requests - </w:t>
      </w:r>
      <w:r>
        <w:rPr>
          <w:rFonts w:ascii="Times New Roman" w:hAnsi="Times New Roman" w:cs="Times New Roman"/>
          <w:b/>
          <w:bCs/>
          <w:noProof/>
          <w:sz w:val="24"/>
          <w:szCs w:val="24"/>
        </w:rPr>
        <w:t xml:space="preserve">22% </w:t>
      </w:r>
      <w:r>
        <w:rPr>
          <w:rFonts w:ascii="Times New Roman" w:hAnsi="Times New Roman" w:cs="Times New Roman"/>
          <w:noProof/>
          <w:sz w:val="24"/>
          <w:szCs w:val="24"/>
        </w:rPr>
        <w:t xml:space="preserve">of requests for other purposes).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 xml:space="preserve">One reply in four reveals previous criminal convictions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first year of ECRIS operations, on avarage </w:t>
      </w:r>
      <w:r>
        <w:rPr>
          <w:rFonts w:ascii="Times New Roman" w:hAnsi="Times New Roman" w:cs="Times New Roman"/>
          <w:b/>
          <w:noProof/>
          <w:sz w:val="24"/>
          <w:szCs w:val="24"/>
        </w:rPr>
        <w:t>26% of requests for information on previous convictions of a person were replied to with information on previous criminal convictions</w:t>
      </w:r>
      <w:r>
        <w:rPr>
          <w:rFonts w:ascii="Times New Roman" w:hAnsi="Times New Roman" w:cs="Times New Roman"/>
          <w:noProof/>
          <w:sz w:val="24"/>
          <w:szCs w:val="24"/>
        </w:rPr>
        <w:t xml:space="preserve">. For many years, this percentage remained at a stable level of around 30%, to suddenly </w:t>
      </w:r>
      <w:r>
        <w:rPr>
          <w:rFonts w:ascii="Times New Roman" w:hAnsi="Times New Roman" w:cs="Times New Roman"/>
          <w:b/>
          <w:bCs/>
          <w:noProof/>
          <w:sz w:val="24"/>
          <w:szCs w:val="24"/>
        </w:rPr>
        <w:t>drop in 2019 to 19%</w:t>
      </w:r>
      <w:r>
        <w:rPr>
          <w:rFonts w:ascii="Times New Roman" w:hAnsi="Times New Roman" w:cs="Times New Roman"/>
          <w:noProof/>
          <w:sz w:val="24"/>
          <w:szCs w:val="24"/>
        </w:rPr>
        <w:t xml:space="preserve">, in parallel with the dramatic growth of the number of requests for other purposes than criminal proceedings. Yet again, in </w:t>
      </w:r>
      <w:r>
        <w:rPr>
          <w:rFonts w:ascii="Times New Roman" w:hAnsi="Times New Roman" w:cs="Times New Roman"/>
          <w:b/>
          <w:noProof/>
          <w:sz w:val="24"/>
          <w:szCs w:val="24"/>
        </w:rPr>
        <w:t>2019,</w:t>
      </w:r>
      <w:r>
        <w:rPr>
          <w:rFonts w:ascii="Times New Roman" w:hAnsi="Times New Roman" w:cs="Times New Roman"/>
          <w:noProof/>
          <w:sz w:val="24"/>
          <w:szCs w:val="24"/>
        </w:rPr>
        <w:t xml:space="preserve"> over </w:t>
      </w:r>
      <w:r>
        <w:rPr>
          <w:rFonts w:ascii="Times New Roman" w:hAnsi="Times New Roman" w:cs="Times New Roman"/>
          <w:b/>
          <w:noProof/>
          <w:sz w:val="24"/>
          <w:szCs w:val="24"/>
        </w:rPr>
        <w:t>188.000 replies to all requests contained information on previous criminal convictions</w:t>
      </w:r>
      <w:r>
        <w:rPr>
          <w:rFonts w:ascii="Times New Roman" w:hAnsi="Times New Roman" w:cs="Times New Roman"/>
          <w:noProof/>
          <w:sz w:val="24"/>
          <w:szCs w:val="24"/>
        </w:rPr>
        <w:t>.</w:t>
      </w:r>
    </w:p>
    <w:p>
      <w:pPr>
        <w:numPr>
          <w:ilvl w:val="0"/>
          <w:numId w:val="27"/>
        </w:numPr>
        <w:ind w:left="714" w:hanging="357"/>
        <w:jc w:val="both"/>
        <w:rPr>
          <w:rFonts w:ascii="Times New Roman" w:hAnsi="Times New Roman" w:cs="Times New Roman"/>
          <w:b/>
          <w:noProof/>
          <w:sz w:val="24"/>
          <w:szCs w:val="24"/>
          <w:lang w:val="en-US"/>
        </w:rPr>
      </w:pPr>
      <w:r>
        <w:rPr>
          <w:rFonts w:ascii="Times New Roman" w:hAnsi="Times New Roman" w:cs="Times New Roman"/>
          <w:b/>
          <w:noProof/>
          <w:sz w:val="24"/>
          <w:szCs w:val="24"/>
        </w:rPr>
        <w:t>Despite the general increase in the number of updates, many updates are still not notified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bCs/>
          <w:noProof/>
          <w:sz w:val="24"/>
          <w:szCs w:val="24"/>
        </w:rPr>
        <w:t>significant increase in the number of notifications on updates</w:t>
      </w:r>
      <w:r>
        <w:rPr>
          <w:rFonts w:ascii="Times New Roman" w:hAnsi="Times New Roman" w:cs="Times New Roman"/>
          <w:noProof/>
          <w:sz w:val="24"/>
          <w:szCs w:val="24"/>
        </w:rPr>
        <w:t xml:space="preserve"> has been registered, from 25% to </w:t>
      </w:r>
      <w:r>
        <w:rPr>
          <w:rFonts w:ascii="Times New Roman" w:hAnsi="Times New Roman" w:cs="Times New Roman"/>
          <w:b/>
          <w:bCs/>
          <w:noProof/>
          <w:sz w:val="24"/>
          <w:szCs w:val="24"/>
        </w:rPr>
        <w:t>42% of all notifications</w:t>
      </w:r>
      <w:r>
        <w:rPr>
          <w:rFonts w:ascii="Times New Roman" w:hAnsi="Times New Roman" w:cs="Times New Roman"/>
          <w:noProof/>
          <w:sz w:val="24"/>
          <w:szCs w:val="24"/>
        </w:rPr>
        <w:t xml:space="preserve">, amounting to </w:t>
      </w:r>
      <w:r>
        <w:rPr>
          <w:rFonts w:ascii="Times New Roman" w:hAnsi="Times New Roman" w:cs="Times New Roman"/>
          <w:b/>
          <w:bCs/>
          <w:noProof/>
          <w:sz w:val="24"/>
          <w:szCs w:val="24"/>
        </w:rPr>
        <w:t>230.000</w:t>
      </w:r>
      <w:r>
        <w:rPr>
          <w:rFonts w:ascii="Times New Roman" w:hAnsi="Times New Roman" w:cs="Times New Roman"/>
          <w:noProof/>
          <w:sz w:val="24"/>
          <w:szCs w:val="24"/>
        </w:rPr>
        <w:t xml:space="preserve"> in 2019. It concerns, however, only some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At the same time,</w:t>
      </w:r>
      <w:r>
        <w:rPr>
          <w:rFonts w:ascii="Times New Roman" w:hAnsi="Times New Roman" w:cs="Times New Roman"/>
          <w:b/>
          <w:bCs/>
          <w:noProof/>
          <w:sz w:val="24"/>
          <w:szCs w:val="24"/>
        </w:rPr>
        <w:t xml:space="preserve"> numerous Member States</w:t>
      </w:r>
      <w:r>
        <w:rPr>
          <w:rFonts w:ascii="Times New Roman" w:hAnsi="Times New Roman" w:cs="Times New Roman"/>
          <w:noProof/>
          <w:sz w:val="24"/>
          <w:szCs w:val="24"/>
        </w:rPr>
        <w:t xml:space="preserve"> </w:t>
      </w:r>
      <w:r>
        <w:rPr>
          <w:rFonts w:ascii="Times New Roman" w:hAnsi="Times New Roman" w:cs="Times New Roman"/>
          <w:b/>
          <w:noProof/>
          <w:sz w:val="24"/>
          <w:szCs w:val="24"/>
        </w:rPr>
        <w:t>did not send</w:t>
      </w:r>
      <w:r>
        <w:rPr>
          <w:rFonts w:ascii="Times New Roman" w:hAnsi="Times New Roman" w:cs="Times New Roman"/>
          <w:bCs/>
          <w:noProof/>
          <w:sz w:val="24"/>
          <w:szCs w:val="24"/>
        </w:rPr>
        <w:t xml:space="preserve"> </w:t>
      </w:r>
      <w:r>
        <w:rPr>
          <w:rFonts w:ascii="Times New Roman" w:hAnsi="Times New Roman" w:cs="Times New Roman"/>
          <w:b/>
          <w:noProof/>
          <w:sz w:val="24"/>
          <w:szCs w:val="24"/>
        </w:rPr>
        <w:t>updates</w:t>
      </w:r>
      <w:r>
        <w:rPr>
          <w:rFonts w:ascii="Times New Roman" w:hAnsi="Times New Roman" w:cs="Times New Roman"/>
          <w:noProof/>
          <w:sz w:val="24"/>
          <w:szCs w:val="24"/>
        </w:rPr>
        <w:t xml:space="preserve"> on their previously sent notifications in some years </w:t>
      </w:r>
      <w:r>
        <w:rPr>
          <w:rFonts w:ascii="Times New Roman" w:hAnsi="Times New Roman" w:cs="Times New Roman"/>
          <w:b/>
          <w:bCs/>
          <w:noProof/>
          <w:sz w:val="24"/>
          <w:szCs w:val="24"/>
        </w:rPr>
        <w:t xml:space="preserve">at all </w:t>
      </w:r>
      <w:r>
        <w:rPr>
          <w:rFonts w:ascii="Times New Roman" w:hAnsi="Times New Roman" w:cs="Times New Roman"/>
          <w:noProof/>
          <w:sz w:val="24"/>
          <w:szCs w:val="24"/>
        </w:rPr>
        <w:t xml:space="preserve">(BG, DK, EE, EL, IE, LV, LU, MT, PT, SI) or </w:t>
      </w:r>
      <w:r>
        <w:rPr>
          <w:rFonts w:ascii="Times New Roman" w:hAnsi="Times New Roman" w:cs="Times New Roman"/>
          <w:b/>
          <w:noProof/>
          <w:sz w:val="24"/>
          <w:szCs w:val="24"/>
        </w:rPr>
        <w:t>sent a low volume</w:t>
      </w:r>
      <w:r>
        <w:rPr>
          <w:rFonts w:ascii="Times New Roman" w:hAnsi="Times New Roman" w:cs="Times New Roman"/>
          <w:noProof/>
          <w:sz w:val="24"/>
          <w:szCs w:val="24"/>
        </w:rPr>
        <w:t xml:space="preserve"> of such messages (IE, RO, CY, SI, PT, MT). </w:t>
      </w:r>
    </w:p>
    <w:p>
      <w:pPr>
        <w:numPr>
          <w:ilvl w:val="0"/>
          <w:numId w:val="27"/>
        </w:numPr>
        <w:ind w:left="714" w:hanging="357"/>
        <w:jc w:val="both"/>
        <w:rPr>
          <w:rFonts w:ascii="Times New Roman" w:hAnsi="Times New Roman" w:cs="Times New Roman"/>
          <w:b/>
          <w:noProof/>
          <w:sz w:val="24"/>
          <w:szCs w:val="24"/>
        </w:rPr>
      </w:pPr>
      <w:r>
        <w:rPr>
          <w:rFonts w:ascii="Times New Roman" w:hAnsi="Times New Roman"/>
          <w:b/>
          <w:noProof/>
          <w:sz w:val="24"/>
        </w:rPr>
        <w:t xml:space="preserve">ECRIS </w:t>
      </w:r>
      <w:r>
        <w:rPr>
          <w:rFonts w:ascii="Times New Roman" w:hAnsi="Times New Roman" w:cs="Times New Roman"/>
          <w:b/>
          <w:noProof/>
          <w:sz w:val="24"/>
          <w:szCs w:val="24"/>
        </w:rPr>
        <w:t>not always used to request information on previous convictions</w:t>
      </w:r>
    </w:p>
    <w:p>
      <w:pPr>
        <w:jc w:val="both"/>
        <w:rPr>
          <w:rFonts w:ascii="Times New Roman" w:hAnsi="Times New Roman" w:cs="Times New Roman"/>
          <w:noProof/>
          <w:sz w:val="24"/>
          <w:szCs w:val="24"/>
        </w:rPr>
      </w:pPr>
      <w:r>
        <w:rPr>
          <w:rFonts w:ascii="Times New Roman" w:hAnsi="Times New Roman" w:cs="Times New Roman"/>
          <w:b/>
          <w:bCs/>
          <w:noProof/>
          <w:sz w:val="24"/>
          <w:szCs w:val="24"/>
        </w:rPr>
        <w:t>Despite the dramatic increase in the number of requests in general</w:t>
      </w:r>
      <w:r>
        <w:rPr>
          <w:rFonts w:ascii="Times New Roman" w:hAnsi="Times New Roman" w:cs="Times New Roman"/>
          <w:noProof/>
          <w:sz w:val="24"/>
          <w:szCs w:val="24"/>
        </w:rPr>
        <w:t xml:space="preserve">, the problem noted in the first Statistical Report of </w:t>
      </w:r>
      <w:r>
        <w:rPr>
          <w:rFonts w:ascii="Times New Roman" w:hAnsi="Times New Roman" w:cs="Times New Roman"/>
          <w:b/>
          <w:bCs/>
          <w:noProof/>
          <w:sz w:val="24"/>
          <w:szCs w:val="24"/>
        </w:rPr>
        <w:t xml:space="preserve">some Member States </w:t>
      </w:r>
      <w:r>
        <w:rPr>
          <w:rFonts w:ascii="Times New Roman" w:hAnsi="Times New Roman" w:cs="Times New Roman"/>
          <w:b/>
          <w:noProof/>
          <w:sz w:val="24"/>
          <w:szCs w:val="24"/>
        </w:rPr>
        <w:t>sending almost no requests at all</w:t>
      </w:r>
      <w:r>
        <w:rPr>
          <w:rFonts w:ascii="Times New Roman" w:hAnsi="Times New Roman" w:cs="Times New Roman"/>
          <w:noProof/>
          <w:sz w:val="24"/>
          <w:szCs w:val="24"/>
        </w:rPr>
        <w:t xml:space="preserve"> (EL, CY, MT) or </w:t>
      </w:r>
      <w:r>
        <w:rPr>
          <w:rFonts w:ascii="Times New Roman" w:hAnsi="Times New Roman" w:cs="Times New Roman"/>
          <w:b/>
          <w:noProof/>
          <w:sz w:val="24"/>
          <w:szCs w:val="24"/>
        </w:rPr>
        <w:t>sending a low number of requests</w:t>
      </w:r>
      <w:r>
        <w:rPr>
          <w:rFonts w:ascii="Times New Roman" w:hAnsi="Times New Roman" w:cs="Times New Roman"/>
          <w:noProof/>
          <w:sz w:val="24"/>
          <w:szCs w:val="24"/>
        </w:rPr>
        <w:t xml:space="preserve"> in relation to their EU non-national population (BG, EE, HU, IT, LV, RO, SI) still persists.</w:t>
      </w:r>
    </w:p>
    <w:p>
      <w:pPr>
        <w:numPr>
          <w:ilvl w:val="0"/>
          <w:numId w:val="27"/>
        </w:numPr>
        <w:ind w:left="714" w:hanging="357"/>
        <w:jc w:val="both"/>
        <w:rPr>
          <w:rFonts w:ascii="Times New Roman" w:hAnsi="Times New Roman" w:cs="Times New Roman"/>
          <w:b/>
          <w:noProof/>
          <w:sz w:val="24"/>
          <w:szCs w:val="24"/>
        </w:rPr>
      </w:pPr>
      <w:r>
        <w:rPr>
          <w:rFonts w:ascii="Times New Roman" w:hAnsi="Times New Roman" w:cs="Times New Roman"/>
          <w:b/>
          <w:noProof/>
          <w:sz w:val="24"/>
          <w:szCs w:val="24"/>
        </w:rPr>
        <w:t>Requests responded to after the legal deadline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2019, </w:t>
      </w:r>
      <w:r>
        <w:rPr>
          <w:rFonts w:ascii="Times New Roman" w:hAnsi="Times New Roman" w:cs="Times New Roman"/>
          <w:b/>
          <w:noProof/>
          <w:sz w:val="24"/>
          <w:szCs w:val="24"/>
        </w:rPr>
        <w:t xml:space="preserve">190.000 requests were not replied to within the legal deadline, </w:t>
      </w:r>
      <w:r>
        <w:rPr>
          <w:rFonts w:ascii="Times New Roman" w:hAnsi="Times New Roman" w:cs="Times New Roman"/>
          <w:bCs/>
          <w:noProof/>
          <w:sz w:val="24"/>
          <w:szCs w:val="24"/>
        </w:rPr>
        <w:t>which</w:t>
      </w:r>
      <w:r>
        <w:rPr>
          <w:rFonts w:ascii="Times New Roman" w:hAnsi="Times New Roman" w:cs="Times New Roman"/>
          <w:noProof/>
          <w:sz w:val="24"/>
          <w:szCs w:val="24"/>
        </w:rPr>
        <w:t xml:space="preserve"> represents </w:t>
      </w:r>
      <w:r>
        <w:rPr>
          <w:rFonts w:ascii="Times New Roman" w:hAnsi="Times New Roman" w:cs="Times New Roman"/>
          <w:b/>
          <w:noProof/>
          <w:sz w:val="24"/>
          <w:szCs w:val="24"/>
        </w:rPr>
        <w:t>18,4%</w:t>
      </w:r>
      <w:r>
        <w:rPr>
          <w:rFonts w:ascii="Times New Roman" w:hAnsi="Times New Roman" w:cs="Times New Roman"/>
          <w:noProof/>
          <w:sz w:val="24"/>
          <w:szCs w:val="24"/>
        </w:rPr>
        <w:t xml:space="preserve"> </w:t>
      </w:r>
      <w:r>
        <w:rPr>
          <w:rFonts w:ascii="Times New Roman" w:hAnsi="Times New Roman" w:cs="Times New Roman"/>
          <w:b/>
          <w:noProof/>
          <w:sz w:val="24"/>
          <w:szCs w:val="24"/>
        </w:rPr>
        <w:t>of the total</w:t>
      </w:r>
      <w:r>
        <w:rPr>
          <w:rFonts w:ascii="Times New Roman" w:hAnsi="Times New Roman" w:cs="Times New Roman"/>
          <w:noProof/>
          <w:sz w:val="24"/>
          <w:szCs w:val="24"/>
        </w:rPr>
        <w:t xml:space="preserve"> number of requests. This number of late replies is alarming, as it </w:t>
      </w:r>
      <w:r>
        <w:rPr>
          <w:rFonts w:ascii="Times New Roman" w:hAnsi="Times New Roman" w:cs="Times New Roman"/>
          <w:b/>
          <w:bCs/>
          <w:noProof/>
          <w:sz w:val="24"/>
          <w:szCs w:val="24"/>
        </w:rPr>
        <w:t>has</w:t>
      </w:r>
      <w:r>
        <w:rPr>
          <w:rFonts w:ascii="Times New Roman" w:hAnsi="Times New Roman" w:cs="Times New Roman"/>
          <w:noProof/>
          <w:sz w:val="24"/>
          <w:szCs w:val="24"/>
        </w:rPr>
        <w:t xml:space="preserve"> </w:t>
      </w:r>
      <w:r>
        <w:rPr>
          <w:rFonts w:ascii="Times New Roman" w:hAnsi="Times New Roman" w:cs="Times New Roman"/>
          <w:b/>
          <w:bCs/>
          <w:noProof/>
          <w:sz w:val="24"/>
          <w:szCs w:val="24"/>
        </w:rPr>
        <w:t>grown almost 14 times</w:t>
      </w:r>
      <w:r>
        <w:rPr>
          <w:rFonts w:ascii="Times New Roman" w:hAnsi="Times New Roman" w:cs="Times New Roman"/>
          <w:noProof/>
          <w:sz w:val="24"/>
          <w:szCs w:val="24"/>
        </w:rPr>
        <w:t xml:space="preserve"> in comparison with 2016. </w:t>
      </w: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This problem concerns </w:t>
      </w:r>
      <w:r>
        <w:rPr>
          <w:rFonts w:ascii="Times New Roman" w:hAnsi="Times New Roman" w:cs="Times New Roman"/>
          <w:noProof/>
          <w:sz w:val="24"/>
          <w:szCs w:val="24"/>
        </w:rPr>
        <w:t xml:space="preserve">in particular the </w:t>
      </w:r>
      <w:r>
        <w:rPr>
          <w:rFonts w:ascii="Times New Roman" w:hAnsi="Times New Roman" w:cs="Times New Roman"/>
          <w:b/>
          <w:bCs/>
          <w:noProof/>
          <w:sz w:val="24"/>
          <w:szCs w:val="24"/>
        </w:rPr>
        <w:t>Member States</w:t>
      </w:r>
      <w:r>
        <w:rPr>
          <w:rFonts w:ascii="Times New Roman" w:hAnsi="Times New Roman" w:cs="Times New Roman"/>
          <w:noProof/>
          <w:sz w:val="24"/>
          <w:szCs w:val="24"/>
        </w:rPr>
        <w:t xml:space="preserve"> that were </w:t>
      </w:r>
      <w:r>
        <w:rPr>
          <w:rFonts w:ascii="Times New Roman" w:hAnsi="Times New Roman" w:cs="Times New Roman"/>
          <w:b/>
          <w:bCs/>
          <w:noProof/>
          <w:sz w:val="24"/>
          <w:szCs w:val="24"/>
        </w:rPr>
        <w:t xml:space="preserve">confronted with a huge volume of requests </w:t>
      </w:r>
      <w:r>
        <w:rPr>
          <w:rFonts w:ascii="Times New Roman" w:hAnsi="Times New Roman" w:cs="Times New Roman"/>
          <w:noProof/>
          <w:sz w:val="24"/>
          <w:szCs w:val="24"/>
        </w:rPr>
        <w:t>for information: PL, RO, HR, LV, BE and BG.</w:t>
      </w:r>
    </w:p>
    <w:p>
      <w:pPr>
        <w:numPr>
          <w:ilvl w:val="0"/>
          <w:numId w:val="27"/>
        </w:numPr>
        <w:ind w:left="714" w:hanging="357"/>
        <w:jc w:val="both"/>
        <w:rPr>
          <w:rFonts w:ascii="Times New Roman" w:hAnsi="Times New Roman"/>
          <w:b/>
          <w:noProof/>
          <w:sz w:val="24"/>
        </w:rPr>
      </w:pPr>
      <w:r>
        <w:rPr>
          <w:rFonts w:ascii="Times New Roman" w:hAnsi="Times New Roman"/>
          <w:b/>
          <w:noProof/>
          <w:sz w:val="24"/>
        </w:rPr>
        <w:t>Requests for information not responded to</w:t>
      </w:r>
    </w:p>
    <w:p>
      <w:pPr>
        <w:pStyle w:val="ListParagraph"/>
        <w:spacing w:after="120"/>
        <w:ind w:left="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While all Member States respond to</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 xml:space="preserve">requests in general, in 2019 still </w:t>
      </w:r>
      <w:r>
        <w:rPr>
          <w:rFonts w:ascii="Times New Roman" w:hAnsi="Times New Roman" w:cs="Times New Roman"/>
          <w:b/>
          <w:bCs/>
          <w:noProof/>
          <w:sz w:val="24"/>
          <w:szCs w:val="24"/>
          <w:lang w:val="en-US"/>
        </w:rPr>
        <w:t xml:space="preserve">over 42.000 </w:t>
      </w:r>
      <w:r>
        <w:rPr>
          <w:rFonts w:ascii="Times New Roman" w:hAnsi="Times New Roman" w:cs="Times New Roman"/>
          <w:b/>
          <w:noProof/>
          <w:sz w:val="24"/>
          <w:szCs w:val="24"/>
          <w:lang w:val="en-US"/>
        </w:rPr>
        <w:t>requests for information were not responded to</w:t>
      </w:r>
      <w:r>
        <w:rPr>
          <w:rFonts w:ascii="Times New Roman" w:hAnsi="Times New Roman" w:cs="Times New Roman"/>
          <w:noProof/>
          <w:sz w:val="24"/>
          <w:szCs w:val="24"/>
          <w:lang w:val="en-US"/>
        </w:rPr>
        <w:t>. This number corresponded to</w:t>
      </w:r>
      <w:r>
        <w:rPr>
          <w:rFonts w:ascii="Times New Roman" w:hAnsi="Times New Roman" w:cs="Times New Roman"/>
          <w:b/>
          <w:noProof/>
          <w:sz w:val="24"/>
          <w:szCs w:val="24"/>
          <w:lang w:val="en-US"/>
        </w:rPr>
        <w:t xml:space="preserve"> 4,1% of all requests, </w:t>
      </w:r>
      <w:r>
        <w:rPr>
          <w:rFonts w:ascii="Times New Roman" w:hAnsi="Times New Roman" w:cs="Times New Roman"/>
          <w:bCs/>
          <w:noProof/>
          <w:sz w:val="24"/>
          <w:szCs w:val="24"/>
          <w:lang w:val="en-US"/>
        </w:rPr>
        <w:t xml:space="preserve">in comparison with 3,6% in 2016. </w:t>
      </w:r>
      <w:r>
        <w:rPr>
          <w:rFonts w:ascii="Times New Roman" w:hAnsi="Times New Roman" w:cs="Times New Roman"/>
          <w:noProof/>
          <w:sz w:val="24"/>
          <w:szCs w:val="24"/>
          <w:lang w:val="en-US"/>
        </w:rPr>
        <w:t>The Member States which did not reply to the highest percentage of requests received by them were: MT, CY, BG and EL.</w:t>
      </w:r>
    </w:p>
    <w:p>
      <w:pPr>
        <w:pStyle w:val="ListParagraph"/>
        <w:numPr>
          <w:ilvl w:val="0"/>
          <w:numId w:val="43"/>
        </w:numPr>
        <w:spacing w:after="120"/>
        <w:ind w:left="714" w:hanging="357"/>
        <w:rPr>
          <w:rFonts w:ascii="Times New Roman" w:hAnsi="Times New Roman" w:cs="Times New Roman"/>
          <w:b/>
          <w:noProof/>
          <w:sz w:val="24"/>
          <w:szCs w:val="24"/>
          <w:lang w:val="en-US"/>
        </w:rPr>
      </w:pPr>
      <w:r>
        <w:rPr>
          <w:rFonts w:ascii="Times New Roman" w:hAnsi="Times New Roman" w:cs="Times New Roman"/>
          <w:b/>
          <w:noProof/>
          <w:sz w:val="24"/>
          <w:szCs w:val="24"/>
          <w:lang w:val="en-US"/>
        </w:rPr>
        <w:t>Significant differences between the Member States' ECRIS activities and workload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send considerably more </w:t>
      </w:r>
      <w:r>
        <w:rPr>
          <w:rFonts w:ascii="Times New Roman" w:hAnsi="Times New Roman" w:cs="Times New Roman"/>
          <w:b/>
          <w:noProof/>
          <w:sz w:val="24"/>
          <w:szCs w:val="24"/>
        </w:rPr>
        <w:t>requests for information than they receive</w:t>
      </w:r>
      <w:r>
        <w:rPr>
          <w:rFonts w:ascii="Times New Roman" w:hAnsi="Times New Roman" w:cs="Times New Roman"/>
          <w:noProof/>
          <w:sz w:val="24"/>
          <w:szCs w:val="24"/>
        </w:rPr>
        <w:t xml:space="preserve"> (DE, UK and CZ), while other Member States are confronted with a </w:t>
      </w:r>
      <w:r>
        <w:rPr>
          <w:rFonts w:ascii="Times New Roman" w:hAnsi="Times New Roman" w:cs="Times New Roman"/>
          <w:b/>
          <w:noProof/>
          <w:sz w:val="24"/>
          <w:szCs w:val="24"/>
        </w:rPr>
        <w:t>significant workload replying to these requests</w:t>
      </w:r>
      <w:r>
        <w:rPr>
          <w:rFonts w:ascii="Times New Roman" w:hAnsi="Times New Roman" w:cs="Times New Roman"/>
          <w:noProof/>
          <w:sz w:val="24"/>
          <w:szCs w:val="24"/>
        </w:rPr>
        <w:t xml:space="preserve"> (PL, RO, IT, HR, SK and HU). The workload for some other Member States is produced mostly by sending a </w:t>
      </w:r>
      <w:r>
        <w:rPr>
          <w:rFonts w:ascii="Times New Roman" w:hAnsi="Times New Roman" w:cs="Times New Roman"/>
          <w:b/>
          <w:bCs/>
          <w:noProof/>
          <w:sz w:val="24"/>
          <w:szCs w:val="24"/>
        </w:rPr>
        <w:t xml:space="preserve">high number of notifications </w:t>
      </w:r>
      <w:r>
        <w:rPr>
          <w:rFonts w:ascii="Times New Roman" w:hAnsi="Times New Roman" w:cs="Times New Roman"/>
          <w:noProof/>
          <w:sz w:val="24"/>
          <w:szCs w:val="24"/>
        </w:rPr>
        <w:t>on new convictions to the Member States of the offender's nationality (BE and IT).</w:t>
      </w:r>
    </w:p>
    <w:p>
      <w:pPr>
        <w:numPr>
          <w:ilvl w:val="0"/>
          <w:numId w:val="27"/>
        </w:numPr>
        <w:ind w:left="714" w:hanging="357"/>
        <w:jc w:val="both"/>
        <w:rPr>
          <w:rFonts w:ascii="Times New Roman" w:hAnsi="Times New Roman" w:cs="Times New Roman"/>
          <w:noProof/>
          <w:sz w:val="24"/>
          <w:szCs w:val="24"/>
        </w:rPr>
      </w:pPr>
      <w:r>
        <w:rPr>
          <w:rFonts w:ascii="Times New Roman" w:hAnsi="Times New Roman"/>
          <w:b/>
          <w:noProof/>
          <w:sz w:val="24"/>
        </w:rPr>
        <w:t>Current ECRIS still rarely used for</w:t>
      </w:r>
      <w:r>
        <w:rPr>
          <w:rFonts w:ascii="Times New Roman" w:hAnsi="Times New Roman" w:cs="Times New Roman"/>
          <w:b/>
          <w:noProof/>
          <w:sz w:val="24"/>
          <w:szCs w:val="24"/>
        </w:rPr>
        <w:t xml:space="preserve"> TCN</w:t>
      </w:r>
    </w:p>
    <w:p>
      <w:pPr>
        <w:jc w:val="both"/>
        <w:rPr>
          <w:rFonts w:ascii="Times New Roman" w:hAnsi="Times New Roman" w:cs="Times New Roman"/>
          <w:noProof/>
          <w:sz w:val="24"/>
          <w:szCs w:val="24"/>
        </w:rPr>
      </w:pPr>
      <w:r>
        <w:rPr>
          <w:rFonts w:ascii="Times New Roman" w:hAnsi="Times New Roman" w:cs="Times New Roman"/>
          <w:noProof/>
          <w:sz w:val="24"/>
          <w:szCs w:val="24"/>
        </w:rPr>
        <w:t>On average,</w:t>
      </w:r>
      <w:r>
        <w:rPr>
          <w:rFonts w:ascii="Times New Roman" w:hAnsi="Times New Roman" w:cs="Times New Roman"/>
          <w:b/>
          <w:noProof/>
          <w:sz w:val="24"/>
          <w:szCs w:val="24"/>
        </w:rPr>
        <w:t xml:space="preserve"> 92%</w:t>
      </w:r>
      <w:r>
        <w:rPr>
          <w:rFonts w:ascii="Times New Roman" w:hAnsi="Times New Roman" w:cs="Times New Roman"/>
          <w:noProof/>
          <w:sz w:val="24"/>
          <w:szCs w:val="24"/>
        </w:rPr>
        <w:t xml:space="preserve"> of all requests concern </w:t>
      </w:r>
      <w:r>
        <w:rPr>
          <w:rFonts w:ascii="Times New Roman" w:hAnsi="Times New Roman" w:cs="Times New Roman"/>
          <w:b/>
          <w:noProof/>
          <w:sz w:val="24"/>
          <w:szCs w:val="24"/>
        </w:rPr>
        <w:t>EU nationals</w:t>
      </w:r>
      <w:r>
        <w:rPr>
          <w:rFonts w:ascii="Times New Roman" w:hAnsi="Times New Roman" w:cs="Times New Roman"/>
          <w:noProof/>
          <w:sz w:val="24"/>
          <w:szCs w:val="24"/>
        </w:rPr>
        <w:t xml:space="preserve"> and around </w:t>
      </w:r>
      <w:r>
        <w:rPr>
          <w:rFonts w:ascii="Times New Roman" w:hAnsi="Times New Roman" w:cs="Times New Roman"/>
          <w:b/>
          <w:noProof/>
          <w:sz w:val="24"/>
          <w:szCs w:val="24"/>
        </w:rPr>
        <w:t>8% concern third country nationals and stateless persons</w:t>
      </w:r>
      <w:r>
        <w:rPr>
          <w:rFonts w:ascii="Times New Roman" w:hAnsi="Times New Roman" w:cs="Times New Roman"/>
          <w:noProof/>
          <w:sz w:val="24"/>
          <w:szCs w:val="24"/>
        </w:rPr>
        <w:t xml:space="preserve">. The amount of requests for information on TCN </w:t>
      </w:r>
      <w:r>
        <w:rPr>
          <w:rFonts w:ascii="Times New Roman" w:hAnsi="Times New Roman" w:cs="Times New Roman"/>
          <w:bCs/>
          <w:noProof/>
          <w:sz w:val="24"/>
          <w:szCs w:val="24"/>
        </w:rPr>
        <w:t xml:space="preserve">has been steadily </w:t>
      </w:r>
      <w:r>
        <w:rPr>
          <w:rFonts w:ascii="Times New Roman" w:hAnsi="Times New Roman" w:cs="Times New Roman"/>
          <w:b/>
          <w:noProof/>
          <w:sz w:val="24"/>
          <w:szCs w:val="24"/>
        </w:rPr>
        <w:t>growing</w:t>
      </w:r>
      <w:r>
        <w:rPr>
          <w:rFonts w:ascii="Times New Roman" w:hAnsi="Times New Roman" w:cs="Times New Roman"/>
          <w:bCs/>
          <w:noProof/>
          <w:sz w:val="24"/>
          <w:szCs w:val="24"/>
        </w:rPr>
        <w:t xml:space="preserve"> since 2017 to exceed </w:t>
      </w:r>
      <w:r>
        <w:rPr>
          <w:rFonts w:ascii="Times New Roman" w:hAnsi="Times New Roman" w:cs="Times New Roman"/>
          <w:b/>
          <w:noProof/>
          <w:sz w:val="24"/>
          <w:szCs w:val="24"/>
        </w:rPr>
        <w:t>69.000 in 2019</w:t>
      </w:r>
      <w:r>
        <w:rPr>
          <w:rFonts w:ascii="Times New Roman" w:hAnsi="Times New Roman" w:cs="Times New Roman"/>
          <w:noProof/>
          <w:sz w:val="24"/>
          <w:szCs w:val="24"/>
        </w:rPr>
        <w:t xml:space="preserve">. </w:t>
      </w:r>
    </w:p>
    <w:p>
      <w:pPr>
        <w:rPr>
          <w:rStyle w:val="Hyperlink"/>
          <w:rFonts w:ascii="Times New Roman" w:hAnsi="Times New Roman" w:cs="Times New Roman"/>
          <w:noProof/>
          <w:color w:val="auto"/>
          <w:sz w:val="24"/>
          <w:szCs w:val="24"/>
          <w:u w:val="none"/>
        </w:rPr>
      </w:pPr>
    </w:p>
    <w:sectPr>
      <w:headerReference w:type="even" r:id="rId33"/>
      <w:headerReference w:type="default" r:id="rId34"/>
      <w:footerReference w:type="even" r:id="rId35"/>
      <w:footerReference w:type="default" r:id="rId36"/>
      <w:headerReference w:type="first" r:id="rId37"/>
      <w:footerReference w:type="first" r:id="rId38"/>
      <w:pgSz w:w="11907" w:h="16840" w:code="9"/>
      <w:pgMar w:top="1418" w:right="1418" w:bottom="1418" w:left="1418" w:header="851" w:footer="255"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14629"/>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531446"/>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rPr>
            <w:noProof/>
          </w:rP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spacing w:after="0"/>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lang w:val="x-none"/>
        </w:rPr>
        <w:t>OJ L 93, 7.4.2009, p. 23</w:t>
      </w:r>
      <w:r>
        <w:rPr>
          <w:rFonts w:ascii="Times New Roman" w:hAnsi="Times New Roman" w:cs="Times New Roman"/>
          <w:sz w:val="20"/>
        </w:rPr>
        <w:t xml:space="preserve"> - as amended by </w:t>
      </w:r>
      <w:r>
        <w:rPr>
          <w:rFonts w:ascii="Times New Roman" w:hAnsi="Times New Roman" w:cs="Times New Roman"/>
          <w:sz w:val="20"/>
          <w:lang w:val="en-US"/>
        </w:rPr>
        <w:t>Directive (EU) 2019/884, OJ L 151, 7.6.2019, p. 143.</w:t>
      </w:r>
    </w:p>
  </w:footnote>
  <w:footnote w:id="3">
    <w:p>
      <w:pPr>
        <w:pStyle w:val="FootnoteText"/>
        <w:spacing w:after="0"/>
        <w:rPr>
          <w:rFonts w:ascii="Times New Roman" w:hAnsi="Times New Roman" w:cs="Times New Roman"/>
          <w:lang w:val="en-US"/>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lang w:val="x-none"/>
        </w:rPr>
        <w:t xml:space="preserve">OJ L 93, 7.4.2009, </w:t>
      </w:r>
      <w:r>
        <w:rPr>
          <w:rFonts w:ascii="Times New Roman" w:hAnsi="Times New Roman" w:cs="Times New Roman"/>
          <w:sz w:val="20"/>
        </w:rPr>
        <w:t xml:space="preserve">p. </w:t>
      </w:r>
      <w:r>
        <w:rPr>
          <w:rFonts w:ascii="Times New Roman" w:hAnsi="Times New Roman" w:cs="Times New Roman"/>
          <w:sz w:val="20"/>
          <w:lang w:val="x-none"/>
        </w:rPr>
        <w:t>33.</w:t>
      </w:r>
      <w:r>
        <w:rPr>
          <w:rFonts w:ascii="Times New Roman" w:hAnsi="Times New Roman" w:cs="Times New Roman"/>
          <w:sz w:val="20"/>
          <w:lang w:val="en-US"/>
        </w:rPr>
        <w:t xml:space="preserve"> This Decision will be replaced by Directive (EU) 2019/884 with regard to the </w:t>
      </w:r>
      <w:r>
        <w:rPr>
          <w:rFonts w:ascii="Times New Roman" w:hAnsi="Times New Roman" w:cs="Times New Roman"/>
          <w:sz w:val="20"/>
          <w:lang w:val="en-US"/>
        </w:rPr>
        <w:tab/>
        <w:t>Member States bound by this Directive - as from 28 June 2022.</w:t>
      </w:r>
    </w:p>
  </w:footnote>
  <w:footnote w:id="4">
    <w:p>
      <w:pPr>
        <w:spacing w:after="0"/>
        <w:ind w:left="709" w:hanging="709"/>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COM/2017/341 final; SWD/2017/242 final.</w:t>
      </w:r>
    </w:p>
  </w:footnote>
  <w:footnote w:id="5">
    <w:p>
      <w:pPr>
        <w:pStyle w:val="FootnoteText"/>
        <w:jc w:val="both"/>
        <w:rPr>
          <w:sz w:val="20"/>
          <w:lang w:val="en-IE"/>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sz w:val="20"/>
        </w:rPr>
        <w:tab/>
      </w:r>
      <w:r>
        <w:rPr>
          <w:rFonts w:ascii="Times New Roman" w:hAnsi="Times New Roman" w:cs="Times New Roman"/>
          <w:noProof/>
          <w:sz w:val="20"/>
        </w:rPr>
        <w:t>The Commission did not receive data from Cyprus, Greece, Denmark, Lithuania and Slovenia.</w:t>
      </w:r>
    </w:p>
  </w:footnote>
  <w:footnote w:id="6">
    <w:p>
      <w:pPr>
        <w:pStyle w:val="FootnoteText"/>
        <w:spacing w:after="0"/>
        <w:ind w:left="709" w:hanging="709"/>
        <w:rPr>
          <w:rFonts w:ascii="Times New Roman" w:hAnsi="Times New Roman" w:cs="Times New Roman"/>
          <w:sz w:val="20"/>
        </w:rPr>
      </w:pPr>
      <w:r>
        <w:rPr>
          <w:rStyle w:val="FootnoteReference"/>
        </w:rPr>
        <w:footnoteRef/>
      </w:r>
      <w:r>
        <w:t xml:space="preserve"> </w:t>
      </w:r>
      <w:r>
        <w:tab/>
      </w:r>
      <w:r>
        <w:rPr>
          <w:rFonts w:ascii="Times New Roman" w:hAnsi="Times New Roman" w:cs="Times New Roman"/>
          <w:sz w:val="20"/>
        </w:rPr>
        <w:t>For a detailed description of general principles of the exchange of information via ECRIS see the SWD, section 1.</w:t>
      </w:r>
    </w:p>
  </w:footnote>
  <w:footnote w:id="7">
    <w:p>
      <w:pPr>
        <w:pStyle w:val="FootnoteText"/>
      </w:pPr>
      <w:r>
        <w:rPr>
          <w:rStyle w:val="FootnoteReference"/>
        </w:rPr>
        <w:footnoteRef/>
      </w:r>
      <w:r>
        <w:t xml:space="preserve"> </w:t>
      </w:r>
      <w:r>
        <w:tab/>
      </w:r>
      <w:r>
        <w:rPr>
          <w:rFonts w:ascii="Times New Roman" w:hAnsi="Times New Roman" w:cs="Times New Roman"/>
          <w:sz w:val="20"/>
        </w:rPr>
        <w:t>For the history of connections to the ECRIS network see the SWD, section 2.1.</w:t>
      </w:r>
    </w:p>
  </w:footnote>
  <w:footnote w:id="8">
    <w:p>
      <w:pPr>
        <w:pStyle w:val="FootnoteText"/>
        <w:spacing w:after="0"/>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t>This amount takes into account 28 Member States.</w:t>
      </w:r>
    </w:p>
  </w:footnote>
  <w:footnote w:id="9">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t>For the evolution of the interconnections over the years see the SWD, section 2.1.</w:t>
      </w:r>
    </w:p>
  </w:footnote>
  <w:footnote w:id="10">
    <w:p>
      <w:pPr>
        <w:pStyle w:val="FootnoteText"/>
        <w:ind w:left="709" w:hanging="709"/>
        <w:rPr>
          <w:rFonts w:ascii="Times New Roman" w:hAnsi="Times New Roman" w:cs="Times New Roman"/>
          <w:sz w:val="20"/>
        </w:rPr>
      </w:pPr>
      <w:r>
        <w:rPr>
          <w:rStyle w:val="FootnoteReference"/>
          <w:rFonts w:ascii="Times New Roman" w:hAnsi="Times New Roman" w:cs="Times New Roman"/>
          <w:sz w:val="20"/>
        </w:rPr>
        <w:footnoteRef/>
      </w:r>
      <w:r>
        <w:t xml:space="preserve"> </w:t>
      </w:r>
      <w:r>
        <w:tab/>
      </w:r>
      <w:r>
        <w:rPr>
          <w:rFonts w:ascii="Times New Roman" w:hAnsi="Times New Roman" w:cs="Times New Roman"/>
          <w:sz w:val="20"/>
        </w:rPr>
        <w:t>Other replies are for example replies with multiple persons found, with a person not being a national of the requested Member State, etc.</w:t>
      </w:r>
    </w:p>
  </w:footnote>
  <w:footnote w:id="11">
    <w:p>
      <w:pPr>
        <w:pStyle w:val="FootnoteText"/>
        <w:spacing w:after="0"/>
        <w:ind w:left="709" w:hanging="709"/>
        <w:rPr>
          <w:rFonts w:ascii="Times New Roman" w:hAnsi="Times New Roman" w:cs="Times New Roman"/>
          <w:sz w:val="20"/>
        </w:rPr>
      </w:pPr>
      <w:r>
        <w:rPr>
          <w:rStyle w:val="FootnoteReference"/>
        </w:rPr>
        <w:footnoteRef/>
      </w:r>
      <w:r>
        <w:t xml:space="preserve"> </w:t>
      </w:r>
      <w:r>
        <w:tab/>
      </w:r>
      <w:r>
        <w:rPr>
          <w:rFonts w:ascii="Times New Roman" w:hAnsi="Times New Roman" w:cs="Times New Roman"/>
          <w:sz w:val="20"/>
        </w:rPr>
        <w:t>OJ L 220, 15.8.2008, p. 32.</w:t>
      </w:r>
    </w:p>
  </w:footnote>
  <w:footnote w:id="12">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noProof/>
          <w:sz w:val="20"/>
        </w:rPr>
        <w:t>For the years 2017 and 2018 see the SWD, section 2.2.</w:t>
      </w:r>
    </w:p>
  </w:footnote>
  <w:footnote w:id="13">
    <w:p>
      <w:pPr>
        <w:pStyle w:val="FootnoteText"/>
        <w:spacing w:after="0"/>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noProof/>
          <w:sz w:val="20"/>
        </w:rPr>
        <w:t>For the years 2017 and 2018 see the SWD, section 2.3.</w:t>
      </w:r>
    </w:p>
  </w:footnote>
  <w:footnote w:id="14">
    <w:p>
      <w:pPr>
        <w:pStyle w:val="FootnoteText"/>
        <w:spacing w:after="0"/>
        <w:ind w:left="709" w:hanging="709"/>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t>See Eurostat-statistics: https://ec.europa.eu/eurostat/statistics-explained/index.php?title=File:Non-national_population_by_group_of_citizenship,_1_January_2019.png</w:t>
      </w:r>
    </w:p>
    <w:p>
      <w:pPr>
        <w:pStyle w:val="FootnoteText"/>
      </w:pPr>
    </w:p>
  </w:footnote>
  <w:footnote w:id="15">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noProof/>
          <w:sz w:val="20"/>
        </w:rPr>
        <w:t>For more details see the SWD, section 2.3.</w:t>
      </w:r>
    </w:p>
  </w:footnote>
  <w:footnote w:id="16">
    <w:p>
      <w:pPr>
        <w:spacing w:after="0"/>
        <w:ind w:left="709" w:hanging="709"/>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noProof/>
        </w:rPr>
        <w:t>For a detailed analysis of individual Member State statistics on convictions and notifications - see the SWD, section 3.</w:t>
      </w:r>
    </w:p>
  </w:footnote>
  <w:footnote w:id="17">
    <w:p>
      <w:pPr>
        <w:pStyle w:val="FootnoteText"/>
        <w:spacing w:after="0"/>
        <w:rPr>
          <w:rFonts w:ascii="Times New Roman" w:hAnsi="Times New Roman" w:cs="Times New Roman"/>
          <w:sz w:val="20"/>
          <w:lang w:val="en-IE"/>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noProof/>
          <w:sz w:val="20"/>
        </w:rPr>
        <w:t>For the years 2017 and 2018 see the SWD, section 2.4.</w:t>
      </w:r>
    </w:p>
  </w:footnote>
  <w:footnote w:id="18">
    <w:p>
      <w:pPr>
        <w:jc w:val="both"/>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noProof/>
        </w:rPr>
        <w:t>For the years 2017 and 2018 - see the SWD, section 2.5.</w:t>
      </w:r>
    </w:p>
    <w:p>
      <w:pPr>
        <w:pStyle w:val="FootnoteText"/>
      </w:pPr>
    </w:p>
  </w:footnote>
  <w:footnote w:id="19">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ab/>
        <w:t xml:space="preserve">  See section 1.2 above.</w:t>
      </w:r>
    </w:p>
  </w:footnote>
  <w:footnote w:id="20">
    <w:p>
      <w:pPr>
        <w:pStyle w:val="FootnoteText"/>
        <w:ind w:left="851" w:hanging="851"/>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noProof/>
          <w:sz w:val="20"/>
        </w:rPr>
        <w:t>For more details see the SWD: the table in section 2.6 and individual Member State statistics on late replies in section 3.</w:t>
      </w:r>
    </w:p>
  </w:footnote>
  <w:footnote w:id="21">
    <w:p>
      <w:pPr>
        <w:pStyle w:val="FootnoteText"/>
        <w:spacing w:after="0"/>
        <w:rPr>
          <w:sz w:val="20"/>
        </w:rPr>
      </w:pPr>
      <w:r>
        <w:rPr>
          <w:rStyle w:val="FootnoteReference"/>
          <w:sz w:val="20"/>
        </w:rPr>
        <w:footnoteRef/>
      </w:r>
      <w:r>
        <w:rPr>
          <w:sz w:val="20"/>
        </w:rPr>
        <w:t xml:space="preserve"> </w:t>
      </w:r>
      <w:r>
        <w:rPr>
          <w:sz w:val="20"/>
        </w:rPr>
        <w:tab/>
      </w:r>
      <w:r>
        <w:rPr>
          <w:rFonts w:ascii="Times New Roman" w:hAnsi="Times New Roman" w:cs="Times New Roman"/>
          <w:sz w:val="20"/>
        </w:rPr>
        <w:t xml:space="preserve">Directive 2011/93/EU on combating the sexual abuse and sexual exploitation of children and child </w:t>
      </w:r>
      <w:r>
        <w:rPr>
          <w:rFonts w:ascii="Times New Roman" w:hAnsi="Times New Roman" w:cs="Times New Roman"/>
          <w:sz w:val="20"/>
        </w:rPr>
        <w:tab/>
        <w:t>pornography, OJ L 335, 17.12.2011, p. 1.</w:t>
      </w:r>
    </w:p>
  </w:footnote>
  <w:footnote w:id="22">
    <w:p>
      <w:pPr>
        <w:spacing w:after="0"/>
        <w:ind w:left="709" w:hanging="709"/>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noProof/>
        </w:rPr>
        <w:t>For more details on the volumes of requests for various categories of purposes in the years 2017 - 2019 see the SWD, section 2.7.</w:t>
      </w:r>
    </w:p>
  </w:footnote>
  <w:footnote w:id="23">
    <w:p>
      <w:pPr>
        <w:pStyle w:val="FootnoteText"/>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t>See also a table in the SWD, section 2.8.</w:t>
      </w:r>
    </w:p>
  </w:footnote>
  <w:footnote w:id="24">
    <w:p>
      <w:pPr>
        <w:pStyle w:val="FootnoteText"/>
        <w:spacing w:after="0"/>
        <w:ind w:left="680" w:hanging="680"/>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t>Regulation 2019/816/EU establishing ECRIS-TCN, OJ L 135, 22.05.2019, p. 1; Directive 2019/884/EU amending Council Framework Decision 2009/315/JHA, OJ L 151, 7.06.2019, p. 143.</w:t>
      </w:r>
    </w:p>
  </w:footnote>
  <w:footnote w:id="25">
    <w:p>
      <w:pPr>
        <w:pStyle w:val="FootnoteText"/>
        <w:ind w:left="709" w:hanging="709"/>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sz w:val="20"/>
        </w:rPr>
        <w:tab/>
        <w:t>See footnote 9. See also the table in the SWD, section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7B5"/>
    <w:multiLevelType w:val="hybridMultilevel"/>
    <w:tmpl w:val="587E3CAE"/>
    <w:lvl w:ilvl="0" w:tplc="147079E8">
      <w:start w:val="1"/>
      <w:numFmt w:val="bullet"/>
      <w:pStyle w:val="Listbullet2cm"/>
      <w:lvlText w:val=""/>
      <w:lvlJc w:val="left"/>
      <w:pPr>
        <w:tabs>
          <w:tab w:val="num" w:pos="1494"/>
        </w:tabs>
        <w:ind w:left="1474" w:hanging="340"/>
      </w:pPr>
      <w:rPr>
        <w:rFonts w:ascii="Symbol" w:hAnsi="Symbol" w:hint="default"/>
        <w:sz w:val="20"/>
      </w:rPr>
    </w:lvl>
    <w:lvl w:ilvl="1" w:tplc="2752F458">
      <w:start w:val="1"/>
      <w:numFmt w:val="bullet"/>
      <w:pStyle w:val="Listbullet2cm"/>
      <w:lvlText w:val=""/>
      <w:lvlJc w:val="left"/>
      <w:pPr>
        <w:tabs>
          <w:tab w:val="num" w:pos="1440"/>
        </w:tabs>
        <w:ind w:left="1420" w:hanging="340"/>
      </w:pPr>
      <w:rPr>
        <w:rFonts w:ascii="Symbol" w:hAnsi="Symbol" w:hint="default"/>
      </w:rPr>
    </w:lvl>
    <w:lvl w:ilvl="2" w:tplc="53A40F5C" w:tentative="1">
      <w:start w:val="1"/>
      <w:numFmt w:val="bullet"/>
      <w:lvlText w:val=""/>
      <w:lvlJc w:val="left"/>
      <w:pPr>
        <w:tabs>
          <w:tab w:val="num" w:pos="2160"/>
        </w:tabs>
        <w:ind w:left="2160" w:hanging="360"/>
      </w:pPr>
      <w:rPr>
        <w:rFonts w:ascii="Wingdings" w:hAnsi="Wingdings" w:hint="default"/>
      </w:rPr>
    </w:lvl>
    <w:lvl w:ilvl="3" w:tplc="7A2C8FDE" w:tentative="1">
      <w:start w:val="1"/>
      <w:numFmt w:val="bullet"/>
      <w:lvlText w:val=""/>
      <w:lvlJc w:val="left"/>
      <w:pPr>
        <w:tabs>
          <w:tab w:val="num" w:pos="2880"/>
        </w:tabs>
        <w:ind w:left="2880" w:hanging="360"/>
      </w:pPr>
      <w:rPr>
        <w:rFonts w:ascii="Symbol" w:hAnsi="Symbol" w:hint="default"/>
      </w:rPr>
    </w:lvl>
    <w:lvl w:ilvl="4" w:tplc="B874C7CC" w:tentative="1">
      <w:start w:val="1"/>
      <w:numFmt w:val="bullet"/>
      <w:lvlText w:val="o"/>
      <w:lvlJc w:val="left"/>
      <w:pPr>
        <w:tabs>
          <w:tab w:val="num" w:pos="3600"/>
        </w:tabs>
        <w:ind w:left="3600" w:hanging="360"/>
      </w:pPr>
      <w:rPr>
        <w:rFonts w:ascii="Courier New" w:hAnsi="Courier New" w:hint="default"/>
      </w:rPr>
    </w:lvl>
    <w:lvl w:ilvl="5" w:tplc="63D690E6" w:tentative="1">
      <w:start w:val="1"/>
      <w:numFmt w:val="bullet"/>
      <w:lvlText w:val=""/>
      <w:lvlJc w:val="left"/>
      <w:pPr>
        <w:tabs>
          <w:tab w:val="num" w:pos="4320"/>
        </w:tabs>
        <w:ind w:left="4320" w:hanging="360"/>
      </w:pPr>
      <w:rPr>
        <w:rFonts w:ascii="Wingdings" w:hAnsi="Wingdings" w:hint="default"/>
      </w:rPr>
    </w:lvl>
    <w:lvl w:ilvl="6" w:tplc="2D3E0C88" w:tentative="1">
      <w:start w:val="1"/>
      <w:numFmt w:val="bullet"/>
      <w:lvlText w:val=""/>
      <w:lvlJc w:val="left"/>
      <w:pPr>
        <w:tabs>
          <w:tab w:val="num" w:pos="5040"/>
        </w:tabs>
        <w:ind w:left="5040" w:hanging="360"/>
      </w:pPr>
      <w:rPr>
        <w:rFonts w:ascii="Symbol" w:hAnsi="Symbol" w:hint="default"/>
      </w:rPr>
    </w:lvl>
    <w:lvl w:ilvl="7" w:tplc="0AEC5C3E" w:tentative="1">
      <w:start w:val="1"/>
      <w:numFmt w:val="bullet"/>
      <w:lvlText w:val="o"/>
      <w:lvlJc w:val="left"/>
      <w:pPr>
        <w:tabs>
          <w:tab w:val="num" w:pos="5760"/>
        </w:tabs>
        <w:ind w:left="5760" w:hanging="360"/>
      </w:pPr>
      <w:rPr>
        <w:rFonts w:ascii="Courier New" w:hAnsi="Courier New" w:hint="default"/>
      </w:rPr>
    </w:lvl>
    <w:lvl w:ilvl="8" w:tplc="180A8BE6" w:tentative="1">
      <w:start w:val="1"/>
      <w:numFmt w:val="bullet"/>
      <w:lvlText w:val=""/>
      <w:lvlJc w:val="left"/>
      <w:pPr>
        <w:tabs>
          <w:tab w:val="num" w:pos="6480"/>
        </w:tabs>
        <w:ind w:left="6480" w:hanging="360"/>
      </w:pPr>
      <w:rPr>
        <w:rFonts w:ascii="Wingdings" w:hAnsi="Wingdings" w:hint="default"/>
      </w:rPr>
    </w:lvl>
  </w:abstractNum>
  <w:abstractNum w:abstractNumId="1">
    <w:nsid w:val="01A431A5"/>
    <w:multiLevelType w:val="singleLevel"/>
    <w:tmpl w:val="FCDAD016"/>
    <w:lvl w:ilvl="0">
      <w:start w:val="1"/>
      <w:numFmt w:val="bullet"/>
      <w:pStyle w:val="ListBullet1"/>
      <w:lvlText w:val=""/>
      <w:lvlJc w:val="left"/>
      <w:pPr>
        <w:tabs>
          <w:tab w:val="num" w:pos="360"/>
        </w:tabs>
        <w:ind w:left="360" w:hanging="360"/>
      </w:pPr>
      <w:rPr>
        <w:rFonts w:ascii="Wingdings" w:hAnsi="Wingdings" w:hint="default"/>
      </w:rPr>
    </w:lvl>
  </w:abstractNum>
  <w:abstractNum w:abstractNumId="2">
    <w:nsid w:val="061C00CF"/>
    <w:multiLevelType w:val="hybridMultilevel"/>
    <w:tmpl w:val="ABCAF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20208"/>
    <w:multiLevelType w:val="singleLevel"/>
    <w:tmpl w:val="B5AC3962"/>
    <w:lvl w:ilvl="0">
      <w:start w:val="1"/>
      <w:numFmt w:val="bullet"/>
      <w:pStyle w:val="Bullet"/>
      <w:lvlText w:val=""/>
      <w:lvlJc w:val="left"/>
      <w:pPr>
        <w:tabs>
          <w:tab w:val="num" w:pos="360"/>
        </w:tabs>
        <w:ind w:left="360" w:hanging="360"/>
      </w:pPr>
      <w:rPr>
        <w:rFonts w:ascii="Symbol" w:hAnsi="Symbol" w:hint="default"/>
      </w:rPr>
    </w:lvl>
  </w:abstractNum>
  <w:abstractNum w:abstractNumId="4">
    <w:nsid w:val="0CD14F8D"/>
    <w:multiLevelType w:val="hybridMultilevel"/>
    <w:tmpl w:val="21ECA3C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EA86DCF"/>
    <w:multiLevelType w:val="hybridMultilevel"/>
    <w:tmpl w:val="023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D3773A"/>
    <w:multiLevelType w:val="singleLevel"/>
    <w:tmpl w:val="18CA76E8"/>
    <w:lvl w:ilvl="0">
      <w:start w:val="1"/>
      <w:numFmt w:val="bullet"/>
      <w:pStyle w:val="TaBult1"/>
      <w:lvlText w:val=""/>
      <w:lvlJc w:val="left"/>
      <w:pPr>
        <w:tabs>
          <w:tab w:val="num" w:pos="360"/>
        </w:tabs>
        <w:ind w:left="360" w:hanging="360"/>
      </w:pPr>
      <w:rPr>
        <w:rFonts w:ascii="Wingdings" w:hAnsi="Wingdings" w:hint="default"/>
      </w:rPr>
    </w:lvl>
  </w:abstractNum>
  <w:abstractNum w:abstractNumId="7">
    <w:nsid w:val="20231E57"/>
    <w:multiLevelType w:val="singleLevel"/>
    <w:tmpl w:val="B5E20F18"/>
    <w:lvl w:ilvl="0">
      <w:start w:val="1"/>
      <w:numFmt w:val="bullet"/>
      <w:pStyle w:val="Bullet1"/>
      <w:lvlText w:val=""/>
      <w:lvlJc w:val="left"/>
      <w:pPr>
        <w:tabs>
          <w:tab w:val="num" w:pos="360"/>
        </w:tabs>
        <w:ind w:left="360" w:hanging="360"/>
      </w:pPr>
      <w:rPr>
        <w:rFonts w:ascii="Symbol" w:hAnsi="Symbol" w:hint="default"/>
      </w:rPr>
    </w:lvl>
  </w:abstractNum>
  <w:abstractNum w:abstractNumId="8">
    <w:nsid w:val="22E44180"/>
    <w:multiLevelType w:val="multilevel"/>
    <w:tmpl w:val="6C90453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CF01AE"/>
    <w:multiLevelType w:val="multilevel"/>
    <w:tmpl w:val="1E66B5CC"/>
    <w:lvl w:ilvl="0">
      <w:start w:val="1"/>
      <w:numFmt w:val="bullet"/>
      <w:pStyle w:val="List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B75631B"/>
    <w:multiLevelType w:val="singleLevel"/>
    <w:tmpl w:val="D1F2C4D8"/>
    <w:lvl w:ilvl="0">
      <w:start w:val="1"/>
      <w:numFmt w:val="bullet"/>
      <w:pStyle w:val="ListNumber"/>
      <w:lvlText w:val=""/>
      <w:lvlJc w:val="left"/>
      <w:pPr>
        <w:tabs>
          <w:tab w:val="num" w:pos="765"/>
        </w:tabs>
        <w:ind w:left="765" w:hanging="283"/>
      </w:pPr>
      <w:rPr>
        <w:rFonts w:ascii="Symbol" w:hAnsi="Symbol"/>
      </w:rPr>
    </w:lvl>
  </w:abstractNum>
  <w:abstractNum w:abstractNumId="11">
    <w:nsid w:val="2CD40552"/>
    <w:multiLevelType w:val="hybridMultilevel"/>
    <w:tmpl w:val="726C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ED044C"/>
    <w:multiLevelType w:val="hybridMultilevel"/>
    <w:tmpl w:val="279E5052"/>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F144D28"/>
    <w:multiLevelType w:val="singleLevel"/>
    <w:tmpl w:val="6DC45E2C"/>
    <w:lvl w:ilvl="0">
      <w:start w:val="1"/>
      <w:numFmt w:val="bullet"/>
      <w:pStyle w:val="Bullet10"/>
      <w:lvlText w:val=""/>
      <w:lvlJc w:val="left"/>
      <w:pPr>
        <w:tabs>
          <w:tab w:val="num" w:pos="360"/>
        </w:tabs>
        <w:ind w:left="360" w:hanging="360"/>
      </w:pPr>
      <w:rPr>
        <w:rFonts w:ascii="Symbol" w:hAnsi="Symbol" w:hint="default"/>
      </w:rPr>
    </w:lvl>
  </w:abstractNum>
  <w:abstractNum w:abstractNumId="14">
    <w:nsid w:val="3C914D61"/>
    <w:multiLevelType w:val="singleLevel"/>
    <w:tmpl w:val="C2F6FA2A"/>
    <w:lvl w:ilvl="0">
      <w:start w:val="1"/>
      <w:numFmt w:val="decimal"/>
      <w:pStyle w:val="Listnumber2cm"/>
      <w:lvlText w:val="%1"/>
      <w:lvlJc w:val="left"/>
      <w:pPr>
        <w:tabs>
          <w:tab w:val="num" w:pos="1701"/>
        </w:tabs>
        <w:ind w:left="1701" w:hanging="567"/>
      </w:pPr>
      <w:rPr>
        <w:rFonts w:hint="default"/>
      </w:rPr>
    </w:lvl>
  </w:abstractNum>
  <w:abstractNum w:abstractNumId="15">
    <w:nsid w:val="3E503334"/>
    <w:multiLevelType w:val="hybridMultilevel"/>
    <w:tmpl w:val="8744AD0A"/>
    <w:lvl w:ilvl="0" w:tplc="080C0001">
      <w:start w:val="1"/>
      <w:numFmt w:val="bullet"/>
      <w:lvlText w:val=""/>
      <w:lvlJc w:val="left"/>
      <w:pPr>
        <w:ind w:left="643" w:hanging="360"/>
      </w:pPr>
      <w:rPr>
        <w:rFonts w:ascii="Symbol" w:hAnsi="Symbol" w:hint="default"/>
        <w:b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nsid w:val="40A83CEA"/>
    <w:multiLevelType w:val="hybridMultilevel"/>
    <w:tmpl w:val="541C3B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1260B5C"/>
    <w:multiLevelType w:val="hybridMultilevel"/>
    <w:tmpl w:val="4630169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2544AE5"/>
    <w:multiLevelType w:val="hybridMultilevel"/>
    <w:tmpl w:val="072697CC"/>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nsid w:val="44AA7DEB"/>
    <w:multiLevelType w:val="singleLevel"/>
    <w:tmpl w:val="5798E670"/>
    <w:lvl w:ilvl="0">
      <w:start w:val="1"/>
      <w:numFmt w:val="bullet"/>
      <w:pStyle w:val="Puce2"/>
      <w:lvlText w:val=""/>
      <w:lvlJc w:val="left"/>
      <w:pPr>
        <w:tabs>
          <w:tab w:val="num" w:pos="927"/>
        </w:tabs>
        <w:ind w:left="907" w:hanging="340"/>
      </w:pPr>
      <w:rPr>
        <w:rFonts w:ascii="Wingdings" w:hAnsi="Wingdings" w:hint="default"/>
      </w:rPr>
    </w:lvl>
  </w:abstractNum>
  <w:abstractNum w:abstractNumId="20">
    <w:nsid w:val="465D172F"/>
    <w:multiLevelType w:val="multilevel"/>
    <w:tmpl w:val="9CBAF6BE"/>
    <w:lvl w:ilvl="0">
      <w:start w:val="1"/>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C3B30B9"/>
    <w:multiLevelType w:val="hybridMultilevel"/>
    <w:tmpl w:val="AD448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F12FAC"/>
    <w:multiLevelType w:val="hybridMultilevel"/>
    <w:tmpl w:val="DA3CDF7E"/>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195C26"/>
    <w:multiLevelType w:val="singleLevel"/>
    <w:tmpl w:val="2A2099E6"/>
    <w:lvl w:ilvl="0">
      <w:start w:val="1"/>
      <w:numFmt w:val="bullet"/>
      <w:pStyle w:val="Lista"/>
      <w:lvlText w:val=""/>
      <w:lvlJc w:val="left"/>
      <w:pPr>
        <w:tabs>
          <w:tab w:val="num" w:pos="360"/>
        </w:tabs>
        <w:ind w:left="360" w:hanging="360"/>
      </w:pPr>
      <w:rPr>
        <w:rFonts w:ascii="Symbol" w:hAnsi="Symbol" w:hint="default"/>
      </w:rPr>
    </w:lvl>
  </w:abstractNum>
  <w:abstractNum w:abstractNumId="24">
    <w:nsid w:val="5687478B"/>
    <w:multiLevelType w:val="hybridMultilevel"/>
    <w:tmpl w:val="DF9CF0A4"/>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nsid w:val="5BB02CEE"/>
    <w:multiLevelType w:val="hybridMultilevel"/>
    <w:tmpl w:val="A47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EA11F0"/>
    <w:multiLevelType w:val="hybridMultilevel"/>
    <w:tmpl w:val="16D07B52"/>
    <w:lvl w:ilvl="0" w:tplc="E898B9B8">
      <w:start w:val="1"/>
      <w:numFmt w:val="bullet"/>
      <w:pStyle w:val="Listbullet1cm"/>
      <w:lvlText w:val=""/>
      <w:lvlJc w:val="left"/>
      <w:pPr>
        <w:tabs>
          <w:tab w:val="num" w:pos="1647"/>
        </w:tabs>
        <w:ind w:left="1627" w:hanging="340"/>
      </w:pPr>
      <w:rPr>
        <w:rFonts w:ascii="Symbol" w:hAnsi="Symbol" w:hint="default"/>
        <w:sz w:val="20"/>
      </w:rPr>
    </w:lvl>
    <w:lvl w:ilvl="1" w:tplc="387C74FA" w:tentative="1">
      <w:start w:val="1"/>
      <w:numFmt w:val="bullet"/>
      <w:lvlText w:val="o"/>
      <w:lvlJc w:val="left"/>
      <w:pPr>
        <w:tabs>
          <w:tab w:val="num" w:pos="1440"/>
        </w:tabs>
        <w:ind w:left="1440" w:hanging="360"/>
      </w:pPr>
      <w:rPr>
        <w:rFonts w:ascii="Courier New" w:hAnsi="Courier New" w:hint="default"/>
      </w:rPr>
    </w:lvl>
    <w:lvl w:ilvl="2" w:tplc="3B7E9B3E" w:tentative="1">
      <w:start w:val="1"/>
      <w:numFmt w:val="bullet"/>
      <w:lvlText w:val=""/>
      <w:lvlJc w:val="left"/>
      <w:pPr>
        <w:tabs>
          <w:tab w:val="num" w:pos="2160"/>
        </w:tabs>
        <w:ind w:left="2160" w:hanging="360"/>
      </w:pPr>
      <w:rPr>
        <w:rFonts w:ascii="Wingdings" w:hAnsi="Wingdings" w:hint="default"/>
      </w:rPr>
    </w:lvl>
    <w:lvl w:ilvl="3" w:tplc="24345B38" w:tentative="1">
      <w:start w:val="1"/>
      <w:numFmt w:val="bullet"/>
      <w:lvlText w:val=""/>
      <w:lvlJc w:val="left"/>
      <w:pPr>
        <w:tabs>
          <w:tab w:val="num" w:pos="2880"/>
        </w:tabs>
        <w:ind w:left="2880" w:hanging="360"/>
      </w:pPr>
      <w:rPr>
        <w:rFonts w:ascii="Symbol" w:hAnsi="Symbol" w:hint="default"/>
      </w:rPr>
    </w:lvl>
    <w:lvl w:ilvl="4" w:tplc="C8B8E8CC" w:tentative="1">
      <w:start w:val="1"/>
      <w:numFmt w:val="bullet"/>
      <w:lvlText w:val="o"/>
      <w:lvlJc w:val="left"/>
      <w:pPr>
        <w:tabs>
          <w:tab w:val="num" w:pos="3600"/>
        </w:tabs>
        <w:ind w:left="3600" w:hanging="360"/>
      </w:pPr>
      <w:rPr>
        <w:rFonts w:ascii="Courier New" w:hAnsi="Courier New" w:hint="default"/>
      </w:rPr>
    </w:lvl>
    <w:lvl w:ilvl="5" w:tplc="83DABCBE" w:tentative="1">
      <w:start w:val="1"/>
      <w:numFmt w:val="bullet"/>
      <w:lvlText w:val=""/>
      <w:lvlJc w:val="left"/>
      <w:pPr>
        <w:tabs>
          <w:tab w:val="num" w:pos="4320"/>
        </w:tabs>
        <w:ind w:left="4320" w:hanging="360"/>
      </w:pPr>
      <w:rPr>
        <w:rFonts w:ascii="Wingdings" w:hAnsi="Wingdings" w:hint="default"/>
      </w:rPr>
    </w:lvl>
    <w:lvl w:ilvl="6" w:tplc="65D04D92" w:tentative="1">
      <w:start w:val="1"/>
      <w:numFmt w:val="bullet"/>
      <w:lvlText w:val=""/>
      <w:lvlJc w:val="left"/>
      <w:pPr>
        <w:tabs>
          <w:tab w:val="num" w:pos="5040"/>
        </w:tabs>
        <w:ind w:left="5040" w:hanging="360"/>
      </w:pPr>
      <w:rPr>
        <w:rFonts w:ascii="Symbol" w:hAnsi="Symbol" w:hint="default"/>
      </w:rPr>
    </w:lvl>
    <w:lvl w:ilvl="7" w:tplc="476C85D6" w:tentative="1">
      <w:start w:val="1"/>
      <w:numFmt w:val="bullet"/>
      <w:lvlText w:val="o"/>
      <w:lvlJc w:val="left"/>
      <w:pPr>
        <w:tabs>
          <w:tab w:val="num" w:pos="5760"/>
        </w:tabs>
        <w:ind w:left="5760" w:hanging="360"/>
      </w:pPr>
      <w:rPr>
        <w:rFonts w:ascii="Courier New" w:hAnsi="Courier New" w:hint="default"/>
      </w:rPr>
    </w:lvl>
    <w:lvl w:ilvl="8" w:tplc="DF8A4592" w:tentative="1">
      <w:start w:val="1"/>
      <w:numFmt w:val="bullet"/>
      <w:lvlText w:val=""/>
      <w:lvlJc w:val="left"/>
      <w:pPr>
        <w:tabs>
          <w:tab w:val="num" w:pos="6480"/>
        </w:tabs>
        <w:ind w:left="6480" w:hanging="360"/>
      </w:pPr>
      <w:rPr>
        <w:rFonts w:ascii="Wingdings" w:hAnsi="Wingdings" w:hint="default"/>
      </w:rPr>
    </w:lvl>
  </w:abstractNum>
  <w:abstractNum w:abstractNumId="27">
    <w:nsid w:val="662B5C67"/>
    <w:multiLevelType w:val="singleLevel"/>
    <w:tmpl w:val="8F10F890"/>
    <w:lvl w:ilvl="0">
      <w:start w:val="1"/>
      <w:numFmt w:val="bullet"/>
      <w:pStyle w:val="BodyTextIndent"/>
      <w:lvlText w:val="–"/>
      <w:lvlJc w:val="left"/>
      <w:pPr>
        <w:tabs>
          <w:tab w:val="num" w:pos="283"/>
        </w:tabs>
        <w:ind w:left="283" w:hanging="283"/>
      </w:pPr>
      <w:rPr>
        <w:rFonts w:ascii="Times New Roman" w:hAnsi="Times New Roman"/>
      </w:rPr>
    </w:lvl>
  </w:abstractNum>
  <w:abstractNum w:abstractNumId="28">
    <w:nsid w:val="66C02E3F"/>
    <w:multiLevelType w:val="hybridMultilevel"/>
    <w:tmpl w:val="91B0992A"/>
    <w:lvl w:ilvl="0" w:tplc="BE84792A">
      <w:start w:val="1"/>
      <w:numFmt w:val="decimal"/>
      <w:lvlText w:val="%1."/>
      <w:lvlJc w:val="left"/>
      <w:pPr>
        <w:tabs>
          <w:tab w:val="num" w:pos="720"/>
        </w:tabs>
        <w:ind w:left="720" w:hanging="360"/>
      </w:pPr>
    </w:lvl>
    <w:lvl w:ilvl="1" w:tplc="AB4ADF3A">
      <w:start w:val="1"/>
      <w:numFmt w:val="bullet"/>
      <w:pStyle w:val="TableBullet"/>
      <w:lvlText w:val=""/>
      <w:lvlJc w:val="left"/>
      <w:pPr>
        <w:tabs>
          <w:tab w:val="num" w:pos="1440"/>
        </w:tabs>
        <w:ind w:left="1420" w:hanging="340"/>
      </w:pPr>
      <w:rPr>
        <w:rFonts w:ascii="Symbol" w:hAnsi="Symbol" w:hint="default"/>
      </w:rPr>
    </w:lvl>
    <w:lvl w:ilvl="2" w:tplc="728012D0">
      <w:start w:val="1"/>
      <w:numFmt w:val="lowerRoman"/>
      <w:lvlText w:val="%3."/>
      <w:lvlJc w:val="right"/>
      <w:pPr>
        <w:tabs>
          <w:tab w:val="num" w:pos="2160"/>
        </w:tabs>
        <w:ind w:left="2160" w:hanging="180"/>
      </w:pPr>
    </w:lvl>
    <w:lvl w:ilvl="3" w:tplc="188E441A" w:tentative="1">
      <w:start w:val="1"/>
      <w:numFmt w:val="decimal"/>
      <w:lvlText w:val="%4."/>
      <w:lvlJc w:val="left"/>
      <w:pPr>
        <w:tabs>
          <w:tab w:val="num" w:pos="2880"/>
        </w:tabs>
        <w:ind w:left="2880" w:hanging="360"/>
      </w:pPr>
    </w:lvl>
    <w:lvl w:ilvl="4" w:tplc="FD262742" w:tentative="1">
      <w:start w:val="1"/>
      <w:numFmt w:val="lowerLetter"/>
      <w:lvlText w:val="%5."/>
      <w:lvlJc w:val="left"/>
      <w:pPr>
        <w:tabs>
          <w:tab w:val="num" w:pos="3600"/>
        </w:tabs>
        <w:ind w:left="3600" w:hanging="360"/>
      </w:pPr>
    </w:lvl>
    <w:lvl w:ilvl="5" w:tplc="77C2C0B4" w:tentative="1">
      <w:start w:val="1"/>
      <w:numFmt w:val="lowerRoman"/>
      <w:lvlText w:val="%6."/>
      <w:lvlJc w:val="right"/>
      <w:pPr>
        <w:tabs>
          <w:tab w:val="num" w:pos="4320"/>
        </w:tabs>
        <w:ind w:left="4320" w:hanging="180"/>
      </w:pPr>
    </w:lvl>
    <w:lvl w:ilvl="6" w:tplc="38D81E78" w:tentative="1">
      <w:start w:val="1"/>
      <w:numFmt w:val="decimal"/>
      <w:lvlText w:val="%7."/>
      <w:lvlJc w:val="left"/>
      <w:pPr>
        <w:tabs>
          <w:tab w:val="num" w:pos="5040"/>
        </w:tabs>
        <w:ind w:left="5040" w:hanging="360"/>
      </w:pPr>
    </w:lvl>
    <w:lvl w:ilvl="7" w:tplc="20EC8814" w:tentative="1">
      <w:start w:val="1"/>
      <w:numFmt w:val="lowerLetter"/>
      <w:lvlText w:val="%8."/>
      <w:lvlJc w:val="left"/>
      <w:pPr>
        <w:tabs>
          <w:tab w:val="num" w:pos="5760"/>
        </w:tabs>
        <w:ind w:left="5760" w:hanging="360"/>
      </w:pPr>
    </w:lvl>
    <w:lvl w:ilvl="8" w:tplc="EF3C8C46" w:tentative="1">
      <w:start w:val="1"/>
      <w:numFmt w:val="lowerRoman"/>
      <w:lvlText w:val="%9."/>
      <w:lvlJc w:val="right"/>
      <w:pPr>
        <w:tabs>
          <w:tab w:val="num" w:pos="6480"/>
        </w:tabs>
        <w:ind w:left="6480" w:hanging="180"/>
      </w:pPr>
    </w:lvl>
  </w:abstractNum>
  <w:abstractNum w:abstractNumId="29">
    <w:nsid w:val="67381CEE"/>
    <w:multiLevelType w:val="hybridMultilevel"/>
    <w:tmpl w:val="BAF01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58419E"/>
    <w:multiLevelType w:val="multilevel"/>
    <w:tmpl w:val="DDD0F768"/>
    <w:lvl w:ilvl="0">
      <w:start w:val="1"/>
      <w:numFmt w:val="bullet"/>
      <w:pStyle w:val="SteriaBullet"/>
      <w:lvlText w:val=""/>
      <w:lvlJc w:val="left"/>
      <w:pPr>
        <w:tabs>
          <w:tab w:val="num" w:pos="4235"/>
        </w:tabs>
        <w:ind w:left="4235" w:hanging="360"/>
      </w:pPr>
      <w:rPr>
        <w:rFonts w:ascii="Wingdings" w:hAnsi="Wingdings" w:hint="default"/>
        <w:color w:val="FF5900"/>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AE4708B"/>
    <w:multiLevelType w:val="hybridMultilevel"/>
    <w:tmpl w:val="965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6764EE"/>
    <w:multiLevelType w:val="multilevel"/>
    <w:tmpl w:val="590CAE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130"/>
        </w:tabs>
        <w:ind w:left="3130" w:hanging="720"/>
      </w:pPr>
    </w:lvl>
    <w:lvl w:ilvl="3">
      <w:start w:val="1"/>
      <w:numFmt w:val="decimal"/>
      <w:pStyle w:val="Heading4"/>
      <w:lvlText w:val="%1.%2.%3.%4"/>
      <w:lvlJc w:val="left"/>
      <w:pPr>
        <w:tabs>
          <w:tab w:val="num" w:pos="3842"/>
        </w:tabs>
        <w:ind w:left="3842" w:hanging="864"/>
      </w:pPr>
    </w:lvl>
    <w:lvl w:ilvl="4">
      <w:start w:val="1"/>
      <w:numFmt w:val="decimal"/>
      <w:pStyle w:val="Heading5"/>
      <w:lvlText w:val="%1.%2.%3.%4.%5"/>
      <w:lvlJc w:val="left"/>
      <w:pPr>
        <w:tabs>
          <w:tab w:val="num" w:pos="4269"/>
        </w:tabs>
        <w:ind w:left="4269"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nsid w:val="74A06403"/>
    <w:multiLevelType w:val="hybridMultilevel"/>
    <w:tmpl w:val="9F4A8AF2"/>
    <w:lvl w:ilvl="0" w:tplc="DC7AC5D2">
      <w:start w:val="1"/>
      <w:numFmt w:val="decimal"/>
      <w:pStyle w:val="Listnumber1cm"/>
      <w:lvlText w:val="%1"/>
      <w:lvlJc w:val="left"/>
      <w:pPr>
        <w:tabs>
          <w:tab w:val="num" w:pos="927"/>
        </w:tabs>
        <w:ind w:left="851" w:hanging="284"/>
      </w:pPr>
      <w:rPr>
        <w:rFonts w:hint="default"/>
      </w:rPr>
    </w:lvl>
    <w:lvl w:ilvl="1" w:tplc="AFFCEF48" w:tentative="1">
      <w:start w:val="1"/>
      <w:numFmt w:val="lowerLetter"/>
      <w:lvlText w:val="%2."/>
      <w:lvlJc w:val="left"/>
      <w:pPr>
        <w:tabs>
          <w:tab w:val="num" w:pos="1440"/>
        </w:tabs>
        <w:ind w:left="1440" w:hanging="360"/>
      </w:pPr>
    </w:lvl>
    <w:lvl w:ilvl="2" w:tplc="279CE068" w:tentative="1">
      <w:start w:val="1"/>
      <w:numFmt w:val="lowerRoman"/>
      <w:lvlText w:val="%3."/>
      <w:lvlJc w:val="right"/>
      <w:pPr>
        <w:tabs>
          <w:tab w:val="num" w:pos="2160"/>
        </w:tabs>
        <w:ind w:left="2160" w:hanging="180"/>
      </w:pPr>
    </w:lvl>
    <w:lvl w:ilvl="3" w:tplc="BA000492" w:tentative="1">
      <w:start w:val="1"/>
      <w:numFmt w:val="decimal"/>
      <w:lvlText w:val="%4."/>
      <w:lvlJc w:val="left"/>
      <w:pPr>
        <w:tabs>
          <w:tab w:val="num" w:pos="2880"/>
        </w:tabs>
        <w:ind w:left="2880" w:hanging="360"/>
      </w:pPr>
    </w:lvl>
    <w:lvl w:ilvl="4" w:tplc="A1E8A902" w:tentative="1">
      <w:start w:val="1"/>
      <w:numFmt w:val="lowerLetter"/>
      <w:lvlText w:val="%5."/>
      <w:lvlJc w:val="left"/>
      <w:pPr>
        <w:tabs>
          <w:tab w:val="num" w:pos="3600"/>
        </w:tabs>
        <w:ind w:left="3600" w:hanging="360"/>
      </w:pPr>
    </w:lvl>
    <w:lvl w:ilvl="5" w:tplc="4D2E328A" w:tentative="1">
      <w:start w:val="1"/>
      <w:numFmt w:val="lowerRoman"/>
      <w:lvlText w:val="%6."/>
      <w:lvlJc w:val="right"/>
      <w:pPr>
        <w:tabs>
          <w:tab w:val="num" w:pos="4320"/>
        </w:tabs>
        <w:ind w:left="4320" w:hanging="180"/>
      </w:pPr>
    </w:lvl>
    <w:lvl w:ilvl="6" w:tplc="27E29162" w:tentative="1">
      <w:start w:val="1"/>
      <w:numFmt w:val="decimal"/>
      <w:lvlText w:val="%7."/>
      <w:lvlJc w:val="left"/>
      <w:pPr>
        <w:tabs>
          <w:tab w:val="num" w:pos="5040"/>
        </w:tabs>
        <w:ind w:left="5040" w:hanging="360"/>
      </w:pPr>
    </w:lvl>
    <w:lvl w:ilvl="7" w:tplc="D1B82ED0" w:tentative="1">
      <w:start w:val="1"/>
      <w:numFmt w:val="lowerLetter"/>
      <w:lvlText w:val="%8."/>
      <w:lvlJc w:val="left"/>
      <w:pPr>
        <w:tabs>
          <w:tab w:val="num" w:pos="5760"/>
        </w:tabs>
        <w:ind w:left="5760" w:hanging="360"/>
      </w:pPr>
    </w:lvl>
    <w:lvl w:ilvl="8" w:tplc="2C0A0A6A" w:tentative="1">
      <w:start w:val="1"/>
      <w:numFmt w:val="lowerRoman"/>
      <w:lvlText w:val="%9."/>
      <w:lvlJc w:val="right"/>
      <w:pPr>
        <w:tabs>
          <w:tab w:val="num" w:pos="6480"/>
        </w:tabs>
        <w:ind w:left="6480" w:hanging="180"/>
      </w:pPr>
    </w:lvl>
  </w:abstractNum>
  <w:abstractNum w:abstractNumId="34">
    <w:nsid w:val="7EE31169"/>
    <w:multiLevelType w:val="hybridMultilevel"/>
    <w:tmpl w:val="29BED7C2"/>
    <w:lvl w:ilvl="0" w:tplc="E06C5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8"/>
  </w:num>
  <w:num w:numId="3">
    <w:abstractNumId w:val="0"/>
  </w:num>
  <w:num w:numId="4">
    <w:abstractNumId w:val="14"/>
  </w:num>
  <w:num w:numId="5">
    <w:abstractNumId w:val="26"/>
  </w:num>
  <w:num w:numId="6">
    <w:abstractNumId w:val="33"/>
  </w:num>
  <w:num w:numId="7">
    <w:abstractNumId w:val="20"/>
  </w:num>
  <w:num w:numId="8">
    <w:abstractNumId w:val="3"/>
  </w:num>
  <w:num w:numId="9">
    <w:abstractNumId w:val="7"/>
  </w:num>
  <w:num w:numId="10">
    <w:abstractNumId w:val="13"/>
  </w:num>
  <w:num w:numId="11">
    <w:abstractNumId w:val="23"/>
  </w:num>
  <w:num w:numId="12">
    <w:abstractNumId w:val="9"/>
  </w:num>
  <w:num w:numId="13">
    <w:abstractNumId w:val="1"/>
  </w:num>
  <w:num w:numId="14">
    <w:abstractNumId w:val="10"/>
  </w:num>
  <w:num w:numId="15">
    <w:abstractNumId w:val="19"/>
  </w:num>
  <w:num w:numId="16">
    <w:abstractNumId w:val="30"/>
  </w:num>
  <w:num w:numId="17">
    <w:abstractNumId w:val="6"/>
  </w:num>
  <w:num w:numId="18">
    <w:abstractNumId w:val="27"/>
  </w:num>
  <w:num w:numId="19">
    <w:abstractNumId w:val="11"/>
  </w:num>
  <w:num w:numId="20">
    <w:abstractNumId w:val="31"/>
  </w:num>
  <w:num w:numId="21">
    <w:abstractNumId w:val="8"/>
  </w:num>
  <w:num w:numId="22">
    <w:abstractNumId w:val="21"/>
  </w:num>
  <w:num w:numId="23">
    <w:abstractNumId w:val="32"/>
  </w:num>
  <w:num w:numId="24">
    <w:abstractNumId w:val="32"/>
  </w:num>
  <w:num w:numId="25">
    <w:abstractNumId w:val="32"/>
  </w:num>
  <w:num w:numId="26">
    <w:abstractNumId w:val="32"/>
  </w:num>
  <w:num w:numId="27">
    <w:abstractNumId w:val="15"/>
  </w:num>
  <w:num w:numId="28">
    <w:abstractNumId w:val="22"/>
  </w:num>
  <w:num w:numId="29">
    <w:abstractNumId w:val="34"/>
  </w:num>
  <w:num w:numId="30">
    <w:abstractNumId w:val="32"/>
  </w:num>
  <w:num w:numId="31">
    <w:abstractNumId w:val="25"/>
  </w:num>
  <w:num w:numId="32">
    <w:abstractNumId w:val="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2"/>
  </w:num>
  <w:num w:numId="42">
    <w:abstractNumId w:val="29"/>
  </w:num>
  <w:num w:numId="43">
    <w:abstractNumId w:val="17"/>
  </w:num>
  <w:num w:numId="44">
    <w:abstractNumId w:val="4"/>
  </w:num>
  <w:num w:numId="45">
    <w:abstractNumId w:val="24"/>
  </w:num>
  <w:num w:numId="46">
    <w:abstractNumId w:val="12"/>
  </w:num>
  <w:num w:numId="47">
    <w:abstractNumId w:val="16"/>
  </w:num>
  <w:num w:numId="4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87B7E11-F44F-403D-8F46-D9093D14E71E"/>
    <w:docVar w:name="LW_COVERPAGE_TYPE" w:val="1"/>
    <w:docVar w:name="LW_CROSSREFERENCE" w:val="{SWD(2020) 378 final}"/>
    <w:docVar w:name="LW_DocType" w:val="NORMAL"/>
    <w:docVar w:name="LW_EMISSION" w:val="21.12.2020"/>
    <w:docVar w:name="LW_EMISSION_ISODATE" w:val="2020-12-2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ing the exchange through the European Criminal Records Information System (ECRIS) of information extracted from criminal records between the Member Stat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lang w:val="en-US"/>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jc w:val="both"/>
    </w:pPr>
    <w:rPr>
      <w:rFonts w:ascii="Times New Roman" w:eastAsiaTheme="minorHAnsi" w:hAnsi="Times New Roman" w:cs="Times New Roman"/>
      <w:sz w:val="24"/>
      <w:szCs w:val="22"/>
      <w:lang w:eastAsia="en-US"/>
    </w:rPr>
  </w:style>
  <w:style w:type="paragraph" w:customStyle="1" w:styleId="Bullet1">
    <w:name w:val="Bullet 1"/>
    <w:basedOn w:val="Normal"/>
    <w:pPr>
      <w:numPr>
        <w:numId w:val="9"/>
      </w:numPr>
      <w:tabs>
        <w:tab w:val="clear" w:pos="360"/>
        <w:tab w:val="num" w:pos="900"/>
      </w:tabs>
      <w:spacing w:after="0"/>
      <w:ind w:left="900" w:firstLine="0"/>
      <w:jc w:val="both"/>
    </w:pPr>
    <w:rPr>
      <w:sz w:val="22"/>
    </w:rPr>
  </w:style>
  <w:style w:type="paragraph" w:customStyle="1" w:styleId="Listnumber1cm">
    <w:name w:val="List number 1cm"/>
    <w:basedOn w:val="Normal"/>
    <w:pPr>
      <w:numPr>
        <w:numId w:val="6"/>
      </w:numPr>
      <w:tabs>
        <w:tab w:val="clear" w:pos="927"/>
        <w:tab w:val="num" w:pos="360"/>
        <w:tab w:val="left" w:pos="851"/>
      </w:tabs>
      <w:ind w:left="0" w:firstLine="0"/>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ascii="Times New Roman" w:eastAsiaTheme="minorHAnsi" w:hAnsi="Times New Roman" w:cs="Times New Roman"/>
      <w:sz w:val="24"/>
      <w:szCs w:val="22"/>
      <w:lang w:eastAsia="en-US"/>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lang w:eastAsia="ja-JP"/>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lang w:val="fr-BE"/>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lang w:val="fr-FR"/>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lang w:eastAsia="en-US"/>
    </w:rPr>
  </w:style>
  <w:style w:type="paragraph" w:customStyle="1" w:styleId="Puce2">
    <w:name w:val="Puce2"/>
    <w:basedOn w:val="Normal"/>
    <w:pPr>
      <w:numPr>
        <w:numId w:val="15"/>
      </w:numPr>
      <w:spacing w:after="0"/>
      <w:jc w:val="both"/>
    </w:pPr>
    <w:rPr>
      <w:snapToGrid w:val="0"/>
      <w:color w:val="000000"/>
      <w:sz w:val="22"/>
      <w:lang w:val="fr-FR"/>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lang w:eastAsia="en-US"/>
    </w:rPr>
  </w:style>
  <w:style w:type="paragraph" w:customStyle="1" w:styleId="TaBult1">
    <w:name w:val="TaBult 1"/>
    <w:basedOn w:val="Normal"/>
    <w:pPr>
      <w:numPr>
        <w:numId w:val="17"/>
      </w:numPr>
      <w:spacing w:before="60" w:after="60"/>
      <w:ind w:left="426" w:hanging="284"/>
      <w:jc w:val="both"/>
    </w:pPr>
    <w:rPr>
      <w:rFonts w:ascii="Times New Roman" w:hAnsi="Times New Roman"/>
      <w:sz w:val="22"/>
      <w:lang w:val="fr-FR"/>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lang w:val="fr-FR"/>
    </w:rPr>
  </w:style>
  <w:style w:type="paragraph" w:customStyle="1" w:styleId="BodySingle">
    <w:name w:val="*Body Single"/>
    <w:basedOn w:val="Normal"/>
    <w:pPr>
      <w:spacing w:after="0" w:line="220" w:lineRule="atLeast"/>
      <w:ind w:left="2304"/>
    </w:pPr>
    <w:rPr>
      <w:sz w:val="22"/>
      <w:szCs w:val="24"/>
      <w:lang w:val="en-US"/>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lang w:val="en-US" w:eastAsia="en-US"/>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lang w:val="fr-FR"/>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lang w:val="en-US"/>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table" w:styleId="TableGrid">
    <w:name w:val="Table Grid"/>
    <w:basedOn w:val="TableNormal"/>
    <w:uiPriority w:val="5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en-US" w:eastAsia="en-US" w:bidi="ar-SA"/>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en-GB" w:eastAsia="en-US" w:bidi="ar-SA"/>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lang w:val="fr-BE"/>
    </w:rPr>
  </w:style>
  <w:style w:type="character" w:customStyle="1" w:styleId="CommentTextChar">
    <w:name w:val="Comment Text Char"/>
    <w:basedOn w:val="DefaultParagraphFont"/>
    <w:link w:val="CommentText"/>
    <w:semiHidden/>
    <w:rPr>
      <w:rFonts w:ascii="Arial" w:hAnsi="Arial"/>
      <w:lang w:eastAsia="en-US"/>
    </w:rPr>
  </w:style>
  <w:style w:type="paragraph" w:styleId="Revision">
    <w:name w:val="Revision"/>
    <w:hidden/>
    <w:uiPriority w:val="99"/>
    <w:semiHidden/>
    <w:rPr>
      <w:sz w:val="18"/>
      <w:lang w:eastAsia="en-US"/>
    </w:rPr>
  </w:style>
  <w:style w:type="character" w:customStyle="1" w:styleId="FootnoteTextChar">
    <w:name w:val="Footnote Text Char"/>
    <w:basedOn w:val="DefaultParagraphFont"/>
    <w:link w:val="FootnoteText"/>
    <w:semiHidden/>
    <w:rPr>
      <w:rFonts w:ascii="Arial" w:hAnsi="Arial"/>
      <w:sz w:val="16"/>
      <w:lang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cs="Times New Roman"/>
      <w:b/>
      <w:sz w:val="24"/>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jc w:val="both"/>
    </w:pPr>
    <w:rPr>
      <w:rFonts w:ascii="Times New Roman" w:eastAsiaTheme="minorHAnsi" w:hAnsi="Times New Roman" w:cs="Times New Roman"/>
      <w:sz w:val="24"/>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rPr>
  </w:style>
  <w:style w:type="paragraph" w:customStyle="1" w:styleId="HeaderLandscape">
    <w:name w:val="HeaderLandscape"/>
    <w:basedOn w:val="Normal"/>
    <w:pPr>
      <w:tabs>
        <w:tab w:val="center" w:pos="7285"/>
        <w:tab w:val="right" w:pos="14003"/>
      </w:tabs>
      <w:jc w:val="both"/>
    </w:pPr>
    <w:rPr>
      <w:rFonts w:ascii="Times New Roman" w:eastAsiaTheme="minorHAnsi" w:hAnsi="Times New Roman" w:cs="Times New Roman"/>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rFonts w:ascii="Times New Roman" w:hAnsi="Times New Roman" w:cs="Times New Roman"/>
      <w:b/>
      <w:sz w:val="32"/>
    </w:rPr>
  </w:style>
  <w:style w:type="paragraph" w:customStyle="1" w:styleId="HeaderSensitivityRight">
    <w:name w:val="Header Sensitivity Right"/>
    <w:basedOn w:val="Normal"/>
    <w:pPr>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ascii="Times New Roman" w:eastAsiaTheme="minorHAnsi" w:hAnsi="Times New Roman" w:cs="Times New Roman"/>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jc w:val="both"/>
    </w:pPr>
    <w:rPr>
      <w:rFonts w:ascii="Times New Roman" w:eastAsiaTheme="minorHAnsi" w:hAnsi="Times New Roman" w:cs="Times New Roman"/>
      <w:sz w:val="24"/>
      <w:szCs w:val="22"/>
      <w:lang w:eastAsia="en-US"/>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szCs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uiPriority w:val="9"/>
    <w:qFormat/>
    <w:pPr>
      <w:keepNext/>
      <w:pageBreakBefore/>
      <w:numPr>
        <w:numId w:val="1"/>
      </w:numPr>
      <w:pBdr>
        <w:bottom w:val="single" w:sz="12" w:space="1" w:color="FF6600"/>
      </w:pBdr>
      <w:spacing w:before="120" w:after="240"/>
      <w:outlineLvl w:val="0"/>
    </w:pPr>
    <w:rPr>
      <w:b/>
      <w:smallCaps/>
      <w:color w:val="000080"/>
      <w:kern w:val="28"/>
      <w:sz w:val="36"/>
      <w:lang w:val="en-US"/>
    </w:rPr>
  </w:style>
  <w:style w:type="paragraph" w:styleId="Heading2">
    <w:name w:val="heading 2"/>
    <w:aliases w:val="T2,h2,L2,H2,Punt 2,l2,2,Titre 21,t2.T2,t2,Contrat 2,Ctt,t2.T2.Titre 2,TITRE 2,Titre 2ed,Heading 2 Hidden,heading 2,Chapter Number/Appendix Letter,chn,Titre niveau 2,Level 2,Chapitre 2,paragraphe,Titre 2 - RAO,Specf Titre 2,Heading 2a,Header 2"/>
    <w:basedOn w:val="Normal"/>
    <w:next w:val="Normal"/>
    <w:link w:val="Heading2Char"/>
    <w:qFormat/>
    <w:pPr>
      <w:keepNext/>
      <w:numPr>
        <w:ilvl w:val="1"/>
        <w:numId w:val="1"/>
      </w:numPr>
      <w:pBdr>
        <w:bottom w:val="single" w:sz="12" w:space="1" w:color="000080"/>
      </w:pBdr>
      <w:spacing w:before="120"/>
      <w:outlineLvl w:val="1"/>
    </w:pPr>
    <w:rPr>
      <w:b/>
      <w:bCs/>
      <w:smallCaps/>
      <w:color w:val="000080"/>
      <w:sz w:val="32"/>
    </w:rPr>
  </w:style>
  <w:style w:type="paragraph" w:styleId="Heading3">
    <w:name w:val="heading 3"/>
    <w:aliases w:val="3,Titre 31,t3.T3,heading 3,Titre 3+,H3,Titre niveau 3,Titre3,t3,Contrat 3,Titre 3 SQ,Titre 3 SQ1,Titre 3 SQ2,Titre 3 SQ3,Titre 3 SQ4,Titre 3 SQ5,Titre 3 SQ6,Titre 3 SQ7,h3,3rd level,l3,CT,Heading 3 - old,Titre 3 .3,Titre 311,Titre 3 .31,1.2.3."/>
    <w:basedOn w:val="Normal"/>
    <w:next w:val="Normal"/>
    <w:qFormat/>
    <w:pPr>
      <w:keepNext/>
      <w:numPr>
        <w:ilvl w:val="2"/>
        <w:numId w:val="1"/>
      </w:numPr>
      <w:spacing w:before="240" w:after="60"/>
      <w:outlineLvl w:val="2"/>
    </w:pPr>
    <w:rPr>
      <w:b/>
      <w:bCs/>
      <w:smallCaps/>
      <w:color w:val="000080"/>
      <w:sz w:val="28"/>
    </w:rPr>
  </w:style>
  <w:style w:type="paragraph" w:styleId="Heading4">
    <w:name w:val="heading 4"/>
    <w:aliases w:val="4,H4,Titre 41,t4.T4,t4,Chapitre 1.1.1.,Alinéa,dash,h4,Ref Heading 1,rh1,First Subheading,T4,t4.T4.Titre 4,heading 4,l4,I4,(Shift Ctrl 4),Schedules,Heading 4 CFMU"/>
    <w:basedOn w:val="Normal"/>
    <w:next w:val="Normal"/>
    <w:link w:val="Heading4Char"/>
    <w:qFormat/>
    <w:pPr>
      <w:keepNext/>
      <w:numPr>
        <w:ilvl w:val="3"/>
        <w:numId w:val="1"/>
      </w:numPr>
      <w:spacing w:before="240" w:after="60"/>
      <w:outlineLvl w:val="3"/>
    </w:pPr>
    <w:rPr>
      <w:b/>
      <w:smallCaps/>
      <w:color w:val="000080"/>
      <w:sz w:val="24"/>
    </w:rPr>
  </w:style>
  <w:style w:type="paragraph" w:styleId="Heading5">
    <w:name w:val="heading 5"/>
    <w:aliases w:val="H5,Chapitre 1.1.1.1.,Ref Heading 2,rh2,h5,Second Subheading,heading 5,Heading 5 CFMU,Para 5,(Shift Ctrl 5),Appendix A to X,Heading 5   Appendix A to X"/>
    <w:basedOn w:val="Normal"/>
    <w:next w:val="Normal"/>
    <w:qFormat/>
    <w:pPr>
      <w:numPr>
        <w:ilvl w:val="4"/>
        <w:numId w:val="1"/>
      </w:numPr>
      <w:spacing w:before="240" w:after="60"/>
      <w:outlineLvl w:val="4"/>
    </w:pPr>
    <w:rPr>
      <w:b/>
      <w:bCs/>
      <w:smallCaps/>
      <w:color w:val="000080"/>
    </w:rPr>
  </w:style>
  <w:style w:type="paragraph" w:styleId="Heading6">
    <w:name w:val="heading 6"/>
    <w:aliases w:val="6,Heading 6  Appendix Y &amp; Z,h6,Heading 6 CFMU"/>
    <w:basedOn w:val="Normal"/>
    <w:next w:val="Normal"/>
    <w:qFormat/>
    <w:pPr>
      <w:numPr>
        <w:ilvl w:val="5"/>
        <w:numId w:val="1"/>
      </w:numPr>
      <w:spacing w:before="240" w:after="60"/>
      <w:outlineLvl w:val="5"/>
    </w:pPr>
    <w:rPr>
      <w:i/>
      <w:sz w:val="22"/>
    </w:rPr>
  </w:style>
  <w:style w:type="paragraph" w:styleId="Heading7">
    <w:name w:val="heading 7"/>
    <w:aliases w:val="H7,(Shift Ctrl 7),Heading 7 CFMU"/>
    <w:basedOn w:val="Normal"/>
    <w:next w:val="Normal"/>
    <w:qFormat/>
    <w:pPr>
      <w:numPr>
        <w:ilvl w:val="6"/>
        <w:numId w:val="1"/>
      </w:numPr>
      <w:spacing w:before="240" w:after="60"/>
      <w:outlineLvl w:val="6"/>
    </w:pPr>
  </w:style>
  <w:style w:type="paragraph" w:styleId="Heading8">
    <w:name w:val="heading 8"/>
    <w:aliases w:val="Heading 8 CFMU"/>
    <w:basedOn w:val="Normal"/>
    <w:next w:val="Normal"/>
    <w:qFormat/>
    <w:pPr>
      <w:numPr>
        <w:ilvl w:val="7"/>
        <w:numId w:val="1"/>
      </w:numPr>
      <w:spacing w:before="240" w:after="60"/>
      <w:outlineLvl w:val="7"/>
    </w:pPr>
    <w:rPr>
      <w:i/>
    </w:rPr>
  </w:style>
  <w:style w:type="paragraph" w:styleId="Heading9">
    <w:name w:val="heading 9"/>
    <w:aliases w:val="App Heading,Heading 9 CFMU"/>
    <w:basedOn w:val="Normal"/>
    <w:next w:val="Normal"/>
    <w:qFormat/>
    <w:pPr>
      <w:numPr>
        <w:ilvl w:val="8"/>
        <w:numId w:val="1"/>
      </w:numPr>
      <w:spacing w:before="240" w:after="60"/>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jc w:val="both"/>
    </w:pPr>
    <w:rPr>
      <w:rFonts w:ascii="Times New Roman" w:eastAsiaTheme="minorHAnsi" w:hAnsi="Times New Roman" w:cs="Times New Roman"/>
      <w:sz w:val="24"/>
      <w:szCs w:val="22"/>
      <w:lang w:eastAsia="en-US"/>
    </w:rPr>
  </w:style>
  <w:style w:type="paragraph" w:customStyle="1" w:styleId="Bullet1">
    <w:name w:val="Bullet 1"/>
    <w:basedOn w:val="Normal"/>
    <w:pPr>
      <w:numPr>
        <w:numId w:val="9"/>
      </w:numPr>
      <w:tabs>
        <w:tab w:val="clear" w:pos="360"/>
        <w:tab w:val="num" w:pos="900"/>
      </w:tabs>
      <w:spacing w:after="0"/>
      <w:ind w:left="900" w:firstLine="0"/>
      <w:jc w:val="both"/>
    </w:pPr>
    <w:rPr>
      <w:sz w:val="22"/>
    </w:rPr>
  </w:style>
  <w:style w:type="paragraph" w:customStyle="1" w:styleId="Listnumber1cm">
    <w:name w:val="List number 1cm"/>
    <w:basedOn w:val="Normal"/>
    <w:pPr>
      <w:numPr>
        <w:numId w:val="6"/>
      </w:numPr>
      <w:tabs>
        <w:tab w:val="clear" w:pos="927"/>
        <w:tab w:val="num" w:pos="360"/>
        <w:tab w:val="left" w:pos="851"/>
      </w:tabs>
      <w:ind w:left="0" w:firstLine="0"/>
    </w:pPr>
  </w:style>
  <w:style w:type="paragraph" w:customStyle="1" w:styleId="Tableheading">
    <w:name w:val="Table heading"/>
    <w:basedOn w:val="Normal"/>
    <w:pPr>
      <w:spacing w:before="120"/>
      <w:jc w:val="center"/>
    </w:pPr>
    <w:rPr>
      <w:b/>
      <w:color w:val="000080"/>
    </w:rPr>
  </w:style>
  <w:style w:type="paragraph" w:customStyle="1" w:styleId="Tabletext">
    <w:name w:val="Table text"/>
    <w:basedOn w:val="Normal"/>
    <w:pPr>
      <w:spacing w:before="60" w:after="60"/>
    </w:pPr>
  </w:style>
  <w:style w:type="paragraph" w:styleId="TOC1">
    <w:name w:val="toc 1"/>
    <w:basedOn w:val="Normal"/>
    <w:next w:val="Normal"/>
    <w:autoRedefine/>
    <w:uiPriority w:val="39"/>
    <w:pPr>
      <w:spacing w:before="120"/>
    </w:pPr>
    <w:rPr>
      <w:b/>
      <w:bCs/>
      <w:caps/>
      <w:szCs w:val="24"/>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ascii="Times New Roman" w:eastAsiaTheme="minorHAnsi" w:hAnsi="Times New Roman" w:cs="Times New Roman"/>
      <w:sz w:val="24"/>
      <w:szCs w:val="22"/>
      <w:lang w:eastAsia="en-US"/>
    </w:rPr>
  </w:style>
  <w:style w:type="paragraph" w:styleId="Title">
    <w:name w:val="Title"/>
    <w:basedOn w:val="Normal"/>
    <w:next w:val="Normal"/>
    <w:link w:val="TitleChar"/>
    <w:qFormat/>
    <w:pPr>
      <w:keepLines/>
      <w:spacing w:before="480" w:after="480"/>
      <w:jc w:val="center"/>
    </w:pPr>
    <w:rPr>
      <w:b/>
      <w:caps/>
      <w:color w:val="000080"/>
      <w:sz w:val="32"/>
    </w:rPr>
  </w:style>
  <w:style w:type="paragraph" w:styleId="TOC2">
    <w:name w:val="toc 2"/>
    <w:basedOn w:val="Normal"/>
    <w:next w:val="Normal"/>
    <w:autoRedefine/>
    <w:uiPriority w:val="39"/>
    <w:pPr>
      <w:ind w:left="200"/>
    </w:pPr>
    <w:rPr>
      <w:smallCaps/>
      <w:szCs w:val="24"/>
    </w:rPr>
  </w:style>
  <w:style w:type="paragraph" w:styleId="TOC3">
    <w:name w:val="toc 3"/>
    <w:basedOn w:val="Normal"/>
    <w:next w:val="Normal"/>
    <w:autoRedefine/>
    <w:uiPriority w:val="39"/>
    <w:pPr>
      <w:ind w:left="400"/>
    </w:pPr>
    <w:rPr>
      <w:i/>
      <w:iCs/>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customStyle="1" w:styleId="TableBullet">
    <w:name w:val="Table Bullet"/>
    <w:basedOn w:val="Normal"/>
    <w:pPr>
      <w:numPr>
        <w:ilvl w:val="1"/>
        <w:numId w:val="2"/>
      </w:numPr>
      <w:tabs>
        <w:tab w:val="clear" w:pos="1440"/>
        <w:tab w:val="num" w:pos="128"/>
      </w:tabs>
      <w:ind w:left="128" w:hanging="128"/>
    </w:pPr>
  </w:style>
  <w:style w:type="character" w:styleId="FollowedHyperlink">
    <w:name w:val="FollowedHyperlink"/>
    <w:rPr>
      <w:color w:val="800080"/>
      <w:u w:val="single"/>
    </w:rPr>
  </w:style>
  <w:style w:type="paragraph" w:customStyle="1" w:styleId="Listbullet1cm">
    <w:name w:val="List bullet 1cm"/>
    <w:basedOn w:val="Normal"/>
    <w:pPr>
      <w:numPr>
        <w:numId w:val="5"/>
      </w:numPr>
      <w:tabs>
        <w:tab w:val="clear" w:pos="1647"/>
        <w:tab w:val="num" w:pos="851"/>
      </w:tabs>
      <w:ind w:left="851" w:hanging="284"/>
    </w:pPr>
    <w:rPr>
      <w:rFonts w:eastAsia="MS Mincho"/>
      <w:lang w:eastAsia="ja-JP"/>
    </w:rPr>
  </w:style>
  <w:style w:type="paragraph" w:customStyle="1" w:styleId="Listbullet2cm">
    <w:name w:val="List bullet 2cm"/>
    <w:basedOn w:val="Normal"/>
    <w:pPr>
      <w:numPr>
        <w:numId w:val="3"/>
      </w:numPr>
    </w:pPr>
  </w:style>
  <w:style w:type="paragraph" w:styleId="FootnoteText">
    <w:name w:val="footnote text"/>
    <w:basedOn w:val="Normal"/>
    <w:link w:val="FootnoteTextChar"/>
    <w:semiHidden/>
    <w:rPr>
      <w:sz w:val="16"/>
    </w:rPr>
  </w:style>
  <w:style w:type="character" w:styleId="FootnoteReference">
    <w:name w:val="footnote reference"/>
    <w:semiHidden/>
    <w:rPr>
      <w:vertAlign w:val="superscript"/>
    </w:rPr>
  </w:style>
  <w:style w:type="paragraph" w:customStyle="1" w:styleId="Listnumber2cm">
    <w:name w:val="List number 2cm"/>
    <w:basedOn w:val="Listbullet2cm"/>
    <w:pPr>
      <w:numPr>
        <w:numId w:val="4"/>
      </w:numPr>
      <w:tabs>
        <w:tab w:val="clear" w:pos="1701"/>
        <w:tab w:val="num" w:pos="1418"/>
      </w:tabs>
      <w:ind w:left="1418" w:hanging="284"/>
    </w:pPr>
  </w:style>
  <w:style w:type="paragraph" w:customStyle="1" w:styleId="ListNumber1">
    <w:name w:val="List Number 1"/>
    <w:basedOn w:val="Normal"/>
    <w:pPr>
      <w:numPr>
        <w:numId w:val="7"/>
      </w:numPr>
      <w:spacing w:before="240" w:after="240"/>
      <w:jc w:val="both"/>
    </w:pPr>
    <w:rPr>
      <w:sz w:val="22"/>
    </w:rPr>
  </w:style>
  <w:style w:type="paragraph" w:customStyle="1" w:styleId="ListNumber1Level2">
    <w:name w:val="List Number 1 (Level 2)"/>
    <w:basedOn w:val="Normal"/>
    <w:pPr>
      <w:numPr>
        <w:ilvl w:val="1"/>
        <w:numId w:val="7"/>
      </w:numPr>
      <w:spacing w:after="240"/>
      <w:jc w:val="both"/>
    </w:pPr>
    <w:rPr>
      <w:sz w:val="22"/>
    </w:rPr>
  </w:style>
  <w:style w:type="paragraph" w:customStyle="1" w:styleId="ListNumber1Level3">
    <w:name w:val="List Number 1 (Level 3)"/>
    <w:basedOn w:val="Normal"/>
    <w:pPr>
      <w:numPr>
        <w:ilvl w:val="2"/>
        <w:numId w:val="7"/>
      </w:numPr>
      <w:spacing w:after="240"/>
      <w:jc w:val="both"/>
    </w:pPr>
    <w:rPr>
      <w:sz w:val="22"/>
    </w:rPr>
  </w:style>
  <w:style w:type="paragraph" w:customStyle="1" w:styleId="ListNumber1Level4">
    <w:name w:val="List Number 1 (Level 4)"/>
    <w:basedOn w:val="Normal"/>
    <w:pPr>
      <w:numPr>
        <w:ilvl w:val="3"/>
        <w:numId w:val="7"/>
      </w:numPr>
      <w:spacing w:after="240"/>
      <w:jc w:val="both"/>
    </w:pPr>
    <w:rPr>
      <w:sz w:val="22"/>
    </w:rPr>
  </w:style>
  <w:style w:type="paragraph" w:customStyle="1" w:styleId="Bullet">
    <w:name w:val="Bullet"/>
    <w:basedOn w:val="Normal"/>
    <w:pPr>
      <w:numPr>
        <w:numId w:val="8"/>
      </w:numPr>
      <w:ind w:left="357" w:hanging="357"/>
      <w:jc w:val="both"/>
    </w:pPr>
    <w:rPr>
      <w:snapToGrid w:val="0"/>
      <w:color w:val="000000"/>
      <w:sz w:val="22"/>
    </w:rPr>
  </w:style>
  <w:style w:type="paragraph" w:customStyle="1" w:styleId="Bullet10">
    <w:name w:val="Bullet1"/>
    <w:basedOn w:val="Normal"/>
    <w:pPr>
      <w:numPr>
        <w:numId w:val="10"/>
      </w:numPr>
      <w:spacing w:before="40" w:after="0"/>
    </w:pPr>
    <w:rPr>
      <w:rFonts w:ascii="Times New Roman" w:hAnsi="Times New Roman"/>
      <w:snapToGrid w:val="0"/>
      <w:lang w:val="fr-BE"/>
    </w:rPr>
  </w:style>
  <w:style w:type="paragraph" w:customStyle="1" w:styleId="Bullet2">
    <w:name w:val="Bullet2"/>
    <w:basedOn w:val="Bullet10"/>
    <w:pPr>
      <w:numPr>
        <w:numId w:val="0"/>
      </w:numPr>
      <w:tabs>
        <w:tab w:val="num" w:pos="720"/>
      </w:tabs>
      <w:ind w:left="720" w:hanging="360"/>
    </w:pPr>
  </w:style>
  <w:style w:type="paragraph" w:customStyle="1" w:styleId="Heading1t1TITRE1Titre11t1T1Titre1Titre1edt1T1Titre1AnnexeH1t1T1h1l1HGSA1Titre1T1Chapitre11Level1Heading1ColoredChaptertitlechMIGHeading1ch1Bold18CMGH1NCS-H1berschrift1berschrift11">
    <w:name w:val="Heading 1.t1.TITRE1.Titre 11.t1.T1.Titre 1.Titre 1ed.t1.T1.Titre 1Annexe.H1.t1.T1.h1.l1.H.GSA1.Titre 1:.T1.Chapitre 1.1.Level 1.Heading 1 Colored.Chapter title.ch.MIGHeading 1.ch1.Bold 18.CMG H1.NCS-H1.überschrift1.überschrift11"/>
    <w:basedOn w:val="Normal"/>
    <w:next w:val="Normal"/>
    <w:pPr>
      <w:keepNext/>
      <w:tabs>
        <w:tab w:val="num" w:pos="432"/>
      </w:tabs>
      <w:spacing w:before="240" w:after="60"/>
      <w:ind w:left="432" w:hanging="432"/>
      <w:outlineLvl w:val="0"/>
    </w:pPr>
    <w:rPr>
      <w:b/>
      <w:kern w:val="28"/>
      <w:sz w:val="28"/>
    </w:rPr>
  </w:style>
  <w:style w:type="paragraph" w:customStyle="1" w:styleId="Lista">
    <w:name w:val="List a)"/>
    <w:basedOn w:val="Normal"/>
    <w:pPr>
      <w:numPr>
        <w:numId w:val="11"/>
      </w:numPr>
      <w:spacing w:before="60" w:after="0"/>
      <w:jc w:val="both"/>
    </w:pPr>
    <w:rPr>
      <w:snapToGrid w:val="0"/>
      <w:color w:val="000000"/>
      <w:sz w:val="22"/>
    </w:rPr>
  </w:style>
  <w:style w:type="paragraph" w:styleId="ListBullet">
    <w:name w:val="List Bullet"/>
    <w:basedOn w:val="Normal"/>
    <w:autoRedefine/>
    <w:pPr>
      <w:numPr>
        <w:numId w:val="12"/>
      </w:numPr>
      <w:tabs>
        <w:tab w:val="clear" w:pos="720"/>
        <w:tab w:val="num" w:pos="1260"/>
      </w:tabs>
      <w:spacing w:after="0"/>
      <w:ind w:left="1260"/>
      <w:jc w:val="both"/>
    </w:pPr>
    <w:rPr>
      <w:noProof/>
      <w:snapToGrid w:val="0"/>
      <w:color w:val="000000"/>
      <w:sz w:val="22"/>
    </w:rPr>
  </w:style>
  <w:style w:type="paragraph" w:customStyle="1" w:styleId="ListBullet1">
    <w:name w:val="List Bullet 1"/>
    <w:basedOn w:val="Normal"/>
    <w:pPr>
      <w:numPr>
        <w:numId w:val="13"/>
      </w:numPr>
      <w:spacing w:before="120" w:after="0"/>
      <w:ind w:left="1276" w:hanging="284"/>
    </w:pPr>
    <w:rPr>
      <w:rFonts w:ascii="Times New Roman" w:hAnsi="Times New Roman"/>
      <w:sz w:val="22"/>
      <w:lang w:val="fr-FR"/>
    </w:rPr>
  </w:style>
  <w:style w:type="paragraph" w:styleId="ListNumber">
    <w:name w:val="List Number"/>
    <w:basedOn w:val="Normal"/>
    <w:pPr>
      <w:numPr>
        <w:numId w:val="14"/>
      </w:numPr>
      <w:spacing w:after="240"/>
      <w:jc w:val="both"/>
    </w:pPr>
    <w:rPr>
      <w:sz w:val="22"/>
    </w:rPr>
  </w:style>
  <w:style w:type="paragraph" w:customStyle="1" w:styleId="perso1">
    <w:name w:val="perso1"/>
    <w:pPr>
      <w:tabs>
        <w:tab w:val="num" w:pos="432"/>
      </w:tabs>
      <w:ind w:left="432" w:hanging="432"/>
    </w:pPr>
    <w:rPr>
      <w:b/>
      <w:sz w:val="24"/>
      <w:u w:val="single"/>
      <w:lang w:eastAsia="en-US"/>
    </w:rPr>
  </w:style>
  <w:style w:type="paragraph" w:customStyle="1" w:styleId="Puce2">
    <w:name w:val="Puce2"/>
    <w:basedOn w:val="Normal"/>
    <w:pPr>
      <w:numPr>
        <w:numId w:val="15"/>
      </w:numPr>
      <w:spacing w:after="0"/>
      <w:jc w:val="both"/>
    </w:pPr>
    <w:rPr>
      <w:snapToGrid w:val="0"/>
      <w:color w:val="000000"/>
      <w:sz w:val="22"/>
      <w:lang w:val="fr-FR"/>
    </w:rPr>
  </w:style>
  <w:style w:type="paragraph" w:customStyle="1" w:styleId="SteriaBullet">
    <w:name w:val="Steria Bullet"/>
    <w:basedOn w:val="SteriaResponse"/>
    <w:pPr>
      <w:numPr>
        <w:numId w:val="16"/>
      </w:numPr>
      <w:tabs>
        <w:tab w:val="clear" w:pos="4235"/>
      </w:tabs>
      <w:ind w:left="357" w:hanging="357"/>
    </w:pPr>
  </w:style>
  <w:style w:type="paragraph" w:customStyle="1" w:styleId="SteriaResponse">
    <w:name w:val="Steria Response"/>
    <w:pPr>
      <w:spacing w:after="240" w:line="260" w:lineRule="exact"/>
    </w:pPr>
    <w:rPr>
      <w:color w:val="000080"/>
      <w:sz w:val="22"/>
      <w:lang w:eastAsia="en-US"/>
    </w:rPr>
  </w:style>
  <w:style w:type="paragraph" w:customStyle="1" w:styleId="TaBult1">
    <w:name w:val="TaBult 1"/>
    <w:basedOn w:val="Normal"/>
    <w:pPr>
      <w:numPr>
        <w:numId w:val="17"/>
      </w:numPr>
      <w:spacing w:before="60" w:after="60"/>
      <w:ind w:left="426" w:hanging="284"/>
      <w:jc w:val="both"/>
    </w:pPr>
    <w:rPr>
      <w:rFonts w:ascii="Times New Roman" w:hAnsi="Times New Roman"/>
      <w:sz w:val="22"/>
      <w:lang w:val="fr-FR"/>
    </w:rPr>
  </w:style>
  <w:style w:type="paragraph" w:customStyle="1" w:styleId="Bullet20">
    <w:name w:val="Bullet 2"/>
    <w:basedOn w:val="Normal"/>
    <w:pPr>
      <w:tabs>
        <w:tab w:val="num" w:pos="1260"/>
      </w:tabs>
      <w:spacing w:after="0"/>
      <w:ind w:left="1260" w:hanging="360"/>
      <w:jc w:val="both"/>
    </w:pPr>
    <w:rPr>
      <w:sz w:val="22"/>
    </w:rPr>
  </w:style>
  <w:style w:type="paragraph" w:customStyle="1" w:styleId="bp">
    <w:name w:val="bp"/>
    <w:basedOn w:val="Normal"/>
    <w:pPr>
      <w:spacing w:before="100" w:after="100"/>
    </w:pPr>
    <w:rPr>
      <w:rFonts w:ascii="Arial Unicode MS" w:eastAsia="Arial Unicode MS" w:hAnsi="Arial Unicode MS"/>
      <w:sz w:val="24"/>
    </w:rPr>
  </w:style>
  <w:style w:type="paragraph" w:styleId="List2">
    <w:name w:val="List 2"/>
    <w:basedOn w:val="Normal"/>
    <w:pPr>
      <w:tabs>
        <w:tab w:val="num" w:pos="360"/>
      </w:tabs>
      <w:spacing w:before="60" w:after="0"/>
      <w:ind w:left="360" w:hanging="360"/>
      <w:jc w:val="both"/>
    </w:pPr>
    <w:rPr>
      <w:snapToGrid w:val="0"/>
      <w:color w:val="000000"/>
      <w:sz w:val="22"/>
      <w:lang w:val="fr-FR"/>
    </w:rPr>
  </w:style>
  <w:style w:type="paragraph" w:customStyle="1" w:styleId="BodySingle">
    <w:name w:val="*Body Single"/>
    <w:basedOn w:val="Normal"/>
    <w:pPr>
      <w:spacing w:after="0" w:line="220" w:lineRule="atLeast"/>
      <w:ind w:left="2304"/>
    </w:pPr>
    <w:rPr>
      <w:sz w:val="22"/>
      <w:szCs w:val="24"/>
      <w:lang w:val="en-US"/>
    </w:rPr>
  </w:style>
  <w:style w:type="paragraph" w:customStyle="1" w:styleId="Text2">
    <w:name w:val="Text 2"/>
    <w:basedOn w:val="Default"/>
    <w:next w:val="Default"/>
    <w:link w:val="Text2Char"/>
    <w:pPr>
      <w:autoSpaceDE/>
      <w:autoSpaceDN/>
      <w:adjustRightInd/>
      <w:spacing w:before="120" w:after="120"/>
    </w:pPr>
  </w:style>
  <w:style w:type="paragraph" w:customStyle="1" w:styleId="Default">
    <w:name w:val="Default"/>
    <w:pPr>
      <w:autoSpaceDE w:val="0"/>
      <w:autoSpaceDN w:val="0"/>
      <w:adjustRightInd w:val="0"/>
    </w:pPr>
    <w:rPr>
      <w:rFonts w:ascii="TimesNewRoman" w:hAnsi="TimesNewRoman"/>
      <w:lang w:val="en-US" w:eastAsia="en-US"/>
    </w:rPr>
  </w:style>
  <w:style w:type="paragraph" w:styleId="BodyText">
    <w:name w:val="Body Text"/>
    <w:aliases w:val="EDS Question Text"/>
    <w:basedOn w:val="Normal"/>
    <w:pPr>
      <w:spacing w:after="0"/>
      <w:ind w:right="-1054"/>
    </w:pPr>
    <w:rPr>
      <w:noProof/>
    </w:rPr>
  </w:style>
  <w:style w:type="paragraph" w:styleId="BodyText2">
    <w:name w:val="Body Text 2"/>
    <w:basedOn w:val="Normal"/>
    <w:pPr>
      <w:spacing w:after="0"/>
    </w:pPr>
    <w:rPr>
      <w:color w:val="000000"/>
      <w:sz w:val="22"/>
    </w:rPr>
  </w:style>
  <w:style w:type="paragraph" w:styleId="BodyText3">
    <w:name w:val="Body Text 3"/>
    <w:basedOn w:val="Normal"/>
    <w:pPr>
      <w:spacing w:after="0"/>
      <w:jc w:val="both"/>
    </w:pPr>
    <w:rPr>
      <w:snapToGrid w:val="0"/>
      <w:color w:val="000000"/>
      <w:sz w:val="22"/>
      <w:lang w:val="fr-FR"/>
    </w:rPr>
  </w:style>
  <w:style w:type="paragraph" w:styleId="BlockText">
    <w:name w:val="Block Text"/>
    <w:basedOn w:val="Normal"/>
    <w:pPr>
      <w:pBdr>
        <w:top w:val="single" w:sz="4" w:space="1" w:color="auto"/>
        <w:left w:val="single" w:sz="4" w:space="4" w:color="auto"/>
        <w:bottom w:val="single" w:sz="4" w:space="1" w:color="auto"/>
        <w:right w:val="single" w:sz="4" w:space="4" w:color="auto"/>
      </w:pBdr>
      <w:spacing w:after="0"/>
      <w:ind w:left="720" w:right="720"/>
    </w:pPr>
    <w:rPr>
      <w:rFonts w:ascii="Times New Roman" w:hAnsi="Times New Roman"/>
      <w:b/>
      <w:bCs/>
      <w:color w:val="FF0000"/>
      <w:sz w:val="24"/>
      <w:szCs w:val="24"/>
      <w:lang w:val="en-US"/>
    </w:rPr>
  </w:style>
  <w:style w:type="paragraph" w:customStyle="1" w:styleId="cellheading">
    <w:name w:val="cellheading"/>
    <w:basedOn w:val="Normal"/>
    <w:pPr>
      <w:spacing w:after="144"/>
    </w:pPr>
    <w:rPr>
      <w:rFonts w:ascii="Verdana" w:eastAsia="Arial Unicode MS" w:hAnsi="Verdana"/>
      <w:b/>
      <w:color w:val="000000"/>
    </w:rPr>
  </w:style>
  <w:style w:type="paragraph" w:styleId="NormalWeb">
    <w:name w:val="Normal (Web)"/>
    <w:basedOn w:val="Normal"/>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table" w:styleId="TableGrid">
    <w:name w:val="Table Grid"/>
    <w:basedOn w:val="TableNormal"/>
    <w:uiPriority w:val="5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aliases w:val="T2 Char,h2 Char,L2 Char,H2 Char,Punt 2 Char,l2 Char,2 Char,Titre 21 Char,t2.T2 Char,t2 Char,Contrat 2 Char,Ctt Char,t2.T2.Titre 2 Char,TITRE 2 Char,Titre 2ed Char,Heading 2 Hidden Char,heading 2 Char,Chapter Number/Appendix Letter Char"/>
    <w:link w:val="Heading2"/>
    <w:rPr>
      <w:b/>
      <w:bCs/>
      <w:smallCaps/>
      <w:color w:val="000080"/>
      <w:sz w:val="32"/>
    </w:rPr>
  </w:style>
  <w:style w:type="character" w:customStyle="1" w:styleId="Heading4Char">
    <w:name w:val="Heading 4 Char"/>
    <w:aliases w:val="4 Char,H4 Char,Titre 41 Char,t4.T4 Char,t4 Char,Chapitre 1.1.1. Char,Alinéa Char,dash Char,h4 Char,Ref Heading 1 Char,rh1 Char,First Subheading Char,T4 Char,t4.T4.Titre 4 Char,heading 4 Char,l4 Char,I4 Char,(Shift Ctrl 4) Char"/>
    <w:link w:val="Heading4"/>
    <w:rPr>
      <w:b/>
      <w:smallCaps/>
      <w:color w:val="000080"/>
      <w:sz w:val="24"/>
    </w:rPr>
  </w:style>
  <w:style w:type="paragraph" w:styleId="BodyTextIndent">
    <w:name w:val="Body Text Indent"/>
    <w:basedOn w:val="Normal"/>
    <w:pPr>
      <w:numPr>
        <w:numId w:val="18"/>
      </w:numPr>
      <w:tabs>
        <w:tab w:val="clear" w:pos="283"/>
      </w:tabs>
      <w:ind w:firstLine="0"/>
      <w:jc w:val="both"/>
    </w:pPr>
    <w:rPr>
      <w:rFonts w:ascii="Times New Roman" w:hAnsi="Times New Roman"/>
      <w:sz w:val="22"/>
    </w:rPr>
  </w:style>
  <w:style w:type="character" w:customStyle="1" w:styleId="Text2Char">
    <w:name w:val="Text 2 Char"/>
    <w:link w:val="Text2"/>
    <w:rPr>
      <w:rFonts w:ascii="TimesNewRoman" w:hAnsi="TimesNewRoman"/>
      <w:lang w:val="en-US" w:eastAsia="en-US" w:bidi="ar-SA"/>
    </w:rPr>
  </w:style>
  <w:style w:type="character" w:styleId="HTMLCode">
    <w:name w:val="HTML Code"/>
    <w:semiHidden/>
    <w:unhideWhenUsed/>
    <w:rPr>
      <w:rFonts w:ascii="Courier New" w:eastAsia="Times New Roman" w:hAnsi="Courier New" w:cs="Courier New"/>
      <w:sz w:val="20"/>
      <w:szCs w:val="20"/>
    </w:rPr>
  </w:style>
  <w:style w:type="character" w:customStyle="1" w:styleId="Heading2Char2">
    <w:name w:val="Heading 2 Char2"/>
    <w:aliases w:val="Heading 2 Char1 Char,Heading 2 Char Char Char,Heading 2 Char Char1"/>
    <w:locked/>
    <w:rPr>
      <w:b/>
      <w:sz w:val="24"/>
      <w:lang w:val="en-GB" w:eastAsia="en-US" w:bidi="ar-SA"/>
    </w:rPr>
  </w:style>
  <w:style w:type="paragraph" w:customStyle="1" w:styleId="NumPar1">
    <w:name w:val="NumPar 1"/>
    <w:basedOn w:val="Normal"/>
    <w:next w:val="Normal"/>
    <w:pPr>
      <w:numPr>
        <w:numId w:val="21"/>
      </w:numPr>
      <w:spacing w:before="120"/>
      <w:jc w:val="both"/>
    </w:pPr>
    <w:rPr>
      <w:rFonts w:ascii="Times New Roman" w:hAnsi="Times New Roman"/>
      <w:sz w:val="24"/>
      <w:szCs w:val="24"/>
    </w:rPr>
  </w:style>
  <w:style w:type="paragraph" w:customStyle="1" w:styleId="NumPar2">
    <w:name w:val="NumPar 2"/>
    <w:basedOn w:val="Normal"/>
    <w:next w:val="Normal"/>
    <w:pPr>
      <w:numPr>
        <w:ilvl w:val="1"/>
        <w:numId w:val="21"/>
      </w:numPr>
      <w:spacing w:before="120"/>
      <w:jc w:val="both"/>
    </w:pPr>
    <w:rPr>
      <w:rFonts w:ascii="Times New Roman" w:hAnsi="Times New Roman"/>
      <w:sz w:val="24"/>
      <w:szCs w:val="24"/>
    </w:rPr>
  </w:style>
  <w:style w:type="paragraph" w:customStyle="1" w:styleId="NumPar3">
    <w:name w:val="NumPar 3"/>
    <w:basedOn w:val="Normal"/>
    <w:next w:val="Normal"/>
    <w:pPr>
      <w:numPr>
        <w:ilvl w:val="2"/>
        <w:numId w:val="21"/>
      </w:numPr>
      <w:spacing w:before="120"/>
      <w:jc w:val="both"/>
    </w:pPr>
    <w:rPr>
      <w:rFonts w:ascii="Times New Roman" w:hAnsi="Times New Roman"/>
      <w:sz w:val="24"/>
      <w:szCs w:val="24"/>
    </w:rPr>
  </w:style>
  <w:style w:type="paragraph" w:customStyle="1" w:styleId="NumPar4">
    <w:name w:val="NumPar 4"/>
    <w:basedOn w:val="Normal"/>
    <w:next w:val="Normal"/>
    <w:pPr>
      <w:numPr>
        <w:ilvl w:val="3"/>
        <w:numId w:val="21"/>
      </w:numPr>
      <w:spacing w:before="120"/>
      <w:jc w:val="both"/>
    </w:pPr>
    <w:rPr>
      <w:rFonts w:ascii="Times New Roman" w:hAnsi="Times New Roman"/>
      <w:sz w:val="24"/>
      <w:szCs w:val="24"/>
    </w:rPr>
  </w:style>
  <w:style w:type="paragraph" w:styleId="ListParagraph">
    <w:name w:val="List Paragraph"/>
    <w:basedOn w:val="Normal"/>
    <w:uiPriority w:val="34"/>
    <w:qFormat/>
    <w:pPr>
      <w:spacing w:after="0"/>
      <w:ind w:left="720"/>
    </w:pPr>
    <w:rPr>
      <w:rFonts w:ascii="Calibri" w:hAnsi="Calibri"/>
      <w:sz w:val="22"/>
      <w:szCs w:val="22"/>
      <w:lang w:val="fr-BE"/>
    </w:rPr>
  </w:style>
  <w:style w:type="character" w:customStyle="1" w:styleId="CommentTextChar">
    <w:name w:val="Comment Text Char"/>
    <w:basedOn w:val="DefaultParagraphFont"/>
    <w:link w:val="CommentText"/>
    <w:semiHidden/>
    <w:rPr>
      <w:rFonts w:ascii="Arial" w:hAnsi="Arial"/>
      <w:lang w:eastAsia="en-US"/>
    </w:rPr>
  </w:style>
  <w:style w:type="paragraph" w:styleId="Revision">
    <w:name w:val="Revision"/>
    <w:hidden/>
    <w:uiPriority w:val="99"/>
    <w:semiHidden/>
    <w:rPr>
      <w:sz w:val="18"/>
      <w:lang w:eastAsia="en-US"/>
    </w:rPr>
  </w:style>
  <w:style w:type="character" w:customStyle="1" w:styleId="FootnoteTextChar">
    <w:name w:val="Footnote Text Char"/>
    <w:basedOn w:val="DefaultParagraphFont"/>
    <w:link w:val="FootnoteText"/>
    <w:semiHidden/>
    <w:rPr>
      <w:rFonts w:ascii="Arial" w:hAnsi="Arial"/>
      <w:sz w:val="16"/>
      <w:lang w:eastAsia="en-U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eastAsiaTheme="minorHAnsi" w:hAnsi="Times New Roman" w:cs="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TitleChar">
    <w:name w:val="Title Char"/>
    <w:basedOn w:val="DefaultParagraphFont"/>
    <w:link w:val="Title"/>
    <w:rPr>
      <w:b/>
      <w:caps/>
      <w:color w:val="000080"/>
      <w:sz w:val="32"/>
    </w:rPr>
  </w:style>
  <w:style w:type="character" w:customStyle="1" w:styleId="FooterCoverPageChar">
    <w:name w:val="Footer Cover Page Char"/>
    <w:basedOn w:val="TitleChar"/>
    <w:link w:val="FooterCoverPage"/>
    <w:rPr>
      <w:rFonts w:ascii="Times New Roman" w:hAnsi="Times New Roman" w:cs="Times New Roman"/>
      <w:b w:val="0"/>
      <w:caps w:val="0"/>
      <w:color w:val="000080"/>
      <w:sz w:val="24"/>
    </w:rPr>
  </w:style>
  <w:style w:type="paragraph" w:customStyle="1" w:styleId="HeaderCoverPage">
    <w:name w:val="Header Cover Page"/>
    <w:basedOn w:val="Normal"/>
    <w:link w:val="HeaderCoverPageChar"/>
    <w:pPr>
      <w:tabs>
        <w:tab w:val="center" w:pos="4535"/>
        <w:tab w:val="right" w:pos="9071"/>
      </w:tabs>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caps w:val="0"/>
      <w:color w:val="000080"/>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cs="Times New Roman"/>
      <w:b/>
      <w:sz w:val="24"/>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jc w:val="both"/>
    </w:pPr>
    <w:rPr>
      <w:rFonts w:ascii="Times New Roman" w:eastAsiaTheme="minorHAnsi" w:hAnsi="Times New Roman" w:cs="Times New Roman"/>
      <w:sz w:val="24"/>
      <w:szCs w:val="22"/>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rPr>
  </w:style>
  <w:style w:type="paragraph" w:customStyle="1" w:styleId="HeaderLandscape">
    <w:name w:val="HeaderLandscape"/>
    <w:basedOn w:val="Normal"/>
    <w:pPr>
      <w:tabs>
        <w:tab w:val="center" w:pos="7285"/>
        <w:tab w:val="right" w:pos="14003"/>
      </w:tabs>
      <w:jc w:val="both"/>
    </w:pPr>
    <w:rPr>
      <w:rFonts w:ascii="Times New Roman" w:eastAsiaTheme="minorHAnsi" w:hAnsi="Times New Roman" w:cs="Times New Roman"/>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rFonts w:ascii="Times New Roman" w:hAnsi="Times New Roman" w:cs="Times New Roman"/>
      <w:b/>
      <w:sz w:val="32"/>
    </w:rPr>
  </w:style>
  <w:style w:type="paragraph" w:customStyle="1" w:styleId="HeaderSensitivityRight">
    <w:name w:val="Header Sensitivity Right"/>
    <w:basedOn w:val="Normal"/>
    <w:pPr>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ascii="Times New Roman" w:eastAsiaTheme="minorHAnsi" w:hAnsi="Times New Roman" w:cs="Times New Roman"/>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jc w:val="both"/>
    </w:pPr>
    <w:rPr>
      <w:rFonts w:ascii="Times New Roman" w:eastAsiaTheme="minorHAnsi" w:hAnsi="Times New Roman" w:cs="Times New Roman"/>
      <w:sz w:val="24"/>
      <w:szCs w:val="22"/>
      <w:lang w:eastAsia="en-US"/>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szCs w:val="22"/>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6491">
      <w:bodyDiv w:val="1"/>
      <w:marLeft w:val="0"/>
      <w:marRight w:val="0"/>
      <w:marTop w:val="0"/>
      <w:marBottom w:val="0"/>
      <w:divBdr>
        <w:top w:val="none" w:sz="0" w:space="0" w:color="auto"/>
        <w:left w:val="none" w:sz="0" w:space="0" w:color="auto"/>
        <w:bottom w:val="none" w:sz="0" w:space="0" w:color="auto"/>
        <w:right w:val="none" w:sz="0" w:space="0" w:color="auto"/>
      </w:divBdr>
    </w:div>
    <w:div w:id="436944370">
      <w:bodyDiv w:val="1"/>
      <w:marLeft w:val="0"/>
      <w:marRight w:val="0"/>
      <w:marTop w:val="0"/>
      <w:marBottom w:val="0"/>
      <w:divBdr>
        <w:top w:val="none" w:sz="0" w:space="0" w:color="auto"/>
        <w:left w:val="none" w:sz="0" w:space="0" w:color="auto"/>
        <w:bottom w:val="none" w:sz="0" w:space="0" w:color="auto"/>
        <w:right w:val="none" w:sz="0" w:space="0" w:color="auto"/>
      </w:divBdr>
    </w:div>
    <w:div w:id="605038106">
      <w:bodyDiv w:val="1"/>
      <w:marLeft w:val="0"/>
      <w:marRight w:val="0"/>
      <w:marTop w:val="0"/>
      <w:marBottom w:val="0"/>
      <w:divBdr>
        <w:top w:val="none" w:sz="0" w:space="0" w:color="auto"/>
        <w:left w:val="none" w:sz="0" w:space="0" w:color="auto"/>
        <w:bottom w:val="none" w:sz="0" w:space="0" w:color="auto"/>
        <w:right w:val="none" w:sz="0" w:space="0" w:color="auto"/>
      </w:divBdr>
    </w:div>
    <w:div w:id="640689684">
      <w:bodyDiv w:val="1"/>
      <w:marLeft w:val="0"/>
      <w:marRight w:val="0"/>
      <w:marTop w:val="0"/>
      <w:marBottom w:val="0"/>
      <w:divBdr>
        <w:top w:val="none" w:sz="0" w:space="0" w:color="auto"/>
        <w:left w:val="none" w:sz="0" w:space="0" w:color="auto"/>
        <w:bottom w:val="none" w:sz="0" w:space="0" w:color="auto"/>
        <w:right w:val="none" w:sz="0" w:space="0" w:color="auto"/>
      </w:divBdr>
    </w:div>
    <w:div w:id="662397485">
      <w:bodyDiv w:val="1"/>
      <w:marLeft w:val="0"/>
      <w:marRight w:val="0"/>
      <w:marTop w:val="0"/>
      <w:marBottom w:val="0"/>
      <w:divBdr>
        <w:top w:val="none" w:sz="0" w:space="0" w:color="auto"/>
        <w:left w:val="none" w:sz="0" w:space="0" w:color="auto"/>
        <w:bottom w:val="none" w:sz="0" w:space="0" w:color="auto"/>
        <w:right w:val="none" w:sz="0" w:space="0" w:color="auto"/>
      </w:divBdr>
    </w:div>
    <w:div w:id="814957810">
      <w:bodyDiv w:val="1"/>
      <w:marLeft w:val="0"/>
      <w:marRight w:val="0"/>
      <w:marTop w:val="0"/>
      <w:marBottom w:val="0"/>
      <w:divBdr>
        <w:top w:val="none" w:sz="0" w:space="0" w:color="auto"/>
        <w:left w:val="none" w:sz="0" w:space="0" w:color="auto"/>
        <w:bottom w:val="none" w:sz="0" w:space="0" w:color="auto"/>
        <w:right w:val="none" w:sz="0" w:space="0" w:color="auto"/>
      </w:divBdr>
    </w:div>
    <w:div w:id="852457057">
      <w:bodyDiv w:val="1"/>
      <w:marLeft w:val="0"/>
      <w:marRight w:val="0"/>
      <w:marTop w:val="0"/>
      <w:marBottom w:val="0"/>
      <w:divBdr>
        <w:top w:val="none" w:sz="0" w:space="0" w:color="auto"/>
        <w:left w:val="none" w:sz="0" w:space="0" w:color="auto"/>
        <w:bottom w:val="none" w:sz="0" w:space="0" w:color="auto"/>
        <w:right w:val="none" w:sz="0" w:space="0" w:color="auto"/>
      </w:divBdr>
    </w:div>
    <w:div w:id="937715902">
      <w:bodyDiv w:val="1"/>
      <w:marLeft w:val="0"/>
      <w:marRight w:val="0"/>
      <w:marTop w:val="0"/>
      <w:marBottom w:val="0"/>
      <w:divBdr>
        <w:top w:val="none" w:sz="0" w:space="0" w:color="auto"/>
        <w:left w:val="none" w:sz="0" w:space="0" w:color="auto"/>
        <w:bottom w:val="none" w:sz="0" w:space="0" w:color="auto"/>
        <w:right w:val="none" w:sz="0" w:space="0" w:color="auto"/>
      </w:divBdr>
    </w:div>
    <w:div w:id="976498224">
      <w:bodyDiv w:val="1"/>
      <w:marLeft w:val="0"/>
      <w:marRight w:val="0"/>
      <w:marTop w:val="0"/>
      <w:marBottom w:val="0"/>
      <w:divBdr>
        <w:top w:val="none" w:sz="0" w:space="0" w:color="auto"/>
        <w:left w:val="none" w:sz="0" w:space="0" w:color="auto"/>
        <w:bottom w:val="none" w:sz="0" w:space="0" w:color="auto"/>
        <w:right w:val="none" w:sz="0" w:space="0" w:color="auto"/>
      </w:divBdr>
    </w:div>
    <w:div w:id="1193766090">
      <w:bodyDiv w:val="1"/>
      <w:marLeft w:val="0"/>
      <w:marRight w:val="0"/>
      <w:marTop w:val="0"/>
      <w:marBottom w:val="0"/>
      <w:divBdr>
        <w:top w:val="none" w:sz="0" w:space="0" w:color="auto"/>
        <w:left w:val="none" w:sz="0" w:space="0" w:color="auto"/>
        <w:bottom w:val="none" w:sz="0" w:space="0" w:color="auto"/>
        <w:right w:val="none" w:sz="0" w:space="0" w:color="auto"/>
      </w:divBdr>
    </w:div>
    <w:div w:id="1221405828">
      <w:bodyDiv w:val="1"/>
      <w:marLeft w:val="0"/>
      <w:marRight w:val="0"/>
      <w:marTop w:val="0"/>
      <w:marBottom w:val="0"/>
      <w:divBdr>
        <w:top w:val="none" w:sz="0" w:space="0" w:color="auto"/>
        <w:left w:val="none" w:sz="0" w:space="0" w:color="auto"/>
        <w:bottom w:val="none" w:sz="0" w:space="0" w:color="auto"/>
        <w:right w:val="none" w:sz="0" w:space="0" w:color="auto"/>
      </w:divBdr>
    </w:div>
    <w:div w:id="1259944273">
      <w:bodyDiv w:val="1"/>
      <w:marLeft w:val="0"/>
      <w:marRight w:val="0"/>
      <w:marTop w:val="0"/>
      <w:marBottom w:val="0"/>
      <w:divBdr>
        <w:top w:val="none" w:sz="0" w:space="0" w:color="auto"/>
        <w:left w:val="none" w:sz="0" w:space="0" w:color="auto"/>
        <w:bottom w:val="none" w:sz="0" w:space="0" w:color="auto"/>
        <w:right w:val="none" w:sz="0" w:space="0" w:color="auto"/>
      </w:divBdr>
    </w:div>
    <w:div w:id="1512455331">
      <w:bodyDiv w:val="1"/>
      <w:marLeft w:val="0"/>
      <w:marRight w:val="0"/>
      <w:marTop w:val="0"/>
      <w:marBottom w:val="0"/>
      <w:divBdr>
        <w:top w:val="none" w:sz="0" w:space="0" w:color="auto"/>
        <w:left w:val="none" w:sz="0" w:space="0" w:color="auto"/>
        <w:bottom w:val="none" w:sz="0" w:space="0" w:color="auto"/>
        <w:right w:val="none" w:sz="0" w:space="0" w:color="auto"/>
      </w:divBdr>
    </w:div>
    <w:div w:id="1599176383">
      <w:bodyDiv w:val="1"/>
      <w:marLeft w:val="0"/>
      <w:marRight w:val="0"/>
      <w:marTop w:val="0"/>
      <w:marBottom w:val="0"/>
      <w:divBdr>
        <w:top w:val="none" w:sz="0" w:space="0" w:color="auto"/>
        <w:left w:val="none" w:sz="0" w:space="0" w:color="auto"/>
        <w:bottom w:val="none" w:sz="0" w:space="0" w:color="auto"/>
        <w:right w:val="none" w:sz="0" w:space="0" w:color="auto"/>
      </w:divBdr>
    </w:div>
    <w:div w:id="1737556785">
      <w:bodyDiv w:val="1"/>
      <w:marLeft w:val="0"/>
      <w:marRight w:val="0"/>
      <w:marTop w:val="0"/>
      <w:marBottom w:val="0"/>
      <w:divBdr>
        <w:top w:val="none" w:sz="0" w:space="0" w:color="auto"/>
        <w:left w:val="none" w:sz="0" w:space="0" w:color="auto"/>
        <w:bottom w:val="none" w:sz="0" w:space="0" w:color="auto"/>
        <w:right w:val="none" w:sz="0" w:space="0" w:color="auto"/>
      </w:divBdr>
    </w:div>
    <w:div w:id="1895656447">
      <w:bodyDiv w:val="1"/>
      <w:marLeft w:val="0"/>
      <w:marRight w:val="0"/>
      <w:marTop w:val="0"/>
      <w:marBottom w:val="0"/>
      <w:divBdr>
        <w:top w:val="none" w:sz="0" w:space="0" w:color="auto"/>
        <w:left w:val="none" w:sz="0" w:space="0" w:color="auto"/>
        <w:bottom w:val="none" w:sz="0" w:space="0" w:color="auto"/>
        <w:right w:val="none" w:sz="0" w:space="0" w:color="auto"/>
      </w:divBdr>
    </w:div>
    <w:div w:id="1955672307">
      <w:bodyDiv w:val="1"/>
      <w:marLeft w:val="0"/>
      <w:marRight w:val="0"/>
      <w:marTop w:val="0"/>
      <w:marBottom w:val="0"/>
      <w:divBdr>
        <w:top w:val="none" w:sz="0" w:space="0" w:color="auto"/>
        <w:left w:val="none" w:sz="0" w:space="0" w:color="auto"/>
        <w:bottom w:val="none" w:sz="0" w:space="0" w:color="auto"/>
        <w:right w:val="none" w:sz="0" w:space="0" w:color="auto"/>
      </w:divBdr>
    </w:div>
    <w:div w:id="2029091440">
      <w:bodyDiv w:val="1"/>
      <w:marLeft w:val="0"/>
      <w:marRight w:val="0"/>
      <w:marTop w:val="0"/>
      <w:marBottom w:val="0"/>
      <w:divBdr>
        <w:top w:val="none" w:sz="0" w:space="0" w:color="auto"/>
        <w:left w:val="none" w:sz="0" w:space="0" w:color="auto"/>
        <w:bottom w:val="none" w:sz="0" w:space="0" w:color="auto"/>
        <w:right w:val="none" w:sz="0" w:space="0" w:color="auto"/>
      </w:divBdr>
    </w:div>
    <w:div w:id="210580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58A8-DE55-4197-9712-041F6123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4705</Words>
  <Characters>24281</Characters>
  <Application>Microsoft Office Word</Application>
  <DocSecurity>0</DocSecurity>
  <Lines>433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28862</CharactersWithSpaces>
  <SharedDoc>false</SharedDoc>
  <HLinks>
    <vt:vector size="198" baseType="variant">
      <vt:variant>
        <vt:i4>3604575</vt:i4>
      </vt:variant>
      <vt:variant>
        <vt:i4>204</vt:i4>
      </vt:variant>
      <vt:variant>
        <vt:i4>0</vt:i4>
      </vt:variant>
      <vt:variant>
        <vt:i4>5</vt:i4>
      </vt:variant>
      <vt:variant>
        <vt:lpwstr>mailto:JUST-CRIMINAL-RECORD@ec.europa.eu</vt:lpwstr>
      </vt:variant>
      <vt:variant>
        <vt:lpwstr/>
      </vt:variant>
      <vt:variant>
        <vt:i4>786523</vt:i4>
      </vt:variant>
      <vt:variant>
        <vt:i4>201</vt:i4>
      </vt:variant>
      <vt:variant>
        <vt:i4>0</vt:i4>
      </vt:variant>
      <vt:variant>
        <vt:i4>5</vt:i4>
      </vt:variant>
      <vt:variant>
        <vt:lpwstr>http://www.statistics.be/</vt:lpwstr>
      </vt:variant>
      <vt:variant>
        <vt:lpwstr/>
      </vt:variant>
      <vt:variant>
        <vt:i4>1376314</vt:i4>
      </vt:variant>
      <vt:variant>
        <vt:i4>191</vt:i4>
      </vt:variant>
      <vt:variant>
        <vt:i4>0</vt:i4>
      </vt:variant>
      <vt:variant>
        <vt:i4>5</vt:i4>
      </vt:variant>
      <vt:variant>
        <vt:lpwstr/>
      </vt:variant>
      <vt:variant>
        <vt:lpwstr>_Toc366161943</vt:lpwstr>
      </vt:variant>
      <vt:variant>
        <vt:i4>1376314</vt:i4>
      </vt:variant>
      <vt:variant>
        <vt:i4>185</vt:i4>
      </vt:variant>
      <vt:variant>
        <vt:i4>0</vt:i4>
      </vt:variant>
      <vt:variant>
        <vt:i4>5</vt:i4>
      </vt:variant>
      <vt:variant>
        <vt:lpwstr/>
      </vt:variant>
      <vt:variant>
        <vt:lpwstr>_Toc366161943</vt:lpwstr>
      </vt:variant>
      <vt:variant>
        <vt:i4>1376314</vt:i4>
      </vt:variant>
      <vt:variant>
        <vt:i4>179</vt:i4>
      </vt:variant>
      <vt:variant>
        <vt:i4>0</vt:i4>
      </vt:variant>
      <vt:variant>
        <vt:i4>5</vt:i4>
      </vt:variant>
      <vt:variant>
        <vt:lpwstr/>
      </vt:variant>
      <vt:variant>
        <vt:lpwstr>_Toc366161942</vt:lpwstr>
      </vt:variant>
      <vt:variant>
        <vt:i4>1376314</vt:i4>
      </vt:variant>
      <vt:variant>
        <vt:i4>173</vt:i4>
      </vt:variant>
      <vt:variant>
        <vt:i4>0</vt:i4>
      </vt:variant>
      <vt:variant>
        <vt:i4>5</vt:i4>
      </vt:variant>
      <vt:variant>
        <vt:lpwstr/>
      </vt:variant>
      <vt:variant>
        <vt:lpwstr>_Toc366161941</vt:lpwstr>
      </vt:variant>
      <vt:variant>
        <vt:i4>1376314</vt:i4>
      </vt:variant>
      <vt:variant>
        <vt:i4>167</vt:i4>
      </vt:variant>
      <vt:variant>
        <vt:i4>0</vt:i4>
      </vt:variant>
      <vt:variant>
        <vt:i4>5</vt:i4>
      </vt:variant>
      <vt:variant>
        <vt:lpwstr/>
      </vt:variant>
      <vt:variant>
        <vt:lpwstr>_Toc366161940</vt:lpwstr>
      </vt:variant>
      <vt:variant>
        <vt:i4>1179706</vt:i4>
      </vt:variant>
      <vt:variant>
        <vt:i4>161</vt:i4>
      </vt:variant>
      <vt:variant>
        <vt:i4>0</vt:i4>
      </vt:variant>
      <vt:variant>
        <vt:i4>5</vt:i4>
      </vt:variant>
      <vt:variant>
        <vt:lpwstr/>
      </vt:variant>
      <vt:variant>
        <vt:lpwstr>_Toc366161939</vt:lpwstr>
      </vt:variant>
      <vt:variant>
        <vt:i4>1179706</vt:i4>
      </vt:variant>
      <vt:variant>
        <vt:i4>155</vt:i4>
      </vt:variant>
      <vt:variant>
        <vt:i4>0</vt:i4>
      </vt:variant>
      <vt:variant>
        <vt:i4>5</vt:i4>
      </vt:variant>
      <vt:variant>
        <vt:lpwstr/>
      </vt:variant>
      <vt:variant>
        <vt:lpwstr>_Toc366161938</vt:lpwstr>
      </vt:variant>
      <vt:variant>
        <vt:i4>1179706</vt:i4>
      </vt:variant>
      <vt:variant>
        <vt:i4>149</vt:i4>
      </vt:variant>
      <vt:variant>
        <vt:i4>0</vt:i4>
      </vt:variant>
      <vt:variant>
        <vt:i4>5</vt:i4>
      </vt:variant>
      <vt:variant>
        <vt:lpwstr/>
      </vt:variant>
      <vt:variant>
        <vt:lpwstr>_Toc366161937</vt:lpwstr>
      </vt:variant>
      <vt:variant>
        <vt:i4>1179706</vt:i4>
      </vt:variant>
      <vt:variant>
        <vt:i4>143</vt:i4>
      </vt:variant>
      <vt:variant>
        <vt:i4>0</vt:i4>
      </vt:variant>
      <vt:variant>
        <vt:i4>5</vt:i4>
      </vt:variant>
      <vt:variant>
        <vt:lpwstr/>
      </vt:variant>
      <vt:variant>
        <vt:lpwstr>_Toc366161936</vt:lpwstr>
      </vt:variant>
      <vt:variant>
        <vt:i4>1179706</vt:i4>
      </vt:variant>
      <vt:variant>
        <vt:i4>137</vt:i4>
      </vt:variant>
      <vt:variant>
        <vt:i4>0</vt:i4>
      </vt:variant>
      <vt:variant>
        <vt:i4>5</vt:i4>
      </vt:variant>
      <vt:variant>
        <vt:lpwstr/>
      </vt:variant>
      <vt:variant>
        <vt:lpwstr>_Toc366161935</vt:lpwstr>
      </vt:variant>
      <vt:variant>
        <vt:i4>1179706</vt:i4>
      </vt:variant>
      <vt:variant>
        <vt:i4>131</vt:i4>
      </vt:variant>
      <vt:variant>
        <vt:i4>0</vt:i4>
      </vt:variant>
      <vt:variant>
        <vt:i4>5</vt:i4>
      </vt:variant>
      <vt:variant>
        <vt:lpwstr/>
      </vt:variant>
      <vt:variant>
        <vt:lpwstr>_Toc366161934</vt:lpwstr>
      </vt:variant>
      <vt:variant>
        <vt:i4>1179706</vt:i4>
      </vt:variant>
      <vt:variant>
        <vt:i4>125</vt:i4>
      </vt:variant>
      <vt:variant>
        <vt:i4>0</vt:i4>
      </vt:variant>
      <vt:variant>
        <vt:i4>5</vt:i4>
      </vt:variant>
      <vt:variant>
        <vt:lpwstr/>
      </vt:variant>
      <vt:variant>
        <vt:lpwstr>_Toc366161933</vt:lpwstr>
      </vt:variant>
      <vt:variant>
        <vt:i4>1179706</vt:i4>
      </vt:variant>
      <vt:variant>
        <vt:i4>119</vt:i4>
      </vt:variant>
      <vt:variant>
        <vt:i4>0</vt:i4>
      </vt:variant>
      <vt:variant>
        <vt:i4>5</vt:i4>
      </vt:variant>
      <vt:variant>
        <vt:lpwstr/>
      </vt:variant>
      <vt:variant>
        <vt:lpwstr>_Toc366161932</vt:lpwstr>
      </vt:variant>
      <vt:variant>
        <vt:i4>1179706</vt:i4>
      </vt:variant>
      <vt:variant>
        <vt:i4>113</vt:i4>
      </vt:variant>
      <vt:variant>
        <vt:i4>0</vt:i4>
      </vt:variant>
      <vt:variant>
        <vt:i4>5</vt:i4>
      </vt:variant>
      <vt:variant>
        <vt:lpwstr/>
      </vt:variant>
      <vt:variant>
        <vt:lpwstr>_Toc366161931</vt:lpwstr>
      </vt:variant>
      <vt:variant>
        <vt:i4>1179706</vt:i4>
      </vt:variant>
      <vt:variant>
        <vt:i4>107</vt:i4>
      </vt:variant>
      <vt:variant>
        <vt:i4>0</vt:i4>
      </vt:variant>
      <vt:variant>
        <vt:i4>5</vt:i4>
      </vt:variant>
      <vt:variant>
        <vt:lpwstr/>
      </vt:variant>
      <vt:variant>
        <vt:lpwstr>_Toc366161930</vt:lpwstr>
      </vt:variant>
      <vt:variant>
        <vt:i4>1245242</vt:i4>
      </vt:variant>
      <vt:variant>
        <vt:i4>101</vt:i4>
      </vt:variant>
      <vt:variant>
        <vt:i4>0</vt:i4>
      </vt:variant>
      <vt:variant>
        <vt:i4>5</vt:i4>
      </vt:variant>
      <vt:variant>
        <vt:lpwstr/>
      </vt:variant>
      <vt:variant>
        <vt:lpwstr>_Toc366161929</vt:lpwstr>
      </vt:variant>
      <vt:variant>
        <vt:i4>1245242</vt:i4>
      </vt:variant>
      <vt:variant>
        <vt:i4>95</vt:i4>
      </vt:variant>
      <vt:variant>
        <vt:i4>0</vt:i4>
      </vt:variant>
      <vt:variant>
        <vt:i4>5</vt:i4>
      </vt:variant>
      <vt:variant>
        <vt:lpwstr/>
      </vt:variant>
      <vt:variant>
        <vt:lpwstr>_Toc366161928</vt:lpwstr>
      </vt:variant>
      <vt:variant>
        <vt:i4>1245242</vt:i4>
      </vt:variant>
      <vt:variant>
        <vt:i4>89</vt:i4>
      </vt:variant>
      <vt:variant>
        <vt:i4>0</vt:i4>
      </vt:variant>
      <vt:variant>
        <vt:i4>5</vt:i4>
      </vt:variant>
      <vt:variant>
        <vt:lpwstr/>
      </vt:variant>
      <vt:variant>
        <vt:lpwstr>_Toc366161927</vt:lpwstr>
      </vt:variant>
      <vt:variant>
        <vt:i4>1245242</vt:i4>
      </vt:variant>
      <vt:variant>
        <vt:i4>83</vt:i4>
      </vt:variant>
      <vt:variant>
        <vt:i4>0</vt:i4>
      </vt:variant>
      <vt:variant>
        <vt:i4>5</vt:i4>
      </vt:variant>
      <vt:variant>
        <vt:lpwstr/>
      </vt:variant>
      <vt:variant>
        <vt:lpwstr>_Toc366161926</vt:lpwstr>
      </vt:variant>
      <vt:variant>
        <vt:i4>1245242</vt:i4>
      </vt:variant>
      <vt:variant>
        <vt:i4>77</vt:i4>
      </vt:variant>
      <vt:variant>
        <vt:i4>0</vt:i4>
      </vt:variant>
      <vt:variant>
        <vt:i4>5</vt:i4>
      </vt:variant>
      <vt:variant>
        <vt:lpwstr/>
      </vt:variant>
      <vt:variant>
        <vt:lpwstr>_Toc366161925</vt:lpwstr>
      </vt:variant>
      <vt:variant>
        <vt:i4>1245242</vt:i4>
      </vt:variant>
      <vt:variant>
        <vt:i4>71</vt:i4>
      </vt:variant>
      <vt:variant>
        <vt:i4>0</vt:i4>
      </vt:variant>
      <vt:variant>
        <vt:i4>5</vt:i4>
      </vt:variant>
      <vt:variant>
        <vt:lpwstr/>
      </vt:variant>
      <vt:variant>
        <vt:lpwstr>_Toc366161924</vt:lpwstr>
      </vt:variant>
      <vt:variant>
        <vt:i4>1245242</vt:i4>
      </vt:variant>
      <vt:variant>
        <vt:i4>65</vt:i4>
      </vt:variant>
      <vt:variant>
        <vt:i4>0</vt:i4>
      </vt:variant>
      <vt:variant>
        <vt:i4>5</vt:i4>
      </vt:variant>
      <vt:variant>
        <vt:lpwstr/>
      </vt:variant>
      <vt:variant>
        <vt:lpwstr>_Toc366161923</vt:lpwstr>
      </vt:variant>
      <vt:variant>
        <vt:i4>1245242</vt:i4>
      </vt:variant>
      <vt:variant>
        <vt:i4>59</vt:i4>
      </vt:variant>
      <vt:variant>
        <vt:i4>0</vt:i4>
      </vt:variant>
      <vt:variant>
        <vt:i4>5</vt:i4>
      </vt:variant>
      <vt:variant>
        <vt:lpwstr/>
      </vt:variant>
      <vt:variant>
        <vt:lpwstr>_Toc366161922</vt:lpwstr>
      </vt:variant>
      <vt:variant>
        <vt:i4>1245242</vt:i4>
      </vt:variant>
      <vt:variant>
        <vt:i4>53</vt:i4>
      </vt:variant>
      <vt:variant>
        <vt:i4>0</vt:i4>
      </vt:variant>
      <vt:variant>
        <vt:i4>5</vt:i4>
      </vt:variant>
      <vt:variant>
        <vt:lpwstr/>
      </vt:variant>
      <vt:variant>
        <vt:lpwstr>_Toc366161921</vt:lpwstr>
      </vt:variant>
      <vt:variant>
        <vt:i4>1245242</vt:i4>
      </vt:variant>
      <vt:variant>
        <vt:i4>47</vt:i4>
      </vt:variant>
      <vt:variant>
        <vt:i4>0</vt:i4>
      </vt:variant>
      <vt:variant>
        <vt:i4>5</vt:i4>
      </vt:variant>
      <vt:variant>
        <vt:lpwstr/>
      </vt:variant>
      <vt:variant>
        <vt:lpwstr>_Toc366161920</vt:lpwstr>
      </vt:variant>
      <vt:variant>
        <vt:i4>1048634</vt:i4>
      </vt:variant>
      <vt:variant>
        <vt:i4>41</vt:i4>
      </vt:variant>
      <vt:variant>
        <vt:i4>0</vt:i4>
      </vt:variant>
      <vt:variant>
        <vt:i4>5</vt:i4>
      </vt:variant>
      <vt:variant>
        <vt:lpwstr/>
      </vt:variant>
      <vt:variant>
        <vt:lpwstr>_Toc366161919</vt:lpwstr>
      </vt:variant>
      <vt:variant>
        <vt:i4>1048634</vt:i4>
      </vt:variant>
      <vt:variant>
        <vt:i4>35</vt:i4>
      </vt:variant>
      <vt:variant>
        <vt:i4>0</vt:i4>
      </vt:variant>
      <vt:variant>
        <vt:i4>5</vt:i4>
      </vt:variant>
      <vt:variant>
        <vt:lpwstr/>
      </vt:variant>
      <vt:variant>
        <vt:lpwstr>_Toc366161918</vt:lpwstr>
      </vt:variant>
      <vt:variant>
        <vt:i4>1048634</vt:i4>
      </vt:variant>
      <vt:variant>
        <vt:i4>29</vt:i4>
      </vt:variant>
      <vt:variant>
        <vt:i4>0</vt:i4>
      </vt:variant>
      <vt:variant>
        <vt:i4>5</vt:i4>
      </vt:variant>
      <vt:variant>
        <vt:lpwstr/>
      </vt:variant>
      <vt:variant>
        <vt:lpwstr>_Toc366161917</vt:lpwstr>
      </vt:variant>
      <vt:variant>
        <vt:i4>1048634</vt:i4>
      </vt:variant>
      <vt:variant>
        <vt:i4>23</vt:i4>
      </vt:variant>
      <vt:variant>
        <vt:i4>0</vt:i4>
      </vt:variant>
      <vt:variant>
        <vt:i4>5</vt:i4>
      </vt:variant>
      <vt:variant>
        <vt:lpwstr/>
      </vt:variant>
      <vt:variant>
        <vt:lpwstr>_Toc366161916</vt:lpwstr>
      </vt:variant>
      <vt:variant>
        <vt:i4>1048634</vt:i4>
      </vt:variant>
      <vt:variant>
        <vt:i4>17</vt:i4>
      </vt:variant>
      <vt:variant>
        <vt:i4>0</vt:i4>
      </vt:variant>
      <vt:variant>
        <vt:i4>5</vt:i4>
      </vt:variant>
      <vt:variant>
        <vt:lpwstr/>
      </vt:variant>
      <vt:variant>
        <vt:lpwstr>_Toc366161915</vt:lpwstr>
      </vt:variant>
      <vt:variant>
        <vt:i4>1048634</vt:i4>
      </vt:variant>
      <vt:variant>
        <vt:i4>11</vt:i4>
      </vt:variant>
      <vt:variant>
        <vt:i4>0</vt:i4>
      </vt:variant>
      <vt:variant>
        <vt:i4>5</vt:i4>
      </vt:variant>
      <vt:variant>
        <vt:lpwstr/>
      </vt:variant>
      <vt:variant>
        <vt:lpwstr>_Toc366161914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2020-12-09T14:24:00Z</dcterms:created>
  <dcterms:modified xsi:type="dcterms:W3CDTF">2020-12-11T19:21:00Z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ies>
</file>