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113DE34-71C3-4482-B36D-7B2A162572CA" style="width:450.4pt;height:334.05pt">
            <v:imagedata r:id="rId9" o:title=""/>
          </v:shape>
        </w:pict>
      </w:r>
    </w:p>
    <w:bookmarkEnd w:id="0"/>
    <w:p>
      <w:pPr>
        <w:rPr>
          <w:rFonts w:eastAsiaTheme="minorHAnsi"/>
          <w:noProof/>
          <w:lang w:eastAsia="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1. Introduction</w:t>
      </w:r>
    </w:p>
    <w:p>
      <w:pPr>
        <w:spacing w:after="0"/>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Le système européen d’information sur les casiers judiciaires (ECRIS) a pour but d’améliorer la sécurité des citoyens dans l’espace de liberté, de sécurité et de justice de l’UE, en permettant un échange efficace d’informations entre les États membres sur les précédentes condamnations pénales prononcées par les juridictions pénales dans l’UE. L’ECRIS est devenu opérationnel en avril 2012. Il est réglementé par la décision-cadre 2009/315/JAI du Conseil du 26 février 2009 concernant l’organisation et le contenu des échanges d’informations extraites du casier judiciaire entre les États membres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et par la décision 2009/316/JAI du Conseil du 6 avril 2009 relative à la création du système européen d’information sur les casiers judiciaires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rPr>
        <w:t>Le 29 juin 2017, la Commission a adopté son premier rapport statistique en application de l’article 7 de la décision 2009/316/JAI du Conseil, couvrant la période comprise entre le mois d’avril 2012 et le 31 décembre 2016.</w:t>
      </w:r>
      <w:r>
        <w:rPr>
          <w:rFonts w:ascii="Times New Roman" w:hAnsi="Times New Roman"/>
          <w:noProof/>
          <w:sz w:val="24"/>
          <w:szCs w:val="24"/>
          <w:vertAlign w:val="superscript"/>
        </w:rPr>
        <w:t xml:space="preserve"> </w:t>
      </w:r>
      <w:r>
        <w:rPr>
          <w:rFonts w:ascii="Times New Roman" w:hAnsi="Times New Roman" w:cs="Times New Roman"/>
          <w:noProof/>
          <w:sz w:val="24"/>
          <w:szCs w:val="24"/>
          <w:vertAlign w:val="superscript"/>
        </w:rPr>
        <w:footnoteReference w:id="4"/>
      </w:r>
      <w:r>
        <w:rPr>
          <w:rFonts w:ascii="Times New Roman" w:hAnsi="Times New Roman"/>
          <w:noProof/>
          <w:sz w:val="24"/>
          <w:szCs w:val="24"/>
        </w:rPr>
        <w:t xml:space="preserve"> </w:t>
      </w:r>
    </w:p>
    <w:p>
      <w:pPr>
        <w:jc w:val="both"/>
        <w:rPr>
          <w:rFonts w:ascii="Times New Roman" w:hAnsi="Times New Roman"/>
          <w:noProof/>
          <w:sz w:val="24"/>
        </w:rPr>
      </w:pPr>
      <w:r>
        <w:rPr>
          <w:rFonts w:ascii="Times New Roman" w:hAnsi="Times New Roman"/>
          <w:noProof/>
          <w:sz w:val="24"/>
          <w:szCs w:val="24"/>
        </w:rPr>
        <w:t xml:space="preserve">Le présent rapport est le second rapport statistique de la Commission sur les échanges, au moyen de l’ECRIS, d’informations extraites des casiers judiciaires entre les États membres. </w:t>
      </w:r>
      <w:r>
        <w:rPr>
          <w:rFonts w:ascii="Times New Roman" w:hAnsi="Times New Roman"/>
          <w:noProof/>
          <w:sz w:val="24"/>
        </w:rPr>
        <w:t>Son but est de présenter la conformité des échanges des États membres avec le cadre juridique de l’ECRIS ainsi que de décrire les éventuels problèmes relatifs à l’efficacité du système, en vue d’y remédier. La Commission se réserve le droit de prendre toutes les mesures appropriées afin de s’assurer que les États membres s’acquittent des obligations légales fixées dans la décision-cadre 2009/315/JAI.</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bookmarkStart w:id="2" w:name="_Toc479267018"/>
      <w:r>
        <w:rPr>
          <w:rFonts w:ascii="Times New Roman" w:hAnsi="Times New Roman"/>
          <w:b/>
          <w:noProof/>
          <w:sz w:val="24"/>
          <w:szCs w:val="24"/>
        </w:rPr>
        <w:t>1.1. Statistiques relatives à l’ECRIS</w:t>
      </w:r>
      <w:bookmarkEnd w:id="2"/>
      <w:r>
        <w:rPr>
          <w:rFonts w:ascii="Times New Roman" w:hAnsi="Times New Roman"/>
          <w:b/>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Le présent rapport donne un aperçu de l’utilisation de l’ECRIS entre le </w:t>
      </w:r>
      <w:r>
        <w:rPr>
          <w:rFonts w:ascii="Times New Roman" w:hAnsi="Times New Roman"/>
          <w:b/>
          <w:bCs/>
          <w:noProof/>
          <w:sz w:val="24"/>
        </w:rPr>
        <w:t>1</w:t>
      </w:r>
      <w:r>
        <w:rPr>
          <w:rFonts w:ascii="Times New Roman" w:hAnsi="Times New Roman"/>
          <w:b/>
          <w:bCs/>
          <w:noProof/>
          <w:sz w:val="24"/>
          <w:vertAlign w:val="superscript"/>
        </w:rPr>
        <w:t>er</w:t>
      </w:r>
      <w:r>
        <w:rPr>
          <w:rFonts w:ascii="Times New Roman" w:hAnsi="Times New Roman"/>
          <w:b/>
          <w:bCs/>
          <w:noProof/>
          <w:sz w:val="24"/>
        </w:rPr>
        <w:t> janvier 2017 et le 31 décembre 2019</w:t>
      </w:r>
      <w:r>
        <w:rPr>
          <w:rFonts w:ascii="Times New Roman" w:hAnsi="Times New Roman"/>
          <w:noProof/>
          <w:sz w:val="24"/>
        </w:rPr>
        <w:t>, en mettant l’accent sur 2019.</w:t>
      </w:r>
      <w:r>
        <w:rPr>
          <w:rFonts w:ascii="Times New Roman" w:hAnsi="Times New Roman"/>
          <w:noProof/>
          <w:sz w:val="24"/>
          <w:szCs w:val="24"/>
        </w:rPr>
        <w:t xml:space="preserve"> Il s’accompagne du document de travail des services de la Commission SWD/2020/378 (ci-après le «document de travail»). La plupart des tableaux et des graphiques figurant dans le rapport font référence à l’année 2019; ceux qui se rapportent à 2017 et 2018 peuvent être consultés dans le document de travail qui l’accompagne. Certaines statistiques fournies dans le rapport donnent un aperçu général de la période de fonctionnement de l’ECRIS sur une durée de 8 ans, à savoir depuis sa mise en service en avril 2012. Toutefois, les données statistiques comparatives relatives à l’ensemble des États membres ainsi que les tableaux statistiques des différents États membres (fournis au point 3 du document de travail) couvrent les échanges ECRIS au cours de la période 2017-2019. Le cas échéant, les statistiques de 2016 ont servi de point de référence.</w:t>
      </w:r>
      <w:r>
        <w:rPr>
          <w:rFonts w:ascii="Times New Roman" w:hAnsi="Times New Roman"/>
          <w:noProof/>
          <w:sz w:val="24"/>
        </w:rPr>
        <w:t xml:space="preserve"> Le rapport contient également des données sur le Royaume-Uni, en tant qu’État membre de l’UE, jusqu’en 2019.  </w:t>
      </w:r>
    </w:p>
    <w:p>
      <w:pPr>
        <w:jc w:val="both"/>
        <w:rPr>
          <w:rFonts w:ascii="Times New Roman" w:hAnsi="Times New Roman" w:cs="Times New Roman"/>
          <w:noProof/>
          <w:sz w:val="24"/>
          <w:szCs w:val="24"/>
        </w:rPr>
      </w:pPr>
      <w:r>
        <w:rPr>
          <w:rFonts w:ascii="Times New Roman" w:hAnsi="Times New Roman"/>
          <w:noProof/>
          <w:sz w:val="24"/>
          <w:szCs w:val="24"/>
        </w:rPr>
        <w:t xml:space="preserve">Le présent rapport est basé sur les statistiques générées automatiquement par le système et envoyées à la Commission par les États membres. Un choix a été opéré parmi les 233 indicateurs statistiques définis pour l’ECRIS afin de ne publier que les informations statistiques les plus pertinentes et les plus utiles. En outre, les États membres ont été invités à communiquer des statistiques sur le nombre de condamnations de ressortissants d’autres États </w:t>
      </w:r>
      <w:r>
        <w:rPr>
          <w:rFonts w:ascii="Times New Roman" w:hAnsi="Times New Roman"/>
          <w:noProof/>
          <w:sz w:val="24"/>
          <w:szCs w:val="24"/>
        </w:rPr>
        <w:lastRenderedPageBreak/>
        <w:t>membres prononcées sur leur territoire, afin de pouvoir donner un aperçu de l’application de la procédure de notification. Le rapport inclut des données sur les condamnations transmises par 23 États membres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1.2. Principes généraux du système ECRIS</w:t>
      </w:r>
    </w:p>
    <w:p>
      <w:pPr>
        <w:jc w:val="both"/>
        <w:rPr>
          <w:rFonts w:ascii="Times New Roman" w:hAnsi="Times New Roman" w:cs="Times New Roman"/>
          <w:noProof/>
          <w:sz w:val="24"/>
          <w:szCs w:val="24"/>
        </w:rPr>
      </w:pPr>
      <w:r>
        <w:rPr>
          <w:rFonts w:ascii="Times New Roman" w:hAnsi="Times New Roman"/>
          <w:noProof/>
          <w:sz w:val="24"/>
          <w:szCs w:val="24"/>
        </w:rPr>
        <w:t>L’ECRIS est fondé sur une architecture décentralisée, dans laquelle les informations sur les casiers judiciaires sont échangées par voie électronique, exclusivement entre les autorités centrales des États membres.</w:t>
      </w:r>
    </w:p>
    <w:p>
      <w:pPr>
        <w:jc w:val="both"/>
        <w:rPr>
          <w:rFonts w:ascii="Times New Roman" w:hAnsi="Times New Roman" w:cs="Times New Roman"/>
          <w:b/>
          <w:noProof/>
          <w:sz w:val="24"/>
          <w:szCs w:val="24"/>
        </w:rPr>
      </w:pPr>
      <w:r>
        <w:rPr>
          <w:rFonts w:ascii="Times New Roman" w:hAnsi="Times New Roman"/>
          <w:noProof/>
          <w:sz w:val="24"/>
          <w:szCs w:val="24"/>
        </w:rPr>
        <w:t>Tout État membre qui condamne un ressortissant d’un autre État membre est tenu de transmettre dans les plus brefs délais, via l’ECRIS, toutes les informations relatives à cette condamnation (</w:t>
      </w:r>
      <w:r>
        <w:rPr>
          <w:rFonts w:ascii="Times New Roman" w:hAnsi="Times New Roman"/>
          <w:b/>
          <w:bCs/>
          <w:noProof/>
          <w:sz w:val="24"/>
          <w:szCs w:val="24"/>
        </w:rPr>
        <w:t>notifications sur les nouvelles condamnations</w:t>
      </w:r>
      <w:r>
        <w:rPr>
          <w:rFonts w:ascii="Times New Roman" w:hAnsi="Times New Roman"/>
          <w:noProof/>
          <w:sz w:val="24"/>
          <w:szCs w:val="24"/>
        </w:rPr>
        <w:t>) à l’État membre en question (ci-après l’«État membre de nationalité»), ainsi que toutes les informations subséquentes (</w:t>
      </w:r>
      <w:r>
        <w:rPr>
          <w:rFonts w:ascii="Times New Roman" w:hAnsi="Times New Roman"/>
          <w:b/>
          <w:bCs/>
          <w:noProof/>
          <w:sz w:val="24"/>
          <w:szCs w:val="24"/>
        </w:rPr>
        <w:t>notifications sur les mises à jour</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L’État membre de nationalité tient ainsi un répertoire central de toutes les condamnations prononcées contre ses ressortissants par les juridictions pénales des autres États membres de l’UE, en plus des condamnations éventuelles prononcées dans l’État membre lui-même. L’État membre de nationalité est ensuite tenu de conserver et de mettre à jour toutes les informations qu’il reçoit via l’ECRIS, ainsi que de fournir des informations complètes sur les casiers judiciaires (</w:t>
      </w:r>
      <w:r>
        <w:rPr>
          <w:rFonts w:ascii="Times New Roman" w:hAnsi="Times New Roman"/>
          <w:b/>
          <w:bCs/>
          <w:noProof/>
          <w:sz w:val="24"/>
          <w:szCs w:val="24"/>
        </w:rPr>
        <w:t>réponses aux demandes</w:t>
      </w:r>
      <w:r>
        <w:rPr>
          <w:rFonts w:ascii="Times New Roman" w:hAnsi="Times New Roman"/>
          <w:noProof/>
          <w:sz w:val="24"/>
          <w:szCs w:val="24"/>
        </w:rPr>
        <w:t>) lorsqu’un autre État membre lui en fait la demande (</w:t>
      </w:r>
      <w:r>
        <w:rPr>
          <w:rFonts w:ascii="Times New Roman" w:hAnsi="Times New Roman"/>
          <w:b/>
          <w:bCs/>
          <w:noProof/>
          <w:sz w:val="24"/>
          <w:szCs w:val="24"/>
        </w:rPr>
        <w:t>demandes d’informations</w:t>
      </w:r>
      <w:r>
        <w:rPr>
          <w:rFonts w:ascii="Times New Roman" w:hAnsi="Times New Roman"/>
          <w:noProof/>
          <w:sz w:val="24"/>
          <w:szCs w:val="24"/>
        </w:rPr>
        <w:t xml:space="preserve">), dans de </w:t>
      </w:r>
      <w:r>
        <w:rPr>
          <w:rFonts w:ascii="Times New Roman" w:hAnsi="Times New Roman"/>
          <w:b/>
          <w:noProof/>
          <w:sz w:val="24"/>
          <w:szCs w:val="24"/>
        </w:rPr>
        <w:t>courts délais de 10 ou 20 jours</w:t>
      </w:r>
      <w:r>
        <w:rPr>
          <w:rStyle w:val="FootnoteReference"/>
          <w:rFonts w:ascii="Times New Roman" w:hAnsi="Times New Roman" w:cs="Times New Roman"/>
          <w:b/>
          <w:noProof/>
          <w:sz w:val="24"/>
          <w:szCs w:val="24"/>
        </w:rPr>
        <w:footnoteReference w:id="6"/>
      </w:r>
      <w:r>
        <w:rPr>
          <w:rFonts w:ascii="Times New Roman" w:hAnsi="Times New Roman"/>
          <w:noProof/>
          <w:sz w:val="24"/>
          <w:szCs w:val="24"/>
        </w:rPr>
        <w:t>.</w:t>
      </w:r>
    </w:p>
    <w:p>
      <w:pPr>
        <w:spacing w:after="0"/>
        <w:jc w:val="both"/>
        <w:rPr>
          <w:rFonts w:ascii="Times New Roman" w:hAnsi="Times New Roman" w:cs="Times New Roman"/>
          <w:noProof/>
          <w:sz w:val="24"/>
          <w:szCs w:val="24"/>
        </w:rPr>
      </w:pPr>
      <w:bookmarkStart w:id="3" w:name="_Hlk480363534"/>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p>
    <w:p>
      <w:pPr>
        <w:keepNext/>
        <w:keepLines/>
        <w:widowControl w:val="0"/>
        <w:jc w:val="both"/>
        <w:rPr>
          <w:rFonts w:ascii="Times New Roman" w:hAnsi="Times New Roman" w:cs="Times New Roman"/>
          <w:b/>
          <w:noProof/>
          <w:sz w:val="24"/>
          <w:szCs w:val="24"/>
        </w:rPr>
      </w:pPr>
      <w:bookmarkStart w:id="4" w:name="_Toc479267019"/>
      <w:bookmarkEnd w:id="3"/>
      <w:r>
        <w:rPr>
          <w:rFonts w:ascii="Times New Roman" w:hAnsi="Times New Roman"/>
          <w:b/>
          <w:noProof/>
          <w:sz w:val="24"/>
          <w:szCs w:val="24"/>
        </w:rPr>
        <w:t>2. Les échanges ECRIS en chiffres</w:t>
      </w:r>
      <w:bookmarkStart w:id="5" w:name="_Ref366147146"/>
      <w:bookmarkStart w:id="6" w:name="_Toc479267020"/>
      <w:bookmarkEnd w:id="4"/>
    </w:p>
    <w:p>
      <w:pPr>
        <w:keepNext/>
        <w:keepLines/>
        <w:widowControl w:val="0"/>
        <w:jc w:val="both"/>
        <w:rPr>
          <w:rFonts w:ascii="Times New Roman" w:hAnsi="Times New Roman" w:cs="Times New Roman"/>
          <w:bCs/>
          <w:smallCaps/>
          <w:noProof/>
          <w:sz w:val="24"/>
          <w:szCs w:val="24"/>
        </w:rPr>
      </w:pPr>
    </w:p>
    <w:p>
      <w:pPr>
        <w:keepNext/>
        <w:keepLines/>
        <w:widowControl w:val="0"/>
        <w:jc w:val="both"/>
        <w:rPr>
          <w:rFonts w:ascii="Times New Roman" w:hAnsi="Times New Roman" w:cs="Times New Roman"/>
          <w:b/>
          <w:noProof/>
          <w:sz w:val="24"/>
          <w:szCs w:val="24"/>
        </w:rPr>
      </w:pPr>
      <w:r>
        <w:rPr>
          <w:rFonts w:ascii="Times New Roman" w:hAnsi="Times New Roman"/>
          <w:b/>
          <w:bCs/>
          <w:smallCaps/>
          <w:noProof/>
          <w:sz w:val="24"/>
          <w:szCs w:val="24"/>
        </w:rPr>
        <w:t xml:space="preserve">2.1. </w:t>
      </w:r>
      <w:r>
        <w:rPr>
          <w:rFonts w:ascii="Times New Roman" w:hAnsi="Times New Roman"/>
          <w:b/>
          <w:noProof/>
          <w:sz w:val="24"/>
          <w:szCs w:val="24"/>
        </w:rPr>
        <w:t>États membres connectés</w:t>
      </w:r>
      <w:bookmarkEnd w:id="5"/>
      <w:bookmarkEnd w:id="6"/>
    </w:p>
    <w:p>
      <w:pPr>
        <w:keepNext/>
        <w:keepLines/>
        <w:widowControl w:val="0"/>
        <w:jc w:val="both"/>
        <w:rPr>
          <w:rFonts w:ascii="Times New Roman" w:hAnsi="Times New Roman" w:cs="Times New Roman"/>
          <w:noProof/>
          <w:sz w:val="24"/>
          <w:szCs w:val="24"/>
        </w:rPr>
      </w:pPr>
      <w:r>
        <w:rPr>
          <w:rFonts w:ascii="Times New Roman" w:hAnsi="Times New Roman"/>
          <w:noProof/>
          <w:sz w:val="24"/>
          <w:szCs w:val="24"/>
        </w:rPr>
        <w:t xml:space="preserve">L’ECRIS est un système décentralisé dans lequel tous les États membres doivent être mutuellement interconnectés. Un État membre est considéré comme connecté à l’ECRIS s’il échange des informations sur les casiers judiciaires avec au moins un autre État membre connecté. </w:t>
      </w:r>
      <w:bookmarkStart w:id="7" w:name="_Hlk481158166"/>
      <w:r>
        <w:rPr>
          <w:rFonts w:ascii="Times New Roman" w:hAnsi="Times New Roman"/>
          <w:b/>
          <w:bCs/>
          <w:noProof/>
          <w:sz w:val="24"/>
          <w:szCs w:val="24"/>
        </w:rPr>
        <w:t>À ce jour, tous les États membres sont connectés à l’ECRIS</w:t>
      </w:r>
      <w:r>
        <w:rPr>
          <w:rFonts w:ascii="Times New Roman" w:hAnsi="Times New Roman"/>
          <w:noProof/>
          <w:sz w:val="24"/>
          <w:szCs w:val="24"/>
        </w:rPr>
        <w:t xml:space="preserve"> et échangent des informations sur les casiers judiciaires </w:t>
      </w:r>
      <w:r>
        <w:rPr>
          <w:rFonts w:ascii="Times New Roman" w:hAnsi="Times New Roman"/>
          <w:b/>
          <w:bCs/>
          <w:noProof/>
          <w:sz w:val="24"/>
          <w:szCs w:val="24"/>
        </w:rPr>
        <w:t>avec, en moyenne, 24 autres États membres</w:t>
      </w:r>
      <w:r>
        <w:rPr>
          <w:rFonts w:ascii="Times New Roman" w:hAnsi="Times New Roman"/>
          <w:noProof/>
          <w:sz w:val="24"/>
          <w:szCs w:val="24"/>
        </w:rPr>
        <w:t>.</w:t>
      </w:r>
      <w:bookmarkEnd w:id="7"/>
      <w:r>
        <w:rPr>
          <w:rStyle w:val="FootnoteReference"/>
          <w:rFonts w:ascii="Times New Roman" w:hAnsi="Times New Roman" w:cs="Times New Roman"/>
          <w:noProof/>
          <w:sz w:val="24"/>
          <w:szCs w:val="24"/>
        </w:rPr>
        <w:footnoteReference w:id="7"/>
      </w:r>
    </w:p>
    <w:p>
      <w:pPr>
        <w:keepNext/>
        <w:keepLines/>
        <w:widowControl w:val="0"/>
        <w:jc w:val="both"/>
        <w:rPr>
          <w:rFonts w:ascii="Times New Roman" w:hAnsi="Times New Roman" w:cs="Times New Roman"/>
          <w:noProof/>
          <w:sz w:val="24"/>
          <w:szCs w:val="24"/>
        </w:rPr>
      </w:pPr>
      <w:r>
        <w:rPr>
          <w:rFonts w:ascii="Times New Roman" w:hAnsi="Times New Roman"/>
          <w:noProof/>
          <w:sz w:val="24"/>
          <w:szCs w:val="24"/>
        </w:rPr>
        <w:t>Le nombre total possible d’interconnexions est 756 (27*28)</w:t>
      </w:r>
      <w:r>
        <w:rPr>
          <w:rStyle w:val="FootnoteReference"/>
          <w:rFonts w:ascii="Times New Roman" w:hAnsi="Times New Roman" w:cs="Times New Roman"/>
          <w:noProof/>
          <w:sz w:val="24"/>
          <w:szCs w:val="24"/>
        </w:rPr>
        <w:footnoteReference w:id="8"/>
      </w:r>
      <w:bookmarkStart w:id="8" w:name="_Hlk481160969"/>
      <w:r>
        <w:rPr>
          <w:rFonts w:ascii="Times New Roman" w:hAnsi="Times New Roman"/>
          <w:noProof/>
          <w:sz w:val="24"/>
          <w:szCs w:val="24"/>
        </w:rPr>
        <w:t xml:space="preserve">. Bien que tous les États membres soient désormais connectés à l’ECRIS, </w:t>
      </w:r>
      <w:r>
        <w:rPr>
          <w:rFonts w:ascii="Times New Roman" w:hAnsi="Times New Roman"/>
          <w:b/>
          <w:bCs/>
          <w:noProof/>
          <w:sz w:val="24"/>
          <w:szCs w:val="24"/>
        </w:rPr>
        <w:t>un seul État membre (ES) échange effectivement des informations avec tous les autres via l’ECRIS</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Pour la majorité des États membres, une ou deux interconnexions sont toujours absentes.</w:t>
      </w:r>
      <w:bookmarkEnd w:id="8"/>
    </w:p>
    <w:p>
      <w:pPr>
        <w:jc w:val="both"/>
        <w:rPr>
          <w:rFonts w:ascii="Times New Roman" w:hAnsi="Times New Roman" w:cs="Times New Roman"/>
          <w:noProof/>
          <w:sz w:val="24"/>
          <w:szCs w:val="24"/>
        </w:rPr>
      </w:pPr>
      <w:r>
        <w:rPr>
          <w:rFonts w:ascii="Times New Roman" w:hAnsi="Times New Roman"/>
          <w:noProof/>
          <w:sz w:val="24"/>
          <w:szCs w:val="24"/>
        </w:rPr>
        <w:t xml:space="preserve">Le système ECRIS a démarré avec 173 interconnexions en 2012, sur 756 possibles (avec 28 États membres connectés). </w:t>
      </w:r>
      <w:bookmarkStart w:id="9" w:name="_Hlk481158260"/>
      <w:r>
        <w:rPr>
          <w:rFonts w:ascii="Times New Roman" w:hAnsi="Times New Roman"/>
          <w:noProof/>
          <w:sz w:val="24"/>
          <w:szCs w:val="24"/>
        </w:rPr>
        <w:t xml:space="preserve">À la fin de l’année 2019, </w:t>
      </w:r>
      <w:r>
        <w:rPr>
          <w:rFonts w:ascii="Times New Roman" w:hAnsi="Times New Roman"/>
          <w:b/>
          <w:bCs/>
          <w:noProof/>
          <w:sz w:val="24"/>
          <w:szCs w:val="24"/>
        </w:rPr>
        <w:t>670 interconnexions</w:t>
      </w:r>
      <w:r>
        <w:rPr>
          <w:rFonts w:ascii="Times New Roman" w:hAnsi="Times New Roman"/>
          <w:noProof/>
          <w:sz w:val="24"/>
          <w:szCs w:val="24"/>
        </w:rPr>
        <w:t xml:space="preserve"> avaient été établies, soit </w:t>
      </w:r>
      <w:r>
        <w:rPr>
          <w:rFonts w:ascii="Times New Roman" w:hAnsi="Times New Roman"/>
          <w:b/>
          <w:bCs/>
          <w:noProof/>
          <w:sz w:val="24"/>
          <w:szCs w:val="24"/>
        </w:rPr>
        <w:t>90 % du nombre total d’interconnexions possibles</w:t>
      </w:r>
      <w:r>
        <w:rPr>
          <w:rStyle w:val="FootnoteReference"/>
          <w:rFonts w:ascii="Times New Roman" w:hAnsi="Times New Roman" w:cs="Times New Roman"/>
          <w:b/>
          <w:noProof/>
          <w:sz w:val="24"/>
          <w:szCs w:val="24"/>
        </w:rPr>
        <w:footnoteReference w:id="9"/>
      </w:r>
      <w:r>
        <w:rPr>
          <w:rFonts w:ascii="Times New Roman" w:hAnsi="Times New Roman"/>
          <w:noProof/>
          <w:sz w:val="24"/>
          <w:szCs w:val="24"/>
        </w:rPr>
        <w:t xml:space="preserve">. </w:t>
      </w:r>
      <w:bookmarkStart w:id="10" w:name="_Hlk481160416"/>
    </w:p>
    <w:bookmarkEnd w:id="10"/>
    <w:p>
      <w:pPr>
        <w:jc w:val="both"/>
        <w:rPr>
          <w:rFonts w:ascii="Times New Roman" w:hAnsi="Times New Roman" w:cs="Times New Roman"/>
          <w:noProof/>
          <w:sz w:val="24"/>
          <w:szCs w:val="24"/>
        </w:rPr>
      </w:pPr>
      <w:r>
        <w:rPr>
          <w:rFonts w:ascii="Times New Roman" w:hAnsi="Times New Roman"/>
          <w:noProof/>
          <w:sz w:val="24"/>
          <w:szCs w:val="24"/>
        </w:rPr>
        <w:t>Néanmoins, l’objectif final n’est pas encore complètement atteint, étant donné que tous les États membres ne sont pas connectés les uns aux autres et qu’ils n’échangent pas d’informations avec la totalité des autres États membres via l’ECRIS. </w:t>
      </w:r>
    </w:p>
    <w:p>
      <w:pPr>
        <w:jc w:val="both"/>
        <w:rPr>
          <w:rFonts w:ascii="Times New Roman" w:hAnsi="Times New Roman" w:cs="Times New Roman"/>
          <w:b/>
          <w:bCs/>
          <w:smallCaps/>
          <w:noProof/>
          <w:sz w:val="24"/>
          <w:szCs w:val="24"/>
        </w:rPr>
      </w:pPr>
      <w:bookmarkStart w:id="11" w:name="_Toc479267021"/>
      <w:bookmarkEnd w:id="9"/>
    </w:p>
    <w:p>
      <w:pPr>
        <w:keepNext/>
        <w:keepLines/>
        <w:widowControl w:val="0"/>
        <w:jc w:val="both"/>
        <w:rPr>
          <w:rFonts w:ascii="Times New Roman" w:hAnsi="Times New Roman" w:cs="Times New Roman"/>
          <w:b/>
          <w:noProof/>
          <w:sz w:val="24"/>
          <w:szCs w:val="24"/>
        </w:rPr>
      </w:pPr>
      <w:r>
        <w:rPr>
          <w:rFonts w:ascii="Times New Roman" w:hAnsi="Times New Roman"/>
          <w:b/>
          <w:bCs/>
          <w:smallCaps/>
          <w:noProof/>
          <w:sz w:val="24"/>
          <w:szCs w:val="24"/>
        </w:rPr>
        <w:t xml:space="preserve">2.2. </w:t>
      </w:r>
      <w:r>
        <w:rPr>
          <w:rFonts w:ascii="Times New Roman" w:hAnsi="Times New Roman"/>
          <w:b/>
          <w:noProof/>
          <w:sz w:val="24"/>
          <w:szCs w:val="24"/>
        </w:rPr>
        <w:t>Nombre total de messages</w:t>
      </w:r>
      <w:bookmarkEnd w:id="11"/>
      <w:r>
        <w:rPr>
          <w:rFonts w:ascii="Times New Roman" w:hAnsi="Times New Roman"/>
          <w:b/>
          <w:noProof/>
          <w:sz w:val="24"/>
          <w:szCs w:val="24"/>
        </w:rPr>
        <w:t xml:space="preserve"> échangés</w:t>
      </w:r>
    </w:p>
    <w:p>
      <w:pPr>
        <w:keepNext/>
        <w:keepLines/>
        <w:widowControl w:val="0"/>
        <w:jc w:val="both"/>
        <w:rPr>
          <w:rFonts w:ascii="Times New Roman" w:hAnsi="Times New Roman" w:cs="Times New Roman"/>
          <w:noProof/>
          <w:sz w:val="24"/>
          <w:szCs w:val="24"/>
        </w:rPr>
      </w:pPr>
      <w:r>
        <w:rPr>
          <w:rFonts w:ascii="Times New Roman" w:hAnsi="Times New Roman"/>
          <w:noProof/>
          <w:sz w:val="24"/>
          <w:szCs w:val="24"/>
        </w:rPr>
        <w:t>Le graphique ci-dessous illustre l’augmentation rapide du volume annuel de messages échangés entre les États membres connectés depuis le lancement de l’ECRIS, en avril 2012, jusqu’au 31 décembre 2019. Il convient de noter que l’ECRIS n’a eu, en 2012, que 8 mois d’activité.</w:t>
      </w:r>
    </w:p>
    <w:p>
      <w:pPr>
        <w:keepNext/>
        <w:keepLines/>
        <w:widowControl w:val="0"/>
        <w:rPr>
          <w:rFonts w:ascii="Times New Roman" w:hAnsi="Times New Roman" w:cs="Times New Roman"/>
          <w:noProof/>
          <w:sz w:val="24"/>
          <w:szCs w:val="24"/>
          <w:highlight w:val="yellow"/>
        </w:rPr>
      </w:pPr>
      <w:r>
        <w:rPr>
          <w:noProof/>
          <w:lang w:val="en-GB"/>
        </w:rPr>
        <w:drawing>
          <wp:inline distT="0" distB="0" distL="0" distR="0">
            <wp:extent cx="5760085" cy="39058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3905885"/>
                    </a:xfrm>
                    <a:prstGeom prst="rect">
                      <a:avLst/>
                    </a:prstGeom>
                  </pic:spPr>
                </pic:pic>
              </a:graphicData>
            </a:graphic>
          </wp:inline>
        </w:drawing>
      </w:r>
    </w:p>
    <w:p>
      <w:pPr>
        <w:keepNext/>
        <w:keepLines/>
        <w:widowControl w:val="0"/>
        <w:jc w:val="both"/>
        <w:rPr>
          <w:rFonts w:ascii="Times New Roman" w:hAnsi="Times New Roman" w:cs="Times New Roman"/>
          <w:noProof/>
          <w:sz w:val="24"/>
          <w:szCs w:val="24"/>
        </w:rPr>
      </w:pPr>
      <w:bookmarkStart w:id="12" w:name="_Hlk481162649"/>
      <w:bookmarkStart w:id="13" w:name="_Hlk481160518"/>
      <w:r>
        <w:rPr>
          <w:rFonts w:ascii="Times New Roman" w:hAnsi="Times New Roman"/>
          <w:noProof/>
          <w:sz w:val="24"/>
          <w:szCs w:val="24"/>
        </w:rPr>
        <w:t xml:space="preserve">Si, en 2016, 2 millions de messages avaient été échangés par tous les États membres interconnectés, ce nombre a atteint près de </w:t>
      </w:r>
      <w:r>
        <w:rPr>
          <w:rFonts w:ascii="Times New Roman" w:hAnsi="Times New Roman"/>
          <w:b/>
          <w:bCs/>
          <w:noProof/>
          <w:sz w:val="24"/>
          <w:szCs w:val="24"/>
        </w:rPr>
        <w:t>4,2 millions en 2019</w:t>
      </w:r>
      <w:r>
        <w:rPr>
          <w:rFonts w:ascii="Times New Roman" w:hAnsi="Times New Roman"/>
          <w:noProof/>
          <w:sz w:val="24"/>
          <w:szCs w:val="24"/>
        </w:rPr>
        <w:t xml:space="preserve">, avec </w:t>
      </w:r>
      <w:r>
        <w:rPr>
          <w:rFonts w:ascii="Times New Roman" w:hAnsi="Times New Roman"/>
          <w:b/>
          <w:bCs/>
          <w:noProof/>
          <w:sz w:val="24"/>
          <w:szCs w:val="24"/>
        </w:rPr>
        <w:t>en moyenne 348 000 messages par mois</w:t>
      </w:r>
      <w:r>
        <w:rPr>
          <w:rFonts w:ascii="Times New Roman" w:hAnsi="Times New Roman"/>
          <w:noProof/>
          <w:sz w:val="24"/>
          <w:szCs w:val="24"/>
        </w:rPr>
        <w:t>.</w:t>
      </w:r>
      <w:bookmarkEnd w:id="12"/>
      <w:r>
        <w:rPr>
          <w:rFonts w:ascii="Times New Roman" w:hAnsi="Times New Roman"/>
          <w:noProof/>
          <w:sz w:val="24"/>
          <w:szCs w:val="24"/>
        </w:rPr>
        <w:t xml:space="preserve"> Ces volumes incluent tous les types de messages: notifications, mises à jour, demandes, réponses, rejets, autres réponses, demandes d’informations supplémentaires, etc. </w:t>
      </w:r>
    </w:p>
    <w:p>
      <w:pPr>
        <w:jc w:val="both"/>
        <w:rPr>
          <w:rFonts w:ascii="Times New Roman" w:hAnsi="Times New Roman" w:cs="Times New Roman"/>
          <w:noProof/>
          <w:sz w:val="24"/>
          <w:szCs w:val="24"/>
        </w:rPr>
      </w:pPr>
      <w:r>
        <w:rPr>
          <w:rFonts w:ascii="Times New Roman" w:hAnsi="Times New Roman"/>
          <w:noProof/>
          <w:sz w:val="24"/>
          <w:szCs w:val="24"/>
        </w:rPr>
        <w:t>Le graphique ci-dessous présente les tendances des notifications, des demandes et des réponses aux demandes sur les 8 années de fonctionnement de l’ECRIS. Seules les notifications relatives à de nouvelles condamnations ont été prises en compte, et non les mises à jour. Les réponses couvrent les réponses aux demandes, les rejets de demandes et les autres réponses</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noProof/>
          <w:lang w:val="en-GB"/>
        </w:rPr>
        <w:drawing>
          <wp:inline distT="0" distB="0" distL="0" distR="0">
            <wp:extent cx="6129808" cy="2894275"/>
            <wp:effectExtent l="0" t="0" r="444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36489" cy="2897430"/>
                    </a:xfrm>
                    <a:prstGeom prst="rect">
                      <a:avLst/>
                    </a:prstGeom>
                  </pic:spPr>
                </pic:pic>
              </a:graphicData>
            </a:graphic>
          </wp:inline>
        </w:drawing>
      </w:r>
    </w:p>
    <w:p>
      <w:pPr>
        <w:jc w:val="both"/>
        <w:rPr>
          <w:rFonts w:ascii="Times New Roman" w:hAnsi="Times New Roman" w:cs="Times New Roman"/>
          <w:noProof/>
          <w:sz w:val="24"/>
          <w:szCs w:val="24"/>
        </w:rPr>
      </w:pPr>
      <w:bookmarkStart w:id="14" w:name="_Hlk481162482"/>
    </w:p>
    <w:p>
      <w:pPr>
        <w:jc w:val="both"/>
        <w:rPr>
          <w:rFonts w:ascii="Times New Roman" w:hAnsi="Times New Roman" w:cs="Times New Roman"/>
          <w:b/>
          <w:noProof/>
          <w:sz w:val="24"/>
          <w:szCs w:val="24"/>
        </w:rPr>
      </w:pPr>
      <w:r>
        <w:rPr>
          <w:rFonts w:ascii="Times New Roman" w:hAnsi="Times New Roman"/>
          <w:noProof/>
          <w:sz w:val="24"/>
          <w:szCs w:val="24"/>
        </w:rPr>
        <w:t xml:space="preserve">Au cours des trois dernières années, </w:t>
      </w:r>
      <w:r>
        <w:rPr>
          <w:rFonts w:ascii="Times New Roman" w:hAnsi="Times New Roman"/>
          <w:b/>
          <w:bCs/>
          <w:noProof/>
          <w:sz w:val="24"/>
          <w:szCs w:val="24"/>
        </w:rPr>
        <w:t>les proportions entre les notifications relatives à de nouvelles condamnations, les demandes et les réponses aux demandes ont radicalement changé</w:t>
      </w:r>
      <w:r>
        <w:rPr>
          <w:rFonts w:ascii="Times New Roman" w:hAnsi="Times New Roman"/>
          <w:noProof/>
          <w:sz w:val="24"/>
          <w:szCs w:val="24"/>
        </w:rPr>
        <w:t>. En 2016, les chiffres étaient presque égaux pour chacune de ces trois catégories et s’élevaient à environ 350 000 par an et par catégorie.</w:t>
      </w:r>
      <w:r>
        <w:rPr>
          <w:rFonts w:ascii="Times New Roman" w:hAnsi="Times New Roman"/>
          <w:bCs/>
          <w:noProof/>
          <w:sz w:val="24"/>
          <w:szCs w:val="24"/>
        </w:rPr>
        <w:t xml:space="preserve"> En 2019, le nombre de demandes d’informations et le nombre correspondant de réponses aux demandes étaient plus de trois fois plus élevés que le nombre de notifications.</w:t>
      </w:r>
    </w:p>
    <w:p>
      <w:pPr>
        <w:jc w:val="both"/>
        <w:rPr>
          <w:rFonts w:ascii="Times New Roman" w:hAnsi="Times New Roman" w:cs="Times New Roman"/>
          <w:noProof/>
          <w:sz w:val="24"/>
          <w:szCs w:val="24"/>
        </w:rPr>
      </w:pPr>
      <w:r>
        <w:rPr>
          <w:rFonts w:ascii="Times New Roman" w:hAnsi="Times New Roman"/>
          <w:noProof/>
          <w:sz w:val="24"/>
          <w:szCs w:val="24"/>
        </w:rPr>
        <w:t xml:space="preserve">En 2017, </w:t>
      </w:r>
      <w:r>
        <w:rPr>
          <w:rFonts w:ascii="Times New Roman" w:hAnsi="Times New Roman"/>
          <w:b/>
          <w:bCs/>
          <w:noProof/>
          <w:sz w:val="24"/>
          <w:szCs w:val="24"/>
        </w:rPr>
        <w:t>le nombre de notifications relatives à de nouvelles condamnations a diminué</w:t>
      </w:r>
      <w:r>
        <w:rPr>
          <w:rFonts w:ascii="Times New Roman" w:hAnsi="Times New Roman"/>
          <w:noProof/>
          <w:sz w:val="24"/>
          <w:szCs w:val="24"/>
        </w:rPr>
        <w:t xml:space="preserve"> et s’est maintenu à environ </w:t>
      </w:r>
      <w:r>
        <w:rPr>
          <w:rFonts w:ascii="Times New Roman" w:hAnsi="Times New Roman"/>
          <w:b/>
          <w:bCs/>
          <w:noProof/>
          <w:sz w:val="24"/>
          <w:szCs w:val="24"/>
        </w:rPr>
        <w:t>310 000 jusqu’en 2019</w:t>
      </w:r>
      <w:r>
        <w:rPr>
          <w:rFonts w:ascii="Times New Roman" w:hAnsi="Times New Roman"/>
          <w:noProof/>
          <w:sz w:val="24"/>
          <w:szCs w:val="24"/>
        </w:rPr>
        <w:t>. Cette tendance à la baisse est surprenante compte tenu du nombre croissant d’interconnexions entre les États membres. Comme indiqué au point 2.4 ci-dessous, certains États membres ont eu des difficultés à notifier toutes les nouvelles condamnations.</w:t>
      </w:r>
    </w:p>
    <w:p>
      <w:pPr>
        <w:jc w:val="both"/>
        <w:rPr>
          <w:rFonts w:ascii="Times New Roman" w:hAnsi="Times New Roman" w:cs="Times New Roman"/>
          <w:noProof/>
          <w:sz w:val="24"/>
          <w:szCs w:val="24"/>
        </w:rPr>
      </w:pPr>
      <w:r>
        <w:rPr>
          <w:rFonts w:ascii="Times New Roman" w:hAnsi="Times New Roman"/>
          <w:noProof/>
          <w:sz w:val="24"/>
          <w:szCs w:val="24"/>
        </w:rPr>
        <w:t xml:space="preserve">En revanche, le </w:t>
      </w:r>
      <w:r>
        <w:rPr>
          <w:rFonts w:ascii="Times New Roman" w:hAnsi="Times New Roman"/>
          <w:b/>
          <w:bCs/>
          <w:noProof/>
          <w:sz w:val="24"/>
          <w:szCs w:val="24"/>
        </w:rPr>
        <w:t>nombre de demandes d’informations</w:t>
      </w:r>
      <w:r>
        <w:rPr>
          <w:rFonts w:ascii="Times New Roman" w:hAnsi="Times New Roman"/>
          <w:noProof/>
          <w:sz w:val="24"/>
          <w:szCs w:val="24"/>
        </w:rPr>
        <w:t xml:space="preserve"> et de réponses aux demandes correspondantes </w:t>
      </w:r>
      <w:r>
        <w:rPr>
          <w:rFonts w:ascii="Times New Roman" w:hAnsi="Times New Roman"/>
          <w:b/>
          <w:bCs/>
          <w:noProof/>
          <w:sz w:val="24"/>
          <w:szCs w:val="24"/>
        </w:rPr>
        <w:t>a triplé depuis 2017, atteignant 1 million</w:t>
      </w:r>
      <w:r>
        <w:rPr>
          <w:rFonts w:ascii="Times New Roman" w:hAnsi="Times New Roman"/>
          <w:noProof/>
          <w:sz w:val="24"/>
          <w:szCs w:val="24"/>
        </w:rPr>
        <w:t xml:space="preserve"> pour chacune de ces catégories en 2019. Cette </w:t>
      </w:r>
      <w:r>
        <w:rPr>
          <w:rFonts w:ascii="Times New Roman" w:hAnsi="Times New Roman"/>
          <w:b/>
          <w:bCs/>
          <w:noProof/>
          <w:sz w:val="24"/>
          <w:szCs w:val="24"/>
        </w:rPr>
        <w:t>augmentation spectaculaire des demandes d’informations</w:t>
      </w:r>
      <w:r>
        <w:rPr>
          <w:rFonts w:ascii="Times New Roman" w:hAnsi="Times New Roman"/>
          <w:noProof/>
          <w:sz w:val="24"/>
          <w:szCs w:val="24"/>
        </w:rPr>
        <w:t xml:space="preserve"> est principalement due à </w:t>
      </w:r>
      <w:r>
        <w:rPr>
          <w:rFonts w:ascii="Times New Roman" w:hAnsi="Times New Roman"/>
          <w:b/>
          <w:bCs/>
          <w:noProof/>
          <w:sz w:val="24"/>
          <w:szCs w:val="24"/>
        </w:rPr>
        <w:t>une évolution dans l’utilisation de l’ECRIS, lequel n’est plus essentiellement utilisé aux fins de procédures pénales, mais de plus en plus également à des fins autres que les procédures pénales</w:t>
      </w:r>
      <w:r>
        <w:rPr>
          <w:rFonts w:ascii="Times New Roman" w:hAnsi="Times New Roman"/>
          <w:noProof/>
          <w:sz w:val="24"/>
          <w:szCs w:val="24"/>
        </w:rPr>
        <w:t>. Pour plus de détails, se reporter au point 2.8. Cette évolution est également un signe encourageant de la sensibilisation, dans les États membres, à la nécessité d’utiliser l’ECRIS pour demander des informations au cours de procédures pénales, afin de pouvoir tenir compte de condamnations antérieures, conformément à la décision-cadre 2008/675/JAI</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w:t>
      </w:r>
    </w:p>
    <w:p>
      <w:pPr>
        <w:jc w:val="both"/>
        <w:rPr>
          <w:rFonts w:ascii="Times New Roman" w:hAnsi="Times New Roman" w:cs="Times New Roman"/>
          <w:b/>
          <w:noProof/>
          <w:sz w:val="24"/>
          <w:szCs w:val="24"/>
        </w:rPr>
      </w:pPr>
      <w:bookmarkStart w:id="15" w:name="_Toc479267022"/>
      <w:bookmarkEnd w:id="13"/>
      <w:bookmarkEnd w:id="14"/>
    </w:p>
    <w:p>
      <w:pPr>
        <w:keepNext/>
        <w:keepLines/>
        <w:widowControl w:val="0"/>
        <w:jc w:val="both"/>
        <w:rPr>
          <w:rFonts w:ascii="Times New Roman" w:hAnsi="Times New Roman" w:cs="Times New Roman"/>
          <w:b/>
          <w:noProof/>
          <w:sz w:val="24"/>
          <w:szCs w:val="24"/>
        </w:rPr>
      </w:pPr>
      <w:r>
        <w:rPr>
          <w:rFonts w:ascii="Times New Roman" w:hAnsi="Times New Roman"/>
          <w:b/>
          <w:noProof/>
          <w:sz w:val="24"/>
          <w:szCs w:val="24"/>
        </w:rPr>
        <w:t>2.3. Nombre de notifications, de demandes et de réponses par État membre</w:t>
      </w:r>
      <w:bookmarkEnd w:id="15"/>
    </w:p>
    <w:p>
      <w:pPr>
        <w:keepNext/>
        <w:keepLines/>
        <w:widowControl w:val="0"/>
        <w:jc w:val="both"/>
        <w:rPr>
          <w:rFonts w:ascii="Times New Roman" w:hAnsi="Times New Roman" w:cs="Times New Roman"/>
          <w:noProof/>
          <w:sz w:val="24"/>
          <w:szCs w:val="24"/>
        </w:rPr>
      </w:pPr>
      <w:r>
        <w:rPr>
          <w:rFonts w:ascii="Times New Roman" w:hAnsi="Times New Roman"/>
          <w:noProof/>
          <w:sz w:val="24"/>
          <w:szCs w:val="24"/>
        </w:rPr>
        <w:t>Le graphique ci-dessous présente le nombre de notifications relatives à de nouvelles condamnations, ainsi que le nombre de demandes d’informations et de réponses pour l’ensemble des États membres interconnectés en 2019</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w:t>
      </w:r>
    </w:p>
    <w:p>
      <w:pPr>
        <w:jc w:val="center"/>
        <w:rPr>
          <w:rFonts w:ascii="Times New Roman" w:hAnsi="Times New Roman" w:cs="Times New Roman"/>
          <w:noProof/>
          <w:sz w:val="24"/>
          <w:szCs w:val="24"/>
        </w:rPr>
      </w:pPr>
      <w:r>
        <w:rPr>
          <w:noProof/>
          <w:lang w:val="en-GB"/>
        </w:rPr>
        <w:drawing>
          <wp:inline distT="0" distB="0" distL="0" distR="0">
            <wp:extent cx="6129185" cy="3935895"/>
            <wp:effectExtent l="0" t="0" r="508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32019" cy="3937715"/>
                    </a:xfrm>
                    <a:prstGeom prst="rect">
                      <a:avLst/>
                    </a:prstGeom>
                  </pic:spPr>
                </pic:pic>
              </a:graphicData>
            </a:graphic>
          </wp:inline>
        </w:drawing>
      </w:r>
    </w:p>
    <w:p>
      <w:pPr>
        <w:jc w:val="both"/>
        <w:rPr>
          <w:rFonts w:ascii="Times New Roman" w:hAnsi="Times New Roman" w:cs="Times New Roman"/>
          <w:noProof/>
          <w:sz w:val="24"/>
          <w:szCs w:val="24"/>
        </w:rPr>
      </w:pPr>
      <w:bookmarkStart w:id="16" w:name="_Hlk481161857"/>
      <w:bookmarkStart w:id="17" w:name="_Hlk481162724"/>
    </w:p>
    <w:p>
      <w:pPr>
        <w:jc w:val="both"/>
        <w:rPr>
          <w:rFonts w:ascii="Times New Roman" w:hAnsi="Times New Roman" w:cs="Times New Roman"/>
          <w:noProof/>
          <w:sz w:val="24"/>
          <w:szCs w:val="24"/>
        </w:rPr>
      </w:pPr>
      <w:r>
        <w:rPr>
          <w:rFonts w:ascii="Times New Roman" w:hAnsi="Times New Roman"/>
          <w:noProof/>
          <w:sz w:val="24"/>
          <w:szCs w:val="24"/>
        </w:rPr>
        <w:t>Comme pour les années précédentes, les États membres les plus actifs sur le plan du volume total de ces trois types de messages étaient ceux indiqués ci-dessous.</w:t>
      </w:r>
    </w:p>
    <w:bookmarkEnd w:id="16"/>
    <w:p>
      <w:pPr>
        <w:jc w:val="center"/>
        <w:rPr>
          <w:rFonts w:ascii="Times New Roman" w:hAnsi="Times New Roman" w:cs="Times New Roman"/>
          <w:noProof/>
          <w:sz w:val="24"/>
          <w:szCs w:val="24"/>
        </w:rPr>
      </w:pPr>
      <w:r>
        <w:rPr>
          <w:noProof/>
          <w:lang w:val="en-GB"/>
        </w:rPr>
        <w:drawing>
          <wp:inline distT="0" distB="0" distL="0" distR="0">
            <wp:extent cx="3990975" cy="1762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90975" cy="1762125"/>
                    </a:xfrm>
                    <a:prstGeom prst="rect">
                      <a:avLst/>
                    </a:prstGeom>
                  </pic:spPr>
                </pic:pic>
              </a:graphicData>
            </a:graphic>
          </wp:inline>
        </w:drawing>
      </w:r>
    </w:p>
    <w:p>
      <w:pPr>
        <w:jc w:val="cente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Le graphique met en évidence des </w:t>
      </w:r>
      <w:r>
        <w:rPr>
          <w:rFonts w:ascii="Times New Roman" w:hAnsi="Times New Roman"/>
          <w:b/>
          <w:bCs/>
          <w:noProof/>
          <w:sz w:val="24"/>
          <w:szCs w:val="24"/>
        </w:rPr>
        <w:t>différences significatives entre les activités ECRIS des États membres et leur charge de travail</w:t>
      </w:r>
      <w:r>
        <w:rPr>
          <w:rFonts w:ascii="Times New Roman" w:hAnsi="Times New Roman"/>
          <w:noProof/>
          <w:sz w:val="24"/>
          <w:szCs w:val="24"/>
        </w:rPr>
        <w:t>.</w:t>
      </w:r>
    </w:p>
    <w:bookmarkEnd w:id="17"/>
    <w:p>
      <w:pPr>
        <w:jc w:val="both"/>
        <w:rPr>
          <w:rFonts w:ascii="Times New Roman" w:hAnsi="Times New Roman" w:cs="Times New Roman"/>
          <w:noProof/>
          <w:sz w:val="24"/>
          <w:szCs w:val="24"/>
        </w:rPr>
      </w:pPr>
      <w:r>
        <w:rPr>
          <w:rFonts w:ascii="Times New Roman" w:hAnsi="Times New Roman"/>
          <w:noProof/>
          <w:sz w:val="24"/>
          <w:szCs w:val="24"/>
        </w:rPr>
        <w:t xml:space="preserve">Certains États membres </w:t>
      </w:r>
      <w:r>
        <w:rPr>
          <w:rFonts w:ascii="Times New Roman" w:hAnsi="Times New Roman"/>
          <w:b/>
          <w:bCs/>
          <w:noProof/>
          <w:sz w:val="24"/>
          <w:szCs w:val="24"/>
        </w:rPr>
        <w:t>demandent beaucoup plus souvent des informations qu’ils ne sont invités à en fournir</w:t>
      </w:r>
      <w:r>
        <w:rPr>
          <w:rFonts w:ascii="Times New Roman" w:hAnsi="Times New Roman"/>
          <w:noProof/>
          <w:sz w:val="24"/>
          <w:szCs w:val="24"/>
        </w:rPr>
        <w:t xml:space="preserve">: par exemple, DE (745 000 demandes envoyées, 32 400 demandes reçues), UK (91 000 envoyées, 31 500 reçues) et CZ (38 500 envoyées, 24 700 reçues). D’autres États membres sont confrontés à un </w:t>
      </w:r>
      <w:r>
        <w:rPr>
          <w:rFonts w:ascii="Times New Roman" w:hAnsi="Times New Roman"/>
          <w:b/>
          <w:bCs/>
          <w:noProof/>
          <w:sz w:val="24"/>
          <w:szCs w:val="24"/>
        </w:rPr>
        <w:t>nombre significatif de demandes</w:t>
      </w:r>
      <w:r>
        <w:rPr>
          <w:rFonts w:ascii="Times New Roman" w:hAnsi="Times New Roman"/>
          <w:noProof/>
          <w:sz w:val="24"/>
          <w:szCs w:val="24"/>
        </w:rPr>
        <w:t xml:space="preserve">, tandis qu’ils en envoient moins eux-mêmes: par exemple, PL (197 300 réponses données, 15 400 demandes envoyées), RO (170 000 contre 1 200), IT (99 500 contre 1 500), HR (63 300 contre 3 000), SK (41 000 contre 900), HU (37 400 contre 500). D’autres États membres </w:t>
      </w:r>
      <w:r>
        <w:rPr>
          <w:rFonts w:ascii="Times New Roman" w:hAnsi="Times New Roman"/>
          <w:b/>
          <w:bCs/>
          <w:noProof/>
          <w:sz w:val="24"/>
          <w:szCs w:val="24"/>
        </w:rPr>
        <w:t>envoient un grand nombre de notifications</w:t>
      </w:r>
      <w:r>
        <w:rPr>
          <w:rFonts w:ascii="Times New Roman" w:hAnsi="Times New Roman"/>
          <w:noProof/>
          <w:sz w:val="24"/>
          <w:szCs w:val="24"/>
        </w:rPr>
        <w:t xml:space="preserve"> sur de nouvelles condamnations aux États membres de la nationalité du coupable, alors qu’ils envoient moins de demandes eux-mêmes: par exemple, BE (36 300 notifications envoyées, 5 200 demandes envoyées), IT (25 700 notifications, 1 500 demandes).</w:t>
      </w:r>
    </w:p>
    <w:p>
      <w:pPr>
        <w:jc w:val="both"/>
        <w:rPr>
          <w:rFonts w:ascii="Times New Roman" w:hAnsi="Times New Roman" w:cs="Times New Roman"/>
          <w:b/>
          <w:noProof/>
          <w:sz w:val="24"/>
          <w:szCs w:val="24"/>
        </w:rPr>
      </w:pPr>
      <w:r>
        <w:rPr>
          <w:rFonts w:ascii="Times New Roman" w:hAnsi="Times New Roman"/>
          <w:b/>
          <w:noProof/>
          <w:sz w:val="24"/>
          <w:szCs w:val="24"/>
        </w:rPr>
        <w:t>2.4. Notifications</w:t>
      </w:r>
    </w:p>
    <w:p>
      <w:pPr>
        <w:jc w:val="both"/>
        <w:rPr>
          <w:rFonts w:ascii="Times New Roman" w:hAnsi="Times New Roman" w:cs="Times New Roman"/>
          <w:noProof/>
          <w:sz w:val="24"/>
          <w:szCs w:val="24"/>
        </w:rPr>
      </w:pPr>
      <w:r>
        <w:rPr>
          <w:rFonts w:ascii="Times New Roman" w:hAnsi="Times New Roman"/>
          <w:noProof/>
          <w:sz w:val="24"/>
          <w:szCs w:val="24"/>
        </w:rPr>
        <w:t>Le graphique ci-dessous présente le volume de notifications envoyées par l’ensemble des États membres interconnectés en 2019, ventilé en fonction des notifications relatives à de nouvelles condamnations et des notifications mettant à jour des notifications déjà envoyées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w:t>
      </w:r>
    </w:p>
    <w:p>
      <w:pPr>
        <w:jc w:val="both"/>
        <w:rPr>
          <w:rStyle w:val="CommentReference"/>
          <w:rFonts w:ascii="Times New Roman" w:hAnsi="Times New Roman" w:cs="Times New Roman"/>
          <w:noProof/>
          <w:sz w:val="24"/>
          <w:szCs w:val="24"/>
        </w:rPr>
      </w:pPr>
      <w:bookmarkStart w:id="18" w:name="_Hlk481001185"/>
      <w:r>
        <w:rPr>
          <w:noProof/>
          <w:lang w:val="en-GB"/>
        </w:rPr>
        <w:drawing>
          <wp:inline distT="0" distB="0" distL="0" distR="0">
            <wp:extent cx="5760085" cy="36899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085" cy="3689985"/>
                    </a:xfrm>
                    <a:prstGeom prst="rect">
                      <a:avLst/>
                    </a:prstGeom>
                  </pic:spPr>
                </pic:pic>
              </a:graphicData>
            </a:graphic>
          </wp:inline>
        </w:drawing>
      </w:r>
    </w:p>
    <w:p>
      <w:pPr>
        <w:jc w:val="both"/>
        <w:rPr>
          <w:rFonts w:ascii="Times New Roman" w:hAnsi="Times New Roman" w:cs="Times New Roman"/>
          <w:noProof/>
          <w:sz w:val="24"/>
          <w:szCs w:val="24"/>
        </w:rPr>
      </w:pPr>
      <w:r>
        <w:rPr>
          <w:noProof/>
        </w:rPr>
        <w:t>L</w:t>
      </w:r>
      <w:r>
        <w:rPr>
          <w:rFonts w:ascii="Times New Roman" w:hAnsi="Times New Roman"/>
          <w:noProof/>
          <w:sz w:val="24"/>
          <w:szCs w:val="24"/>
        </w:rPr>
        <w:t xml:space="preserve">e </w:t>
      </w:r>
      <w:r>
        <w:rPr>
          <w:rFonts w:ascii="Times New Roman" w:hAnsi="Times New Roman"/>
          <w:b/>
          <w:noProof/>
          <w:sz w:val="24"/>
          <w:szCs w:val="24"/>
        </w:rPr>
        <w:t>volume de notifications envoyées varie considérablement d’un État membre à l’autre</w:t>
      </w:r>
      <w:r>
        <w:rPr>
          <w:rFonts w:ascii="Times New Roman" w:hAnsi="Times New Roman"/>
          <w:noProof/>
          <w:sz w:val="24"/>
          <w:szCs w:val="24"/>
        </w:rPr>
        <w:t>, allant de près de 112 000 (DE) à zéro notifications relatives à de nouvelles condamnations (MT, PT) par an. L’analyse de ces variations doit essentiellement tenir compte de deux facteurs: la taille du pays et le nombre de condamnations de ressortissants d’autres États membres (la population de ressortissants d’autres États membres)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w:t>
      </w:r>
    </w:p>
    <w:p>
      <w:pPr>
        <w:jc w:val="both"/>
        <w:rPr>
          <w:rFonts w:ascii="Times New Roman" w:hAnsi="Times New Roman" w:cs="Times New Roman"/>
          <w:noProof/>
          <w:sz w:val="24"/>
          <w:szCs w:val="24"/>
        </w:rPr>
      </w:pPr>
      <w:bookmarkStart w:id="19" w:name="_Hlk480998606"/>
      <w:bookmarkStart w:id="20" w:name="_Hlk481162205"/>
      <w:r>
        <w:rPr>
          <w:rFonts w:ascii="Times New Roman" w:hAnsi="Times New Roman"/>
          <w:noProof/>
          <w:sz w:val="24"/>
          <w:szCs w:val="24"/>
        </w:rPr>
        <w:t xml:space="preserve">Les États membres </w:t>
      </w:r>
      <w:r>
        <w:rPr>
          <w:rFonts w:ascii="Times New Roman" w:hAnsi="Times New Roman"/>
          <w:b/>
          <w:bCs/>
          <w:noProof/>
          <w:sz w:val="24"/>
          <w:szCs w:val="24"/>
        </w:rPr>
        <w:t>les plus actifs</w:t>
      </w:r>
      <w:r>
        <w:rPr>
          <w:rFonts w:ascii="Times New Roman" w:hAnsi="Times New Roman"/>
          <w:noProof/>
          <w:sz w:val="24"/>
          <w:szCs w:val="24"/>
        </w:rPr>
        <w:t xml:space="preserve"> dans l’envoi de </w:t>
      </w:r>
      <w:r>
        <w:rPr>
          <w:rFonts w:ascii="Times New Roman" w:hAnsi="Times New Roman"/>
          <w:b/>
          <w:bCs/>
          <w:noProof/>
          <w:sz w:val="24"/>
          <w:szCs w:val="24"/>
        </w:rPr>
        <w:t>notifications</w:t>
      </w:r>
      <w:r>
        <w:rPr>
          <w:rFonts w:ascii="Times New Roman" w:hAnsi="Times New Roman"/>
          <w:noProof/>
          <w:sz w:val="24"/>
          <w:szCs w:val="24"/>
        </w:rPr>
        <w:t xml:space="preserve"> relatives à de nouvelles condamnations étaient les États membres indiqués dans le tableau ci-dessous.</w:t>
      </w:r>
    </w:p>
    <w:p>
      <w:pPr>
        <w:jc w:val="both"/>
        <w:rPr>
          <w:rFonts w:ascii="Times New Roman" w:hAnsi="Times New Roman" w:cs="Times New Roman"/>
          <w:noProof/>
          <w:sz w:val="24"/>
          <w:szCs w:val="24"/>
        </w:rPr>
      </w:pPr>
    </w:p>
    <w:p>
      <w:pPr>
        <w:jc w:val="center"/>
        <w:rPr>
          <w:rFonts w:ascii="Times New Roman" w:hAnsi="Times New Roman" w:cs="Times New Roman"/>
          <w:noProof/>
          <w:sz w:val="24"/>
          <w:szCs w:val="24"/>
        </w:rPr>
      </w:pPr>
      <w:r>
        <w:rPr>
          <w:noProof/>
          <w:lang w:val="en-GB"/>
        </w:rPr>
        <w:drawing>
          <wp:inline distT="0" distB="0" distL="0" distR="0">
            <wp:extent cx="4019550" cy="1838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19550" cy="1838325"/>
                    </a:xfrm>
                    <a:prstGeom prst="rect">
                      <a:avLst/>
                    </a:prstGeom>
                  </pic:spPr>
                </pic:pic>
              </a:graphicData>
            </a:graphic>
          </wp:inline>
        </w:drawing>
      </w:r>
    </w:p>
    <w:bookmarkEnd w:id="19"/>
    <w:p>
      <w:pPr>
        <w:jc w:val="both"/>
        <w:rPr>
          <w:rFonts w:ascii="Times New Roman" w:hAnsi="Times New Roman" w:cs="Times New Roman"/>
          <w:noProof/>
          <w:sz w:val="24"/>
          <w:szCs w:val="24"/>
        </w:rPr>
      </w:pPr>
      <w:r>
        <w:rPr>
          <w:rFonts w:ascii="Times New Roman" w:hAnsi="Times New Roman"/>
          <w:noProof/>
          <w:sz w:val="24"/>
          <w:szCs w:val="24"/>
        </w:rPr>
        <w:t>Si l’on tient compte de toutes les notifications envoyées, y compris les notifications de mises à jour, DE reste en première position mais le classement change.</w:t>
      </w:r>
    </w:p>
    <w:p>
      <w:pPr>
        <w:jc w:val="center"/>
        <w:rPr>
          <w:rFonts w:ascii="Times New Roman" w:hAnsi="Times New Roman" w:cs="Times New Roman"/>
          <w:noProof/>
          <w:sz w:val="24"/>
          <w:szCs w:val="24"/>
        </w:rPr>
      </w:pPr>
      <w:r>
        <w:rPr>
          <w:noProof/>
          <w:lang w:val="en-GB"/>
        </w:rPr>
        <w:drawing>
          <wp:inline distT="0" distB="0" distL="0" distR="0">
            <wp:extent cx="3990975" cy="18097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90975" cy="1809750"/>
                    </a:xfrm>
                    <a:prstGeom prst="rect">
                      <a:avLst/>
                    </a:prstGeom>
                  </pic:spPr>
                </pic:pic>
              </a:graphicData>
            </a:graphic>
          </wp:inline>
        </w:drawing>
      </w:r>
    </w:p>
    <w:p>
      <w:pPr>
        <w:jc w:val="both"/>
        <w:rPr>
          <w:rFonts w:ascii="Times New Roman" w:hAnsi="Times New Roman" w:cs="Times New Roman"/>
          <w:b/>
          <w:noProof/>
          <w:sz w:val="24"/>
          <w:szCs w:val="24"/>
        </w:rPr>
      </w:pPr>
    </w:p>
    <w:p>
      <w:pPr>
        <w:jc w:val="both"/>
        <w:rPr>
          <w:rFonts w:ascii="Times New Roman" w:hAnsi="Times New Roman" w:cs="Times New Roman"/>
          <w:bCs/>
          <w:noProof/>
          <w:sz w:val="24"/>
          <w:szCs w:val="24"/>
        </w:rPr>
      </w:pPr>
      <w:r>
        <w:rPr>
          <w:rFonts w:ascii="Times New Roman" w:hAnsi="Times New Roman"/>
          <w:b/>
          <w:bCs/>
          <w:noProof/>
          <w:sz w:val="24"/>
          <w:szCs w:val="24"/>
        </w:rPr>
        <w:t>Les notifications relatives à de nouvelles condamnations et celles envoyées au sujet de mises à jour</w:t>
      </w:r>
      <w:r>
        <w:rPr>
          <w:rFonts w:ascii="Times New Roman" w:hAnsi="Times New Roman"/>
          <w:noProof/>
          <w:sz w:val="24"/>
          <w:szCs w:val="24"/>
        </w:rPr>
        <w:t xml:space="preserve"> ont représenté respectivement </w:t>
      </w:r>
      <w:r>
        <w:rPr>
          <w:rFonts w:ascii="Times New Roman" w:hAnsi="Times New Roman"/>
          <w:b/>
          <w:bCs/>
          <w:noProof/>
          <w:sz w:val="24"/>
          <w:szCs w:val="24"/>
        </w:rPr>
        <w:t>58 % et 42 %</w:t>
      </w:r>
      <w:r>
        <w:rPr>
          <w:rFonts w:ascii="Times New Roman" w:hAnsi="Times New Roman"/>
          <w:noProof/>
          <w:sz w:val="24"/>
          <w:szCs w:val="24"/>
        </w:rPr>
        <w:t xml:space="preserve"> en 2019. Au total, </w:t>
      </w:r>
      <w:r>
        <w:rPr>
          <w:rFonts w:ascii="Times New Roman" w:hAnsi="Times New Roman"/>
          <w:b/>
          <w:bCs/>
          <w:noProof/>
          <w:sz w:val="24"/>
          <w:szCs w:val="24"/>
        </w:rPr>
        <w:t>230 000 notifications de mises à jour</w:t>
      </w:r>
      <w:r>
        <w:rPr>
          <w:rFonts w:ascii="Times New Roman" w:hAnsi="Times New Roman"/>
          <w:noProof/>
          <w:sz w:val="24"/>
          <w:szCs w:val="24"/>
        </w:rPr>
        <w:t xml:space="preserve"> ont été envoyées cette année-là</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w:t>
      </w:r>
      <w:r>
        <w:rPr>
          <w:rFonts w:ascii="Times New Roman" w:hAnsi="Times New Roman"/>
          <w:bCs/>
          <w:noProof/>
          <w:sz w:val="24"/>
          <w:szCs w:val="24"/>
        </w:rPr>
        <w:t xml:space="preserve">Il convient de souligner qu’avant 2017, les mises à jour ne représentaient qu’un quart environ de l’ensemble des notifications. </w:t>
      </w:r>
      <w:r>
        <w:rPr>
          <w:rFonts w:ascii="Times New Roman" w:hAnsi="Times New Roman"/>
          <w:noProof/>
          <w:sz w:val="24"/>
          <w:szCs w:val="24"/>
        </w:rPr>
        <w:t>L’</w:t>
      </w:r>
      <w:r>
        <w:rPr>
          <w:rFonts w:ascii="Times New Roman" w:hAnsi="Times New Roman"/>
          <w:b/>
          <w:bCs/>
          <w:noProof/>
          <w:sz w:val="24"/>
          <w:szCs w:val="24"/>
        </w:rPr>
        <w:t>augmentation significative actuelle du nombre de mises à jour</w:t>
      </w:r>
      <w:r>
        <w:rPr>
          <w:rFonts w:ascii="Times New Roman" w:hAnsi="Times New Roman"/>
          <w:noProof/>
          <w:sz w:val="24"/>
          <w:szCs w:val="24"/>
        </w:rPr>
        <w:t xml:space="preserve"> observée pour de nombreux États membres devrait être considérée comme un signe positif de leur prise de conscience de l’importance de communiquer les modifications ultérieures par rapport aux notifications initiales.</w:t>
      </w:r>
      <w:r>
        <w:rPr>
          <w:rFonts w:ascii="Times New Roman" w:hAnsi="Times New Roman"/>
          <w:bCs/>
          <w:noProof/>
          <w:sz w:val="24"/>
          <w:szCs w:val="24"/>
        </w:rPr>
        <w:t xml:space="preserve"> </w:t>
      </w:r>
    </w:p>
    <w:p>
      <w:pPr>
        <w:jc w:val="both"/>
        <w:rPr>
          <w:rFonts w:ascii="Times New Roman" w:hAnsi="Times New Roman" w:cs="Times New Roman"/>
          <w:noProof/>
          <w:sz w:val="24"/>
          <w:szCs w:val="24"/>
        </w:rPr>
      </w:pPr>
      <w:r>
        <w:rPr>
          <w:rFonts w:ascii="Times New Roman" w:hAnsi="Times New Roman"/>
          <w:b/>
          <w:bCs/>
          <w:noProof/>
          <w:sz w:val="24"/>
          <w:szCs w:val="24"/>
        </w:rPr>
        <w:t>La proportion entre les notifications relatives à de nouvelles condamnations et celles envoyées au sujet de mises à jour varie considérablement d’un État membre à l’autre</w:t>
      </w:r>
      <w:r>
        <w:rPr>
          <w:rFonts w:ascii="Times New Roman" w:hAnsi="Times New Roman"/>
          <w:noProof/>
          <w:sz w:val="24"/>
          <w:szCs w:val="24"/>
        </w:rPr>
        <w:t>: dans certains États, le nombre de mises à jour est trois fois (p.ex. FR ou PL) ou deux fois (p.ex. AT ou CZ ) plus élevé que les notifications; dans d’autres (p.ex. ES, NL, IT, HU, FI ou SK), les volumes sont relativement égaux pour les deux catégories, et dans d’autres encore (p.ex. CY, DK, IE ou RO), les mises à jour ne représentent qu’une infime part des notifications. Pour DE, FR et ES, qui ont envoyé le plus grand nombre de notifications toutes catégories confondues, les mises à jour représentaient respectivement environ 34 %/76 %/57 % de l’ensemble des notifications envoyées par ces pays en 2019.</w:t>
      </w:r>
    </w:p>
    <w:p>
      <w:pPr>
        <w:jc w:val="both"/>
        <w:rPr>
          <w:rFonts w:ascii="Times New Roman" w:hAnsi="Times New Roman" w:cs="Times New Roman"/>
          <w:noProof/>
          <w:sz w:val="24"/>
          <w:szCs w:val="24"/>
        </w:rPr>
      </w:pPr>
      <w:r>
        <w:rPr>
          <w:rFonts w:ascii="Times New Roman" w:hAnsi="Times New Roman"/>
          <w:noProof/>
          <w:sz w:val="24"/>
          <w:szCs w:val="24"/>
        </w:rPr>
        <w:t xml:space="preserve">Le premier rapport statistique a mis en évidence deux problèmes principaux: à savoir, i) de nombreux États membres </w:t>
      </w:r>
      <w:r>
        <w:rPr>
          <w:rFonts w:ascii="Times New Roman" w:hAnsi="Times New Roman"/>
          <w:b/>
          <w:bCs/>
          <w:noProof/>
          <w:sz w:val="24"/>
          <w:szCs w:val="24"/>
        </w:rPr>
        <w:t>n’envoient pas du tout de notifications sur les nouvelles condamnations ou n’en envoient qu’un faible nombre</w:t>
      </w:r>
      <w:r>
        <w:rPr>
          <w:rFonts w:ascii="Times New Roman" w:hAnsi="Times New Roman"/>
          <w:noProof/>
          <w:sz w:val="24"/>
          <w:szCs w:val="24"/>
        </w:rPr>
        <w:t xml:space="preserve"> et ii) de nombreux États membres </w:t>
      </w:r>
      <w:r>
        <w:rPr>
          <w:rFonts w:ascii="Times New Roman" w:hAnsi="Times New Roman"/>
          <w:b/>
          <w:bCs/>
          <w:noProof/>
          <w:sz w:val="24"/>
          <w:szCs w:val="24"/>
        </w:rPr>
        <w:t>n’envoient pas du tout de mises à jour</w:t>
      </w:r>
      <w:r>
        <w:rPr>
          <w:rFonts w:ascii="Times New Roman" w:hAnsi="Times New Roman"/>
          <w:noProof/>
          <w:sz w:val="24"/>
          <w:szCs w:val="24"/>
        </w:rPr>
        <w:t xml:space="preserve"> de leurs notifications précédemment envoyées </w:t>
      </w:r>
      <w:r>
        <w:rPr>
          <w:rFonts w:ascii="Times New Roman" w:hAnsi="Times New Roman"/>
          <w:b/>
          <w:bCs/>
          <w:noProof/>
          <w:sz w:val="24"/>
          <w:szCs w:val="24"/>
        </w:rPr>
        <w:t>ou n’en envoient qu’un faible nombre</w:t>
      </w:r>
      <w:r>
        <w:rPr>
          <w:rFonts w:ascii="Times New Roman" w:hAnsi="Times New Roman"/>
          <w:noProof/>
          <w:sz w:val="24"/>
          <w:szCs w:val="24"/>
        </w:rPr>
        <w:t>. Ces deux problèmes ressortent également de l’analyse détaillée des données statistiques relatives à la période 2017-2019. Cette fois-ci, cependant, ces problèmes sont encore plus importants dans la mesure où ils concernent un plus grand nombre d’États membres.</w:t>
      </w:r>
    </w:p>
    <w:p>
      <w:pPr>
        <w:jc w:val="both"/>
        <w:rPr>
          <w:rFonts w:ascii="Times New Roman" w:hAnsi="Times New Roman" w:cs="Times New Roman"/>
          <w:noProof/>
          <w:sz w:val="24"/>
          <w:szCs w:val="24"/>
        </w:rPr>
      </w:pPr>
      <w:r>
        <w:rPr>
          <w:rFonts w:ascii="Times New Roman" w:hAnsi="Times New Roman"/>
          <w:noProof/>
          <w:sz w:val="24"/>
          <w:szCs w:val="24"/>
        </w:rPr>
        <w:t xml:space="preserve">Premièrement, de nombreux États membres </w:t>
      </w:r>
      <w:r>
        <w:rPr>
          <w:rFonts w:ascii="Times New Roman" w:hAnsi="Times New Roman"/>
          <w:b/>
          <w:bCs/>
          <w:noProof/>
          <w:sz w:val="24"/>
          <w:szCs w:val="24"/>
        </w:rPr>
        <w:t>n’envoient pas du tout de notifications sur les nouvelles condamnations</w:t>
      </w:r>
      <w:r>
        <w:rPr>
          <w:rFonts w:ascii="Times New Roman" w:hAnsi="Times New Roman"/>
          <w:noProof/>
          <w:sz w:val="24"/>
          <w:szCs w:val="24"/>
        </w:rPr>
        <w:t xml:space="preserve"> (PT en 2019 et 2018, MT en 2019 et 2017, EE en 2018, EL en 2017) </w:t>
      </w:r>
      <w:r>
        <w:rPr>
          <w:rFonts w:ascii="Times New Roman" w:hAnsi="Times New Roman"/>
          <w:b/>
          <w:bCs/>
          <w:noProof/>
          <w:sz w:val="24"/>
          <w:szCs w:val="24"/>
        </w:rPr>
        <w:t>ou n’en envoient qu’un faible nombre</w:t>
      </w:r>
      <w:r>
        <w:rPr>
          <w:rFonts w:ascii="Times New Roman" w:hAnsi="Times New Roman"/>
          <w:noProof/>
          <w:sz w:val="24"/>
          <w:szCs w:val="24"/>
        </w:rPr>
        <w:t xml:space="preserve"> par rapport à leur population de ressortissants d’autres pays membres et par rapport au nombre de condamnations (BG, EE, IE, LT, LU, NL, RO en 2019; BG, IE, LU, LT, RO, SI, SE, MT, EL, UK en 2018; BG, EE, IE, LT, LU, RO, SI, SE, PT, UK en 2017). </w:t>
      </w:r>
      <w:r>
        <w:rPr>
          <w:rFonts w:ascii="Times New Roman" w:hAnsi="Times New Roman"/>
          <w:b/>
          <w:noProof/>
          <w:sz w:val="24"/>
          <w:szCs w:val="24"/>
        </w:rPr>
        <w:t>En conséquence, ces condamnations non notifiées n’ont pas été enregistrées dans le ou les États membres de nationalité.</w:t>
      </w:r>
    </w:p>
    <w:p>
      <w:pPr>
        <w:jc w:val="both"/>
        <w:rPr>
          <w:rFonts w:ascii="Times New Roman" w:hAnsi="Times New Roman" w:cs="Times New Roman"/>
          <w:noProof/>
          <w:sz w:val="24"/>
          <w:szCs w:val="24"/>
        </w:rPr>
      </w:pPr>
      <w:r>
        <w:rPr>
          <w:rFonts w:ascii="Times New Roman" w:hAnsi="Times New Roman"/>
          <w:noProof/>
          <w:sz w:val="24"/>
          <w:szCs w:val="24"/>
        </w:rPr>
        <w:t xml:space="preserve">Deuxièmement, de nombreux États membres </w:t>
      </w:r>
      <w:r>
        <w:rPr>
          <w:rFonts w:ascii="Times New Roman" w:hAnsi="Times New Roman"/>
          <w:b/>
          <w:bCs/>
          <w:noProof/>
          <w:sz w:val="24"/>
          <w:szCs w:val="24"/>
        </w:rPr>
        <w:t>n’envoient pas du tout de mises à jour</w:t>
      </w:r>
      <w:r>
        <w:rPr>
          <w:rFonts w:ascii="Times New Roman" w:hAnsi="Times New Roman"/>
          <w:noProof/>
          <w:sz w:val="24"/>
          <w:szCs w:val="24"/>
        </w:rPr>
        <w:t xml:space="preserve"> sur des notifications qu’ils ont précédemment envoyées (BG, EE, EL, LV, LU, MT, PT, SI en 2019; BG, DK, EL, SI, PT, MT, LV, LU, IE, EE en 2018; DK, EE, EL, LV, LU, BG en 2017) ou </w:t>
      </w:r>
      <w:r>
        <w:rPr>
          <w:rFonts w:ascii="Times New Roman" w:hAnsi="Times New Roman"/>
          <w:b/>
          <w:bCs/>
          <w:noProof/>
          <w:sz w:val="24"/>
          <w:szCs w:val="24"/>
        </w:rPr>
        <w:t>en envoient un faible volume</w:t>
      </w:r>
      <w:r>
        <w:rPr>
          <w:rFonts w:ascii="Times New Roman" w:hAnsi="Times New Roman"/>
          <w:noProof/>
          <w:sz w:val="24"/>
          <w:szCs w:val="24"/>
        </w:rPr>
        <w:t xml:space="preserve"> (IE, RO, CY en 2019; RO et CY en 2018; SI, RO, PT, MT, IE, HR, CY en 2017). L’absence d’envoi de mises à jour par les États membres de condamnation </w:t>
      </w:r>
      <w:r>
        <w:rPr>
          <w:rFonts w:ascii="Times New Roman" w:hAnsi="Times New Roman"/>
          <w:b/>
          <w:bCs/>
          <w:noProof/>
          <w:sz w:val="24"/>
          <w:szCs w:val="24"/>
        </w:rPr>
        <w:t>entraîne le traitement et la diffusion d’informations non actualisées et non fiables par l’État membre de nationalité</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bookmarkEnd w:id="18"/>
    <w:bookmarkEnd w:id="20"/>
    <w:p>
      <w:pPr>
        <w:spacing w:after="0"/>
        <w:rPr>
          <w:rFonts w:ascii="Times New Roman" w:hAnsi="Times New Roman" w:cs="Times New Roman"/>
          <w:b/>
          <w:noProof/>
          <w:sz w:val="24"/>
          <w:szCs w:val="24"/>
        </w:rPr>
      </w:pPr>
    </w:p>
    <w:p>
      <w:pPr>
        <w:keepNext/>
        <w:keepLines/>
        <w:widowControl w:val="0"/>
        <w:jc w:val="both"/>
        <w:rPr>
          <w:rFonts w:ascii="Times New Roman" w:hAnsi="Times New Roman" w:cs="Times New Roman"/>
          <w:b/>
          <w:noProof/>
          <w:sz w:val="24"/>
          <w:szCs w:val="24"/>
        </w:rPr>
      </w:pPr>
      <w:r>
        <w:rPr>
          <w:rFonts w:ascii="Times New Roman" w:hAnsi="Times New Roman"/>
          <w:b/>
          <w:noProof/>
          <w:sz w:val="24"/>
          <w:szCs w:val="24"/>
        </w:rPr>
        <w:t>2.5. Demandes d’informations</w:t>
      </w:r>
    </w:p>
    <w:p>
      <w:pPr>
        <w:keepNext/>
        <w:keepLines/>
        <w:widowControl w:val="0"/>
        <w:jc w:val="both"/>
        <w:rPr>
          <w:rFonts w:ascii="Times New Roman" w:hAnsi="Times New Roman" w:cs="Times New Roman"/>
          <w:noProof/>
          <w:sz w:val="24"/>
          <w:szCs w:val="24"/>
        </w:rPr>
      </w:pPr>
      <w:r>
        <w:rPr>
          <w:rFonts w:ascii="Times New Roman" w:hAnsi="Times New Roman"/>
          <w:noProof/>
          <w:sz w:val="24"/>
          <w:szCs w:val="24"/>
        </w:rPr>
        <w:t>Le graphique ci-dessous compare le volume de demandes d’informations envoyées par tous les États membres interconnectés en 2019 avec le volume de réponses reçues à ces demandes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w:t>
      </w:r>
    </w:p>
    <w:p>
      <w:pPr>
        <w:keepNext/>
        <w:keepLines/>
        <w:widowControl w:val="0"/>
        <w:jc w:val="both"/>
        <w:rPr>
          <w:rFonts w:ascii="Times New Roman" w:hAnsi="Times New Roman" w:cs="Times New Roman"/>
          <w:noProof/>
          <w:sz w:val="24"/>
          <w:szCs w:val="24"/>
        </w:rPr>
      </w:pPr>
      <w:r>
        <w:rPr>
          <w:noProof/>
          <w:lang w:val="en-GB"/>
        </w:rPr>
        <w:drawing>
          <wp:inline distT="0" distB="0" distL="0" distR="0">
            <wp:extent cx="5760085" cy="31819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085" cy="3181985"/>
                    </a:xfrm>
                    <a:prstGeom prst="rect">
                      <a:avLst/>
                    </a:prstGeom>
                  </pic:spPr>
                </pic:pic>
              </a:graphicData>
            </a:graphic>
          </wp:inline>
        </w:drawing>
      </w:r>
    </w:p>
    <w:p>
      <w:pPr>
        <w:jc w:val="both"/>
        <w:rPr>
          <w:rFonts w:ascii="Times New Roman" w:hAnsi="Times New Roman" w:cs="Times New Roman"/>
          <w:noProof/>
          <w:sz w:val="24"/>
          <w:szCs w:val="24"/>
        </w:rPr>
      </w:pPr>
      <w:bookmarkStart w:id="21" w:name="_Hlk481003611"/>
      <w:r>
        <w:rPr>
          <w:rFonts w:ascii="Times New Roman" w:hAnsi="Times New Roman"/>
          <w:noProof/>
          <w:sz w:val="24"/>
          <w:szCs w:val="24"/>
        </w:rPr>
        <w:t xml:space="preserve">Comme indiqué au point 2.2 ci-dessus, le </w:t>
      </w:r>
      <w:r>
        <w:rPr>
          <w:rFonts w:ascii="Times New Roman" w:hAnsi="Times New Roman"/>
          <w:b/>
          <w:bCs/>
          <w:noProof/>
          <w:sz w:val="24"/>
          <w:szCs w:val="24"/>
        </w:rPr>
        <w:t>nombre global de demandes d’informations a triplé depuis 2017</w:t>
      </w:r>
      <w:r>
        <w:rPr>
          <w:rFonts w:ascii="Times New Roman" w:hAnsi="Times New Roman"/>
          <w:noProof/>
          <w:sz w:val="24"/>
          <w:szCs w:val="24"/>
        </w:rPr>
        <w:t xml:space="preserve"> pour atteindre </w:t>
      </w:r>
      <w:r>
        <w:rPr>
          <w:rFonts w:ascii="Times New Roman" w:hAnsi="Times New Roman"/>
          <w:b/>
          <w:bCs/>
          <w:noProof/>
          <w:sz w:val="24"/>
          <w:szCs w:val="24"/>
        </w:rPr>
        <w:t>1 million</w:t>
      </w:r>
      <w:r>
        <w:rPr>
          <w:rFonts w:ascii="Times New Roman" w:hAnsi="Times New Roman"/>
          <w:noProof/>
          <w:sz w:val="24"/>
          <w:szCs w:val="24"/>
        </w:rPr>
        <w:t xml:space="preserve"> en 2019. </w:t>
      </w:r>
    </w:p>
    <w:p>
      <w:p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volume de demandes envoyées varie considérablement d’un État membre à l’autre</w:t>
      </w:r>
      <w:r>
        <w:rPr>
          <w:rFonts w:ascii="Times New Roman" w:hAnsi="Times New Roman"/>
          <w:noProof/>
          <w:sz w:val="24"/>
          <w:szCs w:val="24"/>
        </w:rPr>
        <w:t>, allant de 745 000 demandes (DE) à 6 demandes (EL) par an. L’augmentation du nombre total de demandes est principalement due à DE, qui a augmenté de plus de 5 fois son nombre de demandes. ES, LT, NL et PL ont doublé leur nombre. Le principal facteur à prendre en compte dans l’analyse de ces variations entre le nombre de demandes envoyées par les États membres est le nombre de ressortissants d’autres États membres résidant dans un État membre donné.</w:t>
      </w:r>
    </w:p>
    <w:p>
      <w:pPr>
        <w:jc w:val="both"/>
        <w:rPr>
          <w:rFonts w:ascii="Times New Roman" w:hAnsi="Times New Roman" w:cs="Times New Roman"/>
          <w:noProof/>
          <w:sz w:val="24"/>
          <w:szCs w:val="24"/>
        </w:rPr>
      </w:pPr>
      <w:r>
        <w:rPr>
          <w:rFonts w:ascii="Times New Roman" w:hAnsi="Times New Roman"/>
          <w:noProof/>
          <w:sz w:val="24"/>
          <w:szCs w:val="24"/>
        </w:rPr>
        <w:t xml:space="preserve">Comme pour les années précédentes, les États membres </w:t>
      </w:r>
      <w:r>
        <w:rPr>
          <w:rFonts w:ascii="Times New Roman" w:hAnsi="Times New Roman"/>
          <w:b/>
          <w:bCs/>
          <w:noProof/>
          <w:sz w:val="24"/>
          <w:szCs w:val="24"/>
        </w:rPr>
        <w:t>les plus actifs</w:t>
      </w:r>
      <w:r>
        <w:rPr>
          <w:rFonts w:ascii="Times New Roman" w:hAnsi="Times New Roman"/>
          <w:noProof/>
          <w:sz w:val="24"/>
          <w:szCs w:val="24"/>
        </w:rPr>
        <w:t xml:space="preserve"> dans </w:t>
      </w:r>
      <w:r>
        <w:rPr>
          <w:rFonts w:ascii="Times New Roman" w:hAnsi="Times New Roman"/>
          <w:b/>
          <w:bCs/>
          <w:noProof/>
          <w:sz w:val="24"/>
          <w:szCs w:val="24"/>
        </w:rPr>
        <w:t>l’envoi de demandes</w:t>
      </w:r>
      <w:r>
        <w:rPr>
          <w:rFonts w:ascii="Times New Roman" w:hAnsi="Times New Roman"/>
          <w:noProof/>
          <w:sz w:val="24"/>
          <w:szCs w:val="24"/>
        </w:rPr>
        <w:t xml:space="preserve"> étaient les suivants.</w:t>
      </w:r>
    </w:p>
    <w:p>
      <w:pPr>
        <w:jc w:val="center"/>
        <w:rPr>
          <w:rFonts w:ascii="Times New Roman" w:hAnsi="Times New Roman" w:cs="Times New Roman"/>
          <w:noProof/>
          <w:sz w:val="24"/>
          <w:szCs w:val="24"/>
        </w:rPr>
      </w:pPr>
      <w:r>
        <w:rPr>
          <w:noProof/>
          <w:lang w:val="en-GB"/>
        </w:rPr>
        <w:drawing>
          <wp:inline distT="0" distB="0" distL="0" distR="0">
            <wp:extent cx="3981450" cy="16287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81450" cy="1628775"/>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szCs w:val="24"/>
        </w:rPr>
        <w:t xml:space="preserve">Malgré l’augmentation significative du nombre de demandes en général, le problème, déjà relevé dans le premier rapport statistique, dû au fait que certains États membres </w:t>
      </w:r>
      <w:r>
        <w:rPr>
          <w:rFonts w:ascii="Times New Roman" w:hAnsi="Times New Roman"/>
          <w:b/>
          <w:bCs/>
          <w:noProof/>
          <w:sz w:val="24"/>
          <w:szCs w:val="24"/>
        </w:rPr>
        <w:t>n’ont envoyé pratiquement aucune demande</w:t>
      </w:r>
      <w:r>
        <w:rPr>
          <w:rFonts w:ascii="Times New Roman" w:hAnsi="Times New Roman"/>
          <w:noProof/>
          <w:sz w:val="24"/>
          <w:szCs w:val="24"/>
        </w:rPr>
        <w:t xml:space="preserve"> (EL, CY, MT) ou ont envoyé </w:t>
      </w:r>
      <w:r>
        <w:rPr>
          <w:rFonts w:ascii="Times New Roman" w:hAnsi="Times New Roman"/>
          <w:b/>
          <w:bCs/>
          <w:noProof/>
          <w:sz w:val="24"/>
          <w:szCs w:val="24"/>
        </w:rPr>
        <w:t>un faible nombre</w:t>
      </w:r>
      <w:r>
        <w:rPr>
          <w:rFonts w:ascii="Times New Roman" w:hAnsi="Times New Roman"/>
          <w:noProof/>
          <w:sz w:val="24"/>
          <w:szCs w:val="24"/>
        </w:rPr>
        <w:t xml:space="preserve"> de demandes par rapport à leur population de ressortissants d’autres États membres (BG, EE, HU, IT, LV, RO, SI en 2017-2019) est toujours bien présent. Cela pourrait donner lieu à une situation dans laquelle les juridictions pénales pourraient rendre des jugements sans connaître les condamnations prononcées dans d’autres États membres, contrairement aux dispositions de la décision-cadre 2008/675/JAI. Cela nuira également à l’effet préventif obtenu en demandant un extrait du casier judiciaire à des fins autres que les procédures pénales, par exemple pour des contrôles préalables à l’embauche.</w:t>
      </w:r>
    </w:p>
    <w:p>
      <w:pPr>
        <w:jc w:val="both"/>
        <w:rPr>
          <w:rFonts w:ascii="Times New Roman" w:hAnsi="Times New Roman" w:cs="Times New Roman"/>
          <w:noProof/>
          <w:sz w:val="24"/>
          <w:szCs w:val="24"/>
        </w:rPr>
      </w:pPr>
      <w:r>
        <w:rPr>
          <w:rFonts w:ascii="Times New Roman" w:hAnsi="Times New Roman"/>
          <w:noProof/>
          <w:sz w:val="24"/>
          <w:szCs w:val="24"/>
        </w:rPr>
        <w:t xml:space="preserve">Les données ci-dessus permettent également d’observer que </w:t>
      </w:r>
      <w:r>
        <w:rPr>
          <w:rFonts w:ascii="Times New Roman" w:hAnsi="Times New Roman"/>
          <w:b/>
          <w:bCs/>
          <w:noProof/>
          <w:sz w:val="24"/>
          <w:szCs w:val="24"/>
        </w:rPr>
        <w:t>les demandes d’informations ne reçoivent pas toutes une réponse</w:t>
      </w:r>
      <w:r>
        <w:rPr>
          <w:rFonts w:ascii="Times New Roman" w:hAnsi="Times New Roman"/>
          <w:noProof/>
          <w:sz w:val="24"/>
          <w:szCs w:val="24"/>
        </w:rPr>
        <w:t xml:space="preserve"> (voir également le point 2.6.).</w:t>
      </w:r>
      <w:r>
        <w:rPr>
          <w:rFonts w:ascii="Times New Roman" w:hAnsi="Times New Roman"/>
          <w:bCs/>
          <w:noProof/>
          <w:sz w:val="24"/>
          <w:szCs w:val="24"/>
        </w:rPr>
        <w:t xml:space="preserve"> </w:t>
      </w:r>
      <w:r>
        <w:rPr>
          <w:rFonts w:ascii="Times New Roman" w:hAnsi="Times New Roman"/>
          <w:noProof/>
          <w:sz w:val="24"/>
          <w:szCs w:val="24"/>
        </w:rPr>
        <w:t>Dans le cas des États membres les plus actifs dans l’envoi de demandes, 5,6 % des demandes de DE (41 662) et 2,5 % des demandes d’AT (945) sont restées sans réponse en 2019 alors que, dans le cas d’UK et de CZ, le nombre de réponses reçues cette année-là dépassait le nombre de leurs demandes.</w:t>
      </w:r>
    </w:p>
    <w:bookmarkEnd w:id="21"/>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2.6. Réponses aux demandes</w:t>
      </w:r>
    </w:p>
    <w:p>
      <w:pPr>
        <w:jc w:val="both"/>
        <w:rPr>
          <w:rFonts w:ascii="Times New Roman" w:hAnsi="Times New Roman" w:cs="Times New Roman"/>
          <w:noProof/>
          <w:sz w:val="24"/>
          <w:szCs w:val="24"/>
        </w:rPr>
      </w:pPr>
      <w:r>
        <w:rPr>
          <w:rFonts w:ascii="Times New Roman" w:hAnsi="Times New Roman"/>
          <w:noProof/>
          <w:sz w:val="24"/>
          <w:szCs w:val="24"/>
        </w:rPr>
        <w:t>Le graphique ci-dessous illustre le nombre de réponses envoyées par l’ensemble des États membres interconnectés en 2019 par rapport au nombre de demandes d’informations correspondantes qu’ils ont reçues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noProof/>
          <w:lang w:val="en-GB"/>
        </w:rPr>
        <w:drawing>
          <wp:inline distT="0" distB="0" distL="0" distR="0">
            <wp:extent cx="5760085" cy="33413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085" cy="3341370"/>
                    </a:xfrm>
                    <a:prstGeom prst="rect">
                      <a:avLst/>
                    </a:prstGeom>
                  </pic:spPr>
                </pic:pic>
              </a:graphicData>
            </a:graphic>
          </wp:inline>
        </w:drawing>
      </w:r>
    </w:p>
    <w:p>
      <w:pPr>
        <w:jc w:val="both"/>
        <w:rPr>
          <w:rFonts w:ascii="Times New Roman" w:hAnsi="Times New Roman" w:cs="Times New Roman"/>
          <w:noProof/>
          <w:sz w:val="24"/>
          <w:szCs w:val="24"/>
        </w:rPr>
      </w:pPr>
      <w:bookmarkStart w:id="22" w:name="_Hlk481164813"/>
      <w:r>
        <w:rPr>
          <w:rFonts w:ascii="Times New Roman" w:hAnsi="Times New Roman"/>
          <w:noProof/>
          <w:sz w:val="24"/>
          <w:szCs w:val="24"/>
        </w:rPr>
        <w:t xml:space="preserve">Le </w:t>
      </w:r>
      <w:r>
        <w:rPr>
          <w:rFonts w:ascii="Times New Roman" w:hAnsi="Times New Roman"/>
          <w:b/>
          <w:bCs/>
          <w:noProof/>
          <w:sz w:val="24"/>
          <w:szCs w:val="24"/>
        </w:rPr>
        <w:t>volume de demandes reçues et de réponses envoyées</w:t>
      </w:r>
      <w:r>
        <w:rPr>
          <w:rFonts w:ascii="Times New Roman" w:hAnsi="Times New Roman"/>
          <w:noProof/>
          <w:sz w:val="24"/>
          <w:szCs w:val="24"/>
        </w:rPr>
        <w:t xml:space="preserve"> qui y correspondent </w:t>
      </w:r>
      <w:r>
        <w:rPr>
          <w:rFonts w:ascii="Times New Roman" w:hAnsi="Times New Roman"/>
          <w:b/>
          <w:bCs/>
          <w:noProof/>
          <w:sz w:val="24"/>
          <w:szCs w:val="24"/>
        </w:rPr>
        <w:t>varie considérablement d’un État membre à l’autre</w:t>
      </w:r>
      <w:r>
        <w:rPr>
          <w:rFonts w:ascii="Times New Roman" w:hAnsi="Times New Roman"/>
          <w:noProof/>
          <w:sz w:val="24"/>
          <w:szCs w:val="24"/>
        </w:rPr>
        <w:t>, allant de 179 000 (PL) à 646 demandes (MT) par an. L’analyse de ces variations doit essentiellement tenir compte de deux facteurs: la population totale par État membre et le nombre de ressortissants de chaque État résidant dans d’autres États membres.</w:t>
      </w:r>
    </w:p>
    <w:p>
      <w:pPr>
        <w:jc w:val="both"/>
        <w:rPr>
          <w:rFonts w:ascii="Times New Roman" w:hAnsi="Times New Roman" w:cs="Times New Roman"/>
          <w:noProof/>
          <w:sz w:val="24"/>
          <w:szCs w:val="24"/>
        </w:rPr>
      </w:pPr>
      <w:r>
        <w:rPr>
          <w:rFonts w:ascii="Times New Roman" w:hAnsi="Times New Roman"/>
          <w:noProof/>
          <w:sz w:val="24"/>
          <w:szCs w:val="24"/>
        </w:rPr>
        <w:t xml:space="preserve">Les États membres </w:t>
      </w:r>
      <w:r>
        <w:rPr>
          <w:rFonts w:ascii="Times New Roman" w:hAnsi="Times New Roman"/>
          <w:b/>
          <w:bCs/>
          <w:noProof/>
          <w:sz w:val="24"/>
          <w:szCs w:val="24"/>
        </w:rPr>
        <w:t>ayant répondu au plus grand nombre de demandes</w:t>
      </w:r>
      <w:r>
        <w:rPr>
          <w:rFonts w:ascii="Times New Roman" w:hAnsi="Times New Roman"/>
          <w:noProof/>
          <w:sz w:val="24"/>
          <w:szCs w:val="24"/>
        </w:rPr>
        <w:t xml:space="preserve"> en chiffres absolus (pas nécessairement le plus grand nombre par rapport à ce qu’ils ont reçu) étaient:</w:t>
      </w:r>
    </w:p>
    <w:p>
      <w:pPr>
        <w:jc w:val="center"/>
        <w:rPr>
          <w:rFonts w:ascii="Times New Roman" w:hAnsi="Times New Roman" w:cs="Times New Roman"/>
          <w:noProof/>
          <w:sz w:val="24"/>
          <w:szCs w:val="24"/>
        </w:rPr>
      </w:pPr>
      <w:r>
        <w:rPr>
          <w:noProof/>
          <w:lang w:val="en-GB"/>
        </w:rPr>
        <w:drawing>
          <wp:inline distT="0" distB="0" distL="0" distR="0">
            <wp:extent cx="3943350" cy="1800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43350" cy="1800225"/>
                    </a:xfrm>
                    <a:prstGeom prst="rect">
                      <a:avLst/>
                    </a:prstGeom>
                  </pic:spPr>
                </pic:pic>
              </a:graphicData>
            </a:graphic>
          </wp:inline>
        </w:drawing>
      </w:r>
    </w:p>
    <w:p>
      <w:pPr>
        <w:jc w:val="both"/>
        <w:rPr>
          <w:rFonts w:ascii="Times New Roman" w:hAnsi="Times New Roman" w:cs="Times New Roman"/>
          <w:bCs/>
          <w:noProof/>
          <w:sz w:val="24"/>
          <w:szCs w:val="24"/>
        </w:rPr>
      </w:pPr>
      <w:r>
        <w:rPr>
          <w:rFonts w:ascii="Times New Roman" w:hAnsi="Times New Roman"/>
          <w:noProof/>
          <w:sz w:val="24"/>
          <w:szCs w:val="24"/>
        </w:rPr>
        <w:t xml:space="preserve">Si tous les États membres répondent à des demandes de manière générale, en 2019 encore, </w:t>
      </w:r>
      <w:r>
        <w:rPr>
          <w:rFonts w:ascii="Times New Roman" w:hAnsi="Times New Roman"/>
          <w:b/>
          <w:bCs/>
          <w:noProof/>
          <w:sz w:val="24"/>
          <w:szCs w:val="24"/>
        </w:rPr>
        <w:t>plus de 42 000 demandes d’informations sont restées sans réponse</w:t>
      </w:r>
      <w:r>
        <w:rPr>
          <w:rFonts w:ascii="Times New Roman" w:hAnsi="Times New Roman"/>
          <w:noProof/>
          <w:sz w:val="24"/>
          <w:szCs w:val="24"/>
        </w:rPr>
        <w:t xml:space="preserve">. Dans la plupart des cas, le nombre de réponses envoyées était légèrement plus faible que le nombre de demandes d’informations reçues, avec un écart moyen </w:t>
      </w:r>
      <w:r>
        <w:rPr>
          <w:rFonts w:ascii="Times New Roman" w:hAnsi="Times New Roman"/>
          <w:b/>
          <w:bCs/>
          <w:noProof/>
          <w:sz w:val="24"/>
          <w:szCs w:val="24"/>
        </w:rPr>
        <w:t>d’environ 4,1 %, contre 3,6 % en 2016</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Parmi les États membres ayant reçu le plus grand nombre de demandes en 2019, BG n’a pas répondu à 53 % des demandes qu’elle a reçues (30 975), EL à 38 % (19 564), IT à 8,9 % (9 720) et RO à 1,3 % (2 347). Dans le cas de PL et de HR, le nombre de réponses envoyées en 2019 était en réalité supérieur au nombre de demandes reçues, ce qui aurait pu s’expliquer par l’envoi d’un arriéré de réponses de l’année précédente. </w:t>
      </w:r>
      <w:bookmarkStart w:id="23" w:name="_Hlk481154445"/>
    </w:p>
    <w:p>
      <w:pPr>
        <w:jc w:val="both"/>
        <w:rPr>
          <w:rFonts w:ascii="Times New Roman" w:hAnsi="Times New Roman" w:cs="Times New Roman"/>
          <w:noProof/>
          <w:sz w:val="24"/>
          <w:szCs w:val="24"/>
        </w:rPr>
      </w:pPr>
      <w:bookmarkStart w:id="24" w:name="_Hlk481154348"/>
      <w:r>
        <w:rPr>
          <w:rFonts w:ascii="Times New Roman" w:hAnsi="Times New Roman"/>
          <w:noProof/>
          <w:sz w:val="24"/>
          <w:szCs w:val="24"/>
        </w:rPr>
        <w:t xml:space="preserve">En 2019, les </w:t>
      </w:r>
      <w:r>
        <w:rPr>
          <w:rFonts w:ascii="Times New Roman" w:hAnsi="Times New Roman"/>
          <w:b/>
          <w:bCs/>
          <w:noProof/>
          <w:sz w:val="24"/>
          <w:szCs w:val="24"/>
        </w:rPr>
        <w:t>États membres ayant affiché le pourcentage le plus élevé de demandes sans réponse</w:t>
      </w:r>
      <w:r>
        <w:rPr>
          <w:rFonts w:ascii="Times New Roman" w:hAnsi="Times New Roman"/>
          <w:noProof/>
          <w:sz w:val="24"/>
          <w:szCs w:val="24"/>
        </w:rPr>
        <w:t xml:space="preserve"> étaient: MT (82 % des demandes reçues), CY (65 %), BG (53 %) et EL (38 %). Pour une analyse détaillée des statistiques des différents États membres relatives aux réponses aux demandes, voir le document de travail, point 3. </w:t>
      </w:r>
    </w:p>
    <w:p>
      <w:pPr>
        <w:jc w:val="both"/>
        <w:rPr>
          <w:rFonts w:ascii="Times New Roman" w:hAnsi="Times New Roman" w:cs="Times New Roman"/>
          <w:noProof/>
          <w:sz w:val="24"/>
          <w:szCs w:val="24"/>
        </w:rPr>
      </w:pPr>
      <w:r>
        <w:rPr>
          <w:rFonts w:ascii="Times New Roman" w:hAnsi="Times New Roman"/>
          <w:noProof/>
          <w:sz w:val="24"/>
          <w:szCs w:val="24"/>
        </w:rPr>
        <w:t>Le non-respect de l’obligation de réponse aux demandes d’informations peut avoir des conséquences désastreuses, comme indiqué aux points précédents.</w:t>
      </w:r>
    </w:p>
    <w:bookmarkEnd w:id="22"/>
    <w:bookmarkEnd w:id="23"/>
    <w:bookmarkEnd w:id="24"/>
    <w:p>
      <w:pPr>
        <w:jc w:val="both"/>
        <w:rPr>
          <w:rFonts w:ascii="Times New Roman" w:hAnsi="Times New Roman" w:cs="Times New Roman"/>
          <w:noProof/>
          <w:sz w:val="24"/>
          <w:szCs w:val="24"/>
        </w:rPr>
      </w:pPr>
    </w:p>
    <w:p>
      <w:pPr>
        <w:keepNext/>
        <w:keepLines/>
        <w:widowControl w:val="0"/>
        <w:jc w:val="both"/>
        <w:rPr>
          <w:rFonts w:ascii="Times New Roman" w:hAnsi="Times New Roman" w:cs="Times New Roman"/>
          <w:b/>
          <w:noProof/>
          <w:sz w:val="24"/>
          <w:szCs w:val="24"/>
        </w:rPr>
      </w:pPr>
      <w:r>
        <w:rPr>
          <w:rFonts w:ascii="Times New Roman" w:hAnsi="Times New Roman"/>
          <w:b/>
          <w:noProof/>
          <w:sz w:val="24"/>
          <w:szCs w:val="24"/>
        </w:rPr>
        <w:t>2.7. Réponses envoyées après expiration des délais légaux</w:t>
      </w:r>
    </w:p>
    <w:p>
      <w:pPr>
        <w:keepNext/>
        <w:keepLines/>
        <w:widowControl w:val="0"/>
        <w:jc w:val="both"/>
        <w:rPr>
          <w:rFonts w:ascii="Times New Roman" w:hAnsi="Times New Roman" w:cs="Times New Roman"/>
          <w:noProof/>
          <w:sz w:val="24"/>
          <w:szCs w:val="24"/>
        </w:rPr>
      </w:pPr>
      <w:r>
        <w:rPr>
          <w:rFonts w:ascii="Times New Roman" w:hAnsi="Times New Roman"/>
          <w:noProof/>
          <w:sz w:val="24"/>
          <w:szCs w:val="24"/>
        </w:rPr>
        <w:t>Un autre problème est le fait que certaines demandes ne reçoivent pas de réponse dans les délais légaux prescrits</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Le tableau ci-dessous donne un aperçu, pour tous les États membres, des volumes de réponses n’ayant pas respecté les délais légaux en 2019, avec indication des réponses envoyées hors délai et des demandes dont le délai de réponse a expiré</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w:t>
      </w:r>
    </w:p>
    <w:p>
      <w:pPr>
        <w:keepNext/>
        <w:keepLines/>
        <w:widowControl w:val="0"/>
        <w:jc w:val="both"/>
        <w:rPr>
          <w:rFonts w:ascii="Times New Roman" w:hAnsi="Times New Roman" w:cs="Times New Roman"/>
          <w:noProof/>
          <w:sz w:val="24"/>
          <w:szCs w:val="24"/>
        </w:rPr>
      </w:pPr>
    </w:p>
    <w:p>
      <w:pPr>
        <w:keepNext/>
        <w:keepLines/>
        <w:widowControl w:val="0"/>
        <w:jc w:val="center"/>
        <w:rPr>
          <w:rFonts w:ascii="Times New Roman" w:hAnsi="Times New Roman" w:cs="Times New Roman"/>
          <w:noProof/>
          <w:sz w:val="24"/>
          <w:szCs w:val="24"/>
        </w:rPr>
      </w:pPr>
      <w:r>
        <w:rPr>
          <w:noProof/>
          <w:lang w:val="en-GB"/>
        </w:rPr>
        <w:drawing>
          <wp:inline distT="0" distB="0" distL="0" distR="0">
            <wp:extent cx="5760085" cy="37560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085" cy="3756025"/>
                    </a:xfrm>
                    <a:prstGeom prst="rect">
                      <a:avLst/>
                    </a:prstGeom>
                  </pic:spPr>
                </pic:pic>
              </a:graphicData>
            </a:graphic>
          </wp:inline>
        </w:drawing>
      </w:r>
    </w:p>
    <w:p>
      <w:pPr>
        <w:jc w:val="both"/>
        <w:rPr>
          <w:rFonts w:ascii="Times New Roman" w:hAnsi="Times New Roman" w:cs="Times New Roman"/>
          <w:b/>
          <w:bCs/>
          <w:noProof/>
          <w:sz w:val="24"/>
          <w:szCs w:val="24"/>
        </w:rPr>
      </w:pPr>
      <w:r>
        <w:rPr>
          <w:rFonts w:ascii="Times New Roman" w:hAnsi="Times New Roman"/>
          <w:noProof/>
          <w:sz w:val="24"/>
          <w:szCs w:val="24"/>
        </w:rPr>
        <w:t xml:space="preserve">En 2019, </w:t>
      </w:r>
      <w:r>
        <w:rPr>
          <w:rFonts w:ascii="Times New Roman" w:hAnsi="Times New Roman"/>
          <w:b/>
          <w:bCs/>
          <w:noProof/>
          <w:sz w:val="24"/>
          <w:szCs w:val="24"/>
        </w:rPr>
        <w:t>190 000 demandes ont reçu une réponse après expiration des délais légaux</w:t>
      </w:r>
      <w:r>
        <w:rPr>
          <w:rFonts w:ascii="Times New Roman" w:hAnsi="Times New Roman"/>
          <w:noProof/>
          <w:sz w:val="24"/>
          <w:szCs w:val="24"/>
        </w:rPr>
        <w:t xml:space="preserve">, soit </w:t>
      </w:r>
      <w:r>
        <w:rPr>
          <w:rFonts w:ascii="Times New Roman" w:hAnsi="Times New Roman"/>
          <w:b/>
          <w:bCs/>
          <w:noProof/>
          <w:sz w:val="24"/>
          <w:szCs w:val="24"/>
        </w:rPr>
        <w:t>18,4 %</w:t>
      </w:r>
      <w:r>
        <w:rPr>
          <w:rFonts w:ascii="Times New Roman" w:hAnsi="Times New Roman"/>
          <w:noProof/>
          <w:sz w:val="24"/>
          <w:szCs w:val="24"/>
        </w:rPr>
        <w:t xml:space="preserve"> </w:t>
      </w:r>
      <w:r>
        <w:rPr>
          <w:rFonts w:ascii="Times New Roman" w:hAnsi="Times New Roman"/>
          <w:b/>
          <w:bCs/>
          <w:noProof/>
          <w:sz w:val="24"/>
          <w:szCs w:val="24"/>
        </w:rPr>
        <w:t>du nombre total</w:t>
      </w:r>
      <w:r>
        <w:rPr>
          <w:rFonts w:ascii="Times New Roman" w:hAnsi="Times New Roman"/>
          <w:noProof/>
          <w:sz w:val="24"/>
          <w:szCs w:val="24"/>
        </w:rPr>
        <w:t xml:space="preserve"> des demandes. En outre, </w:t>
      </w:r>
      <w:r>
        <w:rPr>
          <w:rFonts w:ascii="Times New Roman" w:hAnsi="Times New Roman"/>
          <w:b/>
          <w:bCs/>
          <w:noProof/>
          <w:sz w:val="24"/>
          <w:szCs w:val="24"/>
        </w:rPr>
        <w:t>42 000 demandes pour lesquelles le délai de réponse a expiré</w:t>
      </w:r>
      <w:r>
        <w:rPr>
          <w:rFonts w:ascii="Times New Roman" w:hAnsi="Times New Roman"/>
          <w:noProof/>
          <w:sz w:val="24"/>
          <w:szCs w:val="24"/>
        </w:rPr>
        <w:t xml:space="preserve"> ont été enregistrées.</w:t>
      </w:r>
      <w:r>
        <w:rPr>
          <w:rFonts w:ascii="Times New Roman" w:hAnsi="Times New Roman"/>
          <w:bCs/>
          <w:noProof/>
          <w:sz w:val="24"/>
          <w:szCs w:val="24"/>
        </w:rPr>
        <w:t xml:space="preserve"> </w:t>
      </w:r>
      <w:r>
        <w:rPr>
          <w:rFonts w:ascii="Times New Roman" w:hAnsi="Times New Roman"/>
          <w:noProof/>
          <w:sz w:val="24"/>
          <w:szCs w:val="24"/>
        </w:rPr>
        <w:t xml:space="preserve">Ces chiffres élevés, associés aux données de référence pour 2016 [respectivement: 13 800 (3,8 %); 13 000], indiquent une </w:t>
      </w:r>
      <w:r>
        <w:rPr>
          <w:rFonts w:ascii="Times New Roman" w:hAnsi="Times New Roman"/>
          <w:b/>
          <w:bCs/>
          <w:noProof/>
          <w:sz w:val="24"/>
          <w:szCs w:val="24"/>
        </w:rPr>
        <w:t>augmentation alarmante du nombre de réponses ne respectant pas les délais légaux</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bCs/>
          <w:noProof/>
          <w:sz w:val="24"/>
          <w:szCs w:val="24"/>
        </w:rPr>
        <w:t>Cette tendance ne concerne que quelques États membres</w:t>
      </w:r>
      <w:r>
        <w:rPr>
          <w:rFonts w:ascii="Times New Roman" w:hAnsi="Times New Roman"/>
          <w:noProof/>
          <w:sz w:val="24"/>
          <w:szCs w:val="24"/>
        </w:rPr>
        <w:t>, en particulier ceux qui ont été</w:t>
      </w:r>
      <w:r>
        <w:rPr>
          <w:rFonts w:ascii="Times New Roman" w:hAnsi="Times New Roman"/>
          <w:b/>
          <w:bCs/>
          <w:noProof/>
          <w:sz w:val="24"/>
          <w:szCs w:val="24"/>
        </w:rPr>
        <w:t xml:space="preserve"> confrontés à un volume considérable de demandes d’informations</w:t>
      </w:r>
      <w:r>
        <w:rPr>
          <w:rFonts w:ascii="Times New Roman" w:hAnsi="Times New Roman"/>
          <w:noProof/>
          <w:sz w:val="24"/>
          <w:szCs w:val="24"/>
        </w:rPr>
        <w:t>, tandis que la grande majorité des États membres se situe toujours en deçà de 0,5 % de réponses tardives. Les États membres qui ont eu le plus de difficultés à respecter les délais en 2019 étaient: PL, avec 55 % des réponses envoyées tardivement (99 000), RO (30 %; 50 000), HR (43 %; 24 600), LV (47 %; 6 200), BE (18 %; 2 800) et BG (5 %; 3 300). Le problème que constituent les demandes dont le délai de réponse a expiré, susceptible de donner lieu soit à des réponses tardives, soit à des demandes restées sans réponse, concernait 33 % des demandes reçues par MT et CY, 13,5 % des demandes reçues par LV et 8 % des demandes reçues par PL.</w:t>
      </w:r>
    </w:p>
    <w:p>
      <w:pPr>
        <w:rPr>
          <w:rFonts w:ascii="Times New Roman" w:hAnsi="Times New Roman" w:cs="Times New Roman"/>
          <w:b/>
          <w:noProof/>
          <w:sz w:val="24"/>
          <w:szCs w:val="24"/>
        </w:rPr>
      </w:pPr>
      <w:bookmarkStart w:id="25" w:name="_Toc479267023"/>
    </w:p>
    <w:p>
      <w:pPr>
        <w:rPr>
          <w:rFonts w:ascii="Times New Roman" w:hAnsi="Times New Roman" w:cs="Times New Roman"/>
          <w:b/>
          <w:noProof/>
          <w:sz w:val="24"/>
          <w:szCs w:val="24"/>
        </w:rPr>
      </w:pPr>
      <w:r>
        <w:rPr>
          <w:rFonts w:ascii="Times New Roman" w:hAnsi="Times New Roman"/>
          <w:b/>
          <w:noProof/>
          <w:sz w:val="24"/>
          <w:szCs w:val="24"/>
        </w:rPr>
        <w:t>2.8. Demandes aux fins de procédures pénales et à d’autres fins</w:t>
      </w:r>
      <w:bookmarkEnd w:id="25"/>
    </w:p>
    <w:p>
      <w:pPr>
        <w:spacing w:after="0"/>
        <w:jc w:val="both"/>
        <w:rPr>
          <w:rFonts w:ascii="Times New Roman" w:hAnsi="Times New Roman" w:cs="Times New Roman"/>
          <w:noProof/>
          <w:sz w:val="24"/>
          <w:szCs w:val="24"/>
        </w:rPr>
      </w:pPr>
      <w:bookmarkStart w:id="26" w:name="_Hlk481158644"/>
      <w:r>
        <w:rPr>
          <w:rFonts w:ascii="Times New Roman" w:hAnsi="Times New Roman"/>
          <w:noProof/>
          <w:sz w:val="24"/>
          <w:szCs w:val="24"/>
        </w:rPr>
        <w:t>Les graphiques ci-dessous représentent la proportion entre les demandes envoyées aux fins de procédures pénales et celles envoyées à d’autres fins, de 2012 à 2019.</w:t>
      </w:r>
    </w:p>
    <w:p>
      <w:pPr>
        <w:spacing w:after="0"/>
        <w:jc w:val="both"/>
        <w:rPr>
          <w:rFonts w:ascii="Times New Roman" w:hAnsi="Times New Roman" w:cs="Times New Roman"/>
          <w:noProof/>
          <w:sz w:val="24"/>
          <w:szCs w:val="24"/>
        </w:rPr>
      </w:pPr>
    </w:p>
    <w:p>
      <w:pPr>
        <w:spacing w:after="0"/>
        <w:jc w:val="center"/>
        <w:rPr>
          <w:rFonts w:ascii="Times New Roman" w:hAnsi="Times New Roman" w:cs="Times New Roman"/>
          <w:noProof/>
          <w:sz w:val="24"/>
          <w:szCs w:val="24"/>
        </w:rPr>
      </w:pPr>
      <w:r>
        <w:rPr>
          <w:noProof/>
          <w:lang w:val="en-GB"/>
        </w:rPr>
        <w:drawing>
          <wp:inline distT="0" distB="0" distL="0" distR="0">
            <wp:extent cx="4057481" cy="2416589"/>
            <wp:effectExtent l="0" t="0" r="635" b="317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082894" cy="2431725"/>
                    </a:xfrm>
                    <a:prstGeom prst="rect">
                      <a:avLst/>
                    </a:prstGeom>
                  </pic:spPr>
                </pic:pic>
              </a:graphicData>
            </a:graphic>
          </wp:inline>
        </w:drawing>
      </w:r>
    </w:p>
    <w:p>
      <w:pPr>
        <w:spacing w:after="0"/>
        <w:jc w:val="center"/>
        <w:rPr>
          <w:rFonts w:ascii="Times New Roman" w:hAnsi="Times New Roman" w:cs="Times New Roman"/>
          <w:noProof/>
          <w:sz w:val="24"/>
          <w:szCs w:val="24"/>
        </w:rPr>
      </w:pPr>
    </w:p>
    <w:p>
      <w:pPr>
        <w:spacing w:after="0"/>
        <w:jc w:val="center"/>
        <w:rPr>
          <w:rFonts w:ascii="Times New Roman" w:hAnsi="Times New Roman" w:cs="Times New Roman"/>
          <w:noProof/>
          <w:sz w:val="24"/>
          <w:szCs w:val="24"/>
        </w:rPr>
      </w:pPr>
      <w:r>
        <w:rPr>
          <w:noProof/>
          <w:lang w:val="en-GB"/>
        </w:rPr>
        <w:drawing>
          <wp:inline distT="0" distB="0" distL="0" distR="0">
            <wp:extent cx="5760085" cy="40322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085" cy="4032250"/>
                    </a:xfrm>
                    <a:prstGeom prst="rect">
                      <a:avLst/>
                    </a:prstGeom>
                  </pic:spPr>
                </pic:pic>
              </a:graphicData>
            </a:graphic>
          </wp:inline>
        </w:drawing>
      </w:r>
    </w:p>
    <w:bookmarkEnd w:id="26"/>
    <w:p>
      <w:pPr>
        <w:jc w:val="both"/>
        <w:rPr>
          <w:rFonts w:ascii="Times New Roman" w:hAnsi="Times New Roman" w:cs="Times New Roman"/>
          <w:bCs/>
          <w:noProof/>
          <w:sz w:val="24"/>
          <w:szCs w:val="24"/>
        </w:rPr>
      </w:pPr>
      <w:r>
        <w:rPr>
          <w:rFonts w:ascii="Times New Roman" w:hAnsi="Times New Roman"/>
          <w:noProof/>
          <w:sz w:val="24"/>
          <w:szCs w:val="24"/>
        </w:rPr>
        <w:t xml:space="preserve">Pendant de nombreuses années, le pourcentage de demandes à des fins autres que des procédures pénales correspondait en moyenne à 20 % de l’ensemble des demandes. Comme indiqué plus haut, les années 2018-2019 ont marqué </w:t>
      </w:r>
      <w:r>
        <w:rPr>
          <w:rFonts w:ascii="Times New Roman" w:hAnsi="Times New Roman"/>
          <w:b/>
          <w:bCs/>
          <w:noProof/>
          <w:sz w:val="24"/>
          <w:szCs w:val="24"/>
        </w:rPr>
        <w:t>une évolution complète dans l’utilisation du système, lequel a commencé à être consulté aussi fréquemment aux fins de procédures pénales qu’à d’autres fins (50/50 %)</w:t>
      </w:r>
      <w:r>
        <w:rPr>
          <w:rFonts w:ascii="Times New Roman" w:hAnsi="Times New Roman"/>
          <w:noProof/>
          <w:sz w:val="24"/>
          <w:szCs w:val="24"/>
        </w:rPr>
        <w:t xml:space="preserve">. Pendant la période de fonctionnement de l’ECRIS, en moyenne </w:t>
      </w:r>
      <w:r>
        <w:rPr>
          <w:rFonts w:ascii="Times New Roman" w:hAnsi="Times New Roman"/>
          <w:b/>
          <w:bCs/>
          <w:noProof/>
          <w:sz w:val="24"/>
          <w:szCs w:val="24"/>
        </w:rPr>
        <w:t xml:space="preserve">69 % </w:t>
      </w:r>
      <w:r>
        <w:rPr>
          <w:rFonts w:ascii="Times New Roman" w:hAnsi="Times New Roman"/>
          <w:noProof/>
          <w:sz w:val="24"/>
          <w:szCs w:val="24"/>
        </w:rPr>
        <w:t xml:space="preserve">de l’ensemble des demandes ont été introduites aux fins de procédures pénales et </w:t>
      </w:r>
      <w:r>
        <w:rPr>
          <w:rFonts w:ascii="Times New Roman" w:hAnsi="Times New Roman"/>
          <w:b/>
          <w:bCs/>
          <w:noProof/>
          <w:sz w:val="24"/>
          <w:szCs w:val="24"/>
        </w:rPr>
        <w:t>31 %</w:t>
      </w:r>
      <w:r>
        <w:rPr>
          <w:rFonts w:ascii="Times New Roman" w:hAnsi="Times New Roman"/>
          <w:noProof/>
          <w:sz w:val="24"/>
          <w:szCs w:val="24"/>
        </w:rPr>
        <w:t xml:space="preserve"> à </w:t>
      </w:r>
      <w:r>
        <w:rPr>
          <w:rFonts w:ascii="Times New Roman" w:hAnsi="Times New Roman"/>
          <w:b/>
          <w:bCs/>
          <w:noProof/>
          <w:sz w:val="24"/>
          <w:szCs w:val="24"/>
        </w:rPr>
        <w:t>d’autres fins</w:t>
      </w:r>
      <w:r>
        <w:rPr>
          <w:rFonts w:ascii="Times New Roman" w:hAnsi="Times New Roman"/>
          <w:noProof/>
          <w:sz w:val="24"/>
          <w:szCs w:val="24"/>
        </w:rPr>
        <w:t>.</w:t>
      </w:r>
    </w:p>
    <w:p>
      <w:pPr>
        <w:jc w:val="both"/>
        <w:rPr>
          <w:rFonts w:ascii="Times New Roman" w:hAnsi="Times New Roman" w:cs="Times New Roman"/>
          <w:bCs/>
          <w:noProof/>
          <w:sz w:val="24"/>
          <w:szCs w:val="24"/>
        </w:rPr>
      </w:pPr>
      <w:r>
        <w:rPr>
          <w:rFonts w:ascii="Times New Roman" w:hAnsi="Times New Roman"/>
          <w:noProof/>
          <w:sz w:val="24"/>
          <w:szCs w:val="24"/>
        </w:rPr>
        <w:t xml:space="preserve">Le nombre de </w:t>
      </w:r>
      <w:r>
        <w:rPr>
          <w:rFonts w:ascii="Times New Roman" w:hAnsi="Times New Roman"/>
          <w:b/>
          <w:bCs/>
          <w:noProof/>
          <w:sz w:val="24"/>
          <w:szCs w:val="24"/>
        </w:rPr>
        <w:t>demandes envoyées à d’autres fins a dépassé 500 000 en 2019</w:t>
      </w:r>
      <w:r>
        <w:rPr>
          <w:rFonts w:ascii="Times New Roman" w:hAnsi="Times New Roman"/>
          <w:noProof/>
          <w:sz w:val="24"/>
          <w:szCs w:val="24"/>
        </w:rPr>
        <w:t xml:space="preserve">, soit plus de </w:t>
      </w:r>
      <w:r>
        <w:rPr>
          <w:rFonts w:ascii="Times New Roman" w:hAnsi="Times New Roman"/>
          <w:b/>
          <w:bCs/>
          <w:noProof/>
          <w:sz w:val="24"/>
          <w:szCs w:val="24"/>
        </w:rPr>
        <w:t>6 fois plus qu’en 2016</w:t>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 xml:space="preserve">Le nombre de </w:t>
      </w:r>
      <w:r>
        <w:rPr>
          <w:rFonts w:ascii="Times New Roman" w:hAnsi="Times New Roman"/>
          <w:b/>
          <w:bCs/>
          <w:noProof/>
          <w:sz w:val="24"/>
          <w:szCs w:val="24"/>
        </w:rPr>
        <w:t>demandes aux fins de procédures pénales</w:t>
      </w:r>
      <w:r>
        <w:rPr>
          <w:rFonts w:ascii="Times New Roman" w:hAnsi="Times New Roman"/>
          <w:noProof/>
          <w:sz w:val="24"/>
          <w:szCs w:val="24"/>
        </w:rPr>
        <w:t xml:space="preserve"> est resté </w:t>
      </w:r>
      <w:r>
        <w:rPr>
          <w:rFonts w:ascii="Times New Roman" w:hAnsi="Times New Roman"/>
          <w:b/>
          <w:bCs/>
          <w:noProof/>
          <w:sz w:val="24"/>
          <w:szCs w:val="24"/>
        </w:rPr>
        <w:t>stable aux alentours de 500 000</w:t>
      </w:r>
      <w:r>
        <w:rPr>
          <w:rFonts w:ascii="Times New Roman" w:hAnsi="Times New Roman"/>
          <w:noProof/>
          <w:sz w:val="24"/>
          <w:szCs w:val="24"/>
        </w:rPr>
        <w:t xml:space="preserve"> également.</w:t>
      </w:r>
    </w:p>
    <w:p>
      <w:pPr>
        <w:jc w:val="both"/>
        <w:rPr>
          <w:rFonts w:ascii="Times New Roman" w:hAnsi="Times New Roman" w:cs="Times New Roman"/>
          <w:noProof/>
          <w:sz w:val="24"/>
          <w:szCs w:val="24"/>
        </w:rPr>
      </w:pPr>
      <w:r>
        <w:rPr>
          <w:rFonts w:ascii="Times New Roman" w:hAnsi="Times New Roman"/>
          <w:noProof/>
          <w:sz w:val="24"/>
          <w:szCs w:val="24"/>
        </w:rPr>
        <w:t xml:space="preserve">L’accroissement des demandes envoyées à d’autres fins s’explique essentiellement par la </w:t>
      </w:r>
      <w:r>
        <w:rPr>
          <w:rFonts w:ascii="Times New Roman" w:hAnsi="Times New Roman"/>
          <w:b/>
          <w:bCs/>
          <w:noProof/>
          <w:sz w:val="24"/>
          <w:szCs w:val="24"/>
        </w:rPr>
        <w:t xml:space="preserve">forte augmentation des demandes de particuliers au sujet de leur propre casier judiciaire </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de</w:t>
      </w:r>
      <w:r>
        <w:rPr>
          <w:rFonts w:ascii="Times New Roman" w:hAnsi="Times New Roman"/>
          <w:b/>
          <w:bCs/>
          <w:noProof/>
          <w:sz w:val="24"/>
          <w:szCs w:val="24"/>
        </w:rPr>
        <w:t xml:space="preserve"> </w:t>
      </w:r>
      <w:r>
        <w:rPr>
          <w:rFonts w:ascii="Times New Roman" w:hAnsi="Times New Roman"/>
          <w:noProof/>
          <w:sz w:val="24"/>
          <w:szCs w:val="24"/>
        </w:rPr>
        <w:t xml:space="preserve">plus de six fois depuis 2016, pour un total de </w:t>
      </w:r>
      <w:r>
        <w:rPr>
          <w:rFonts w:ascii="Times New Roman" w:hAnsi="Times New Roman"/>
          <w:b/>
          <w:bCs/>
          <w:noProof/>
          <w:sz w:val="24"/>
          <w:szCs w:val="24"/>
        </w:rPr>
        <w:t>356 000 demandes</w:t>
      </w:r>
      <w:r>
        <w:rPr>
          <w:rFonts w:ascii="Times New Roman" w:hAnsi="Times New Roman"/>
          <w:noProof/>
          <w:sz w:val="24"/>
          <w:szCs w:val="24"/>
        </w:rPr>
        <w:t xml:space="preserve">. Le second facteur contribuant à cette hausse est le nombre de </w:t>
      </w:r>
      <w:r>
        <w:rPr>
          <w:rFonts w:ascii="Times New Roman" w:hAnsi="Times New Roman"/>
          <w:b/>
          <w:bCs/>
          <w:noProof/>
          <w:sz w:val="24"/>
          <w:szCs w:val="24"/>
        </w:rPr>
        <w:t>demandes aux fins d’un recrutement</w:t>
      </w:r>
      <w:r>
        <w:rPr>
          <w:rFonts w:ascii="Times New Roman" w:hAnsi="Times New Roman"/>
          <w:noProof/>
          <w:sz w:val="24"/>
          <w:szCs w:val="24"/>
        </w:rPr>
        <w:t xml:space="preserve"> pour des activités professionnelles ou des </w:t>
      </w:r>
      <w:r>
        <w:rPr>
          <w:rFonts w:ascii="Times New Roman" w:hAnsi="Times New Roman"/>
          <w:b/>
          <w:bCs/>
          <w:noProof/>
          <w:sz w:val="24"/>
          <w:szCs w:val="24"/>
        </w:rPr>
        <w:t>activités bénévoles organisées impliquant des contacts directs et réguliers avec des enfants</w:t>
      </w:r>
      <w:r>
        <w:rPr>
          <w:rFonts w:ascii="Times New Roman" w:hAnsi="Times New Roman"/>
          <w:noProof/>
          <w:sz w:val="24"/>
          <w:szCs w:val="24"/>
        </w:rPr>
        <w:t xml:space="preserve">, en application de la </w:t>
      </w:r>
      <w:r>
        <w:rPr>
          <w:rFonts w:ascii="Times New Roman" w:hAnsi="Times New Roman"/>
          <w:b/>
          <w:bCs/>
          <w:noProof/>
          <w:sz w:val="24"/>
          <w:szCs w:val="24"/>
        </w:rPr>
        <w:t>directive 2011/93/UE</w:t>
      </w:r>
      <w:r>
        <w:rPr>
          <w:rStyle w:val="FootnoteReference"/>
          <w:rFonts w:ascii="Times New Roman" w:hAnsi="Times New Roman" w:cs="Times New Roman"/>
          <w:b/>
          <w:noProof/>
          <w:sz w:val="24"/>
          <w:szCs w:val="24"/>
        </w:rPr>
        <w:footnoteReference w:id="21"/>
      </w:r>
      <w:r>
        <w:rPr>
          <w:rFonts w:ascii="Times New Roman" w:hAnsi="Times New Roman"/>
          <w:noProof/>
          <w:sz w:val="24"/>
          <w:szCs w:val="24"/>
        </w:rPr>
        <w:t xml:space="preserve">. Le nombre de ces demandes s’élevait à 115 000 en 2019, soit une </w:t>
      </w:r>
      <w:r>
        <w:rPr>
          <w:rFonts w:ascii="Times New Roman" w:hAnsi="Times New Roman"/>
          <w:b/>
          <w:bCs/>
          <w:noProof/>
          <w:sz w:val="24"/>
          <w:szCs w:val="24"/>
        </w:rPr>
        <w:t>augmentation significative</w:t>
      </w:r>
      <w:r>
        <w:rPr>
          <w:rFonts w:ascii="Times New Roman" w:hAnsi="Times New Roman"/>
          <w:noProof/>
          <w:sz w:val="24"/>
          <w:szCs w:val="24"/>
        </w:rPr>
        <w:t xml:space="preserve"> par rapport aux 7 800 demandes enregistrées en 2016. L’augmentation du nombre de demandes envoyées à d’autres fins est imputable en grande partie à DE.</w:t>
      </w:r>
    </w:p>
    <w:p>
      <w:pPr>
        <w:jc w:val="both"/>
        <w:rPr>
          <w:rFonts w:ascii="Times New Roman" w:hAnsi="Times New Roman" w:cs="Times New Roman"/>
          <w:noProof/>
          <w:sz w:val="24"/>
          <w:szCs w:val="24"/>
        </w:rPr>
      </w:pPr>
      <w:r>
        <w:rPr>
          <w:rFonts w:ascii="Times New Roman" w:hAnsi="Times New Roman"/>
          <w:noProof/>
          <w:sz w:val="24"/>
          <w:szCs w:val="24"/>
        </w:rPr>
        <w:t xml:space="preserve">En 2019, la plupart des demandes à des fins autres que des procédures pénales ont été introduites par des </w:t>
      </w:r>
      <w:r>
        <w:rPr>
          <w:rFonts w:ascii="Times New Roman" w:hAnsi="Times New Roman"/>
          <w:b/>
          <w:bCs/>
          <w:noProof/>
          <w:sz w:val="24"/>
          <w:szCs w:val="24"/>
        </w:rPr>
        <w:t>particuliers</w:t>
      </w:r>
      <w:r>
        <w:rPr>
          <w:rFonts w:ascii="Times New Roman" w:hAnsi="Times New Roman"/>
          <w:noProof/>
          <w:sz w:val="24"/>
          <w:szCs w:val="24"/>
        </w:rPr>
        <w:t xml:space="preserve"> </w:t>
      </w:r>
      <w:r>
        <w:rPr>
          <w:rFonts w:ascii="Times New Roman" w:hAnsi="Times New Roman"/>
          <w:b/>
          <w:bCs/>
          <w:noProof/>
          <w:sz w:val="24"/>
          <w:szCs w:val="24"/>
        </w:rPr>
        <w:t>souhaitant obtenir des informations sur leur propre casier judiciaire – soit 70 % de l’ensemble des demandes à d’autres fins et 35 % de l’ensemble des demandes</w:t>
      </w:r>
      <w:r>
        <w:rPr>
          <w:rFonts w:ascii="Times New Roman" w:hAnsi="Times New Roman"/>
          <w:noProof/>
          <w:sz w:val="24"/>
          <w:szCs w:val="24"/>
        </w:rPr>
        <w:t xml:space="preserve"> introduites. Le deuxième plus grand nombre de demandes concernait des demandes aux fins d’un </w:t>
      </w:r>
      <w:r>
        <w:rPr>
          <w:rFonts w:ascii="Times New Roman" w:hAnsi="Times New Roman"/>
          <w:b/>
          <w:bCs/>
          <w:noProof/>
          <w:sz w:val="24"/>
          <w:szCs w:val="24"/>
        </w:rPr>
        <w:t>recrutement conformément à la directive 2011/93/UE</w:t>
      </w:r>
      <w:r>
        <w:rPr>
          <w:rFonts w:ascii="Times New Roman" w:hAnsi="Times New Roman"/>
          <w:noProof/>
          <w:sz w:val="24"/>
          <w:szCs w:val="24"/>
        </w:rPr>
        <w:t xml:space="preserve"> (soit 22 % des demandes à d’autres fins et 11 % de l’ensemble des demandes introduites — contre 10 % des demandes à d’autres fins en 2016). Le pourcentage de demandes émanant d’une autorité administrative compétente aux fins de procédures non pénales est passé de 14 % des demandes à d’autres fins en 2016 à 3,8 % en 2019 (et à 2 % de l’ensemble des demandes), ce qui situe cette catégorie en troisième position avec 19 000 demandes. Les demandes visant à obtenir un permis de port d’armes représentaient 1,1 % des demandes à d’autres fins. Enfin, les demandes envoyées dans le but essentiel d’obtenir une autre nationalité ne représentaient qu’environ 0,9 % des demandes à d’autres fins et 0,4 % de l’ensemble des demandes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w:t>
      </w:r>
    </w:p>
    <w:p>
      <w:pPr>
        <w:rPr>
          <w:rFonts w:ascii="Times New Roman" w:hAnsi="Times New Roman" w:cs="Times New Roman"/>
          <w:noProof/>
          <w:sz w:val="24"/>
          <w:szCs w:val="24"/>
        </w:rPr>
      </w:pPr>
      <w:bookmarkStart w:id="27" w:name="_Toc479267024"/>
    </w:p>
    <w:p>
      <w:pPr>
        <w:keepNext/>
        <w:keepLines/>
        <w:widowControl w:val="0"/>
        <w:rPr>
          <w:rFonts w:ascii="Times New Roman" w:hAnsi="Times New Roman" w:cs="Times New Roman"/>
          <w:b/>
          <w:noProof/>
          <w:sz w:val="24"/>
          <w:szCs w:val="24"/>
        </w:rPr>
      </w:pPr>
      <w:r>
        <w:rPr>
          <w:rFonts w:ascii="Times New Roman" w:hAnsi="Times New Roman"/>
          <w:b/>
          <w:noProof/>
          <w:sz w:val="24"/>
          <w:szCs w:val="24"/>
        </w:rPr>
        <w:t>2.9. Demandes relatives à des ressortissants de l’UE et à des ressortissants de pays tiers (TCN)</w:t>
      </w:r>
      <w:bookmarkEnd w:id="27"/>
    </w:p>
    <w:p>
      <w:pPr>
        <w:keepNext/>
        <w:keepLines/>
        <w:widowControl w:val="0"/>
        <w:spacing w:after="0"/>
        <w:jc w:val="both"/>
        <w:rPr>
          <w:rFonts w:ascii="Times New Roman" w:hAnsi="Times New Roman" w:cs="Times New Roman"/>
          <w:noProof/>
          <w:sz w:val="24"/>
          <w:szCs w:val="24"/>
        </w:rPr>
      </w:pPr>
      <w:r>
        <w:rPr>
          <w:rFonts w:ascii="Times New Roman" w:hAnsi="Times New Roman"/>
          <w:noProof/>
          <w:sz w:val="24"/>
          <w:szCs w:val="24"/>
        </w:rPr>
        <w:t>Les graphiques ci-dessous représentent la proportion de demandes relatives à des ressortissants de l’UE par rapport à celle de demandes portant sur des TCN, par année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et en moyenne sur toute la période de fonctionnement de l’ECRIS.</w:t>
      </w:r>
    </w:p>
    <w:p>
      <w:pPr>
        <w:keepNext/>
        <w:keepLines/>
        <w:widowControl w:val="0"/>
        <w:jc w:val="center"/>
        <w:rPr>
          <w:rStyle w:val="CommentReference"/>
          <w:rFonts w:ascii="Times New Roman" w:hAnsi="Times New Roman" w:cs="Times New Roman"/>
          <w:noProof/>
          <w:sz w:val="24"/>
          <w:szCs w:val="24"/>
        </w:rPr>
      </w:pPr>
    </w:p>
    <w:p>
      <w:pPr>
        <w:keepNext/>
        <w:keepLines/>
        <w:widowControl w:val="0"/>
        <w:jc w:val="center"/>
        <w:rPr>
          <w:rFonts w:ascii="Times New Roman" w:hAnsi="Times New Roman" w:cs="Times New Roman"/>
          <w:noProof/>
          <w:sz w:val="24"/>
          <w:szCs w:val="24"/>
        </w:rPr>
      </w:pPr>
      <w:r>
        <w:rPr>
          <w:noProof/>
          <w:lang w:val="en-GB"/>
        </w:rPr>
        <w:drawing>
          <wp:inline distT="0" distB="0" distL="0" distR="0">
            <wp:extent cx="3688491" cy="2647785"/>
            <wp:effectExtent l="0" t="0" r="7620" b="63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05146" cy="2659741"/>
                    </a:xfrm>
                    <a:prstGeom prst="rect">
                      <a:avLst/>
                    </a:prstGeom>
                  </pic:spPr>
                </pic:pic>
              </a:graphicData>
            </a:graphic>
          </wp:inline>
        </w:drawing>
      </w:r>
      <w:r>
        <w:rPr>
          <w:noProof/>
        </w:rPr>
        <w:t xml:space="preserve"> </w:t>
      </w:r>
    </w:p>
    <w:p>
      <w:pPr>
        <w:keepNext/>
        <w:keepLines/>
        <w:widowControl w:val="0"/>
        <w:contextualSpacing/>
        <w:jc w:val="center"/>
        <w:rPr>
          <w:rFonts w:ascii="Times New Roman" w:hAnsi="Times New Roman" w:cs="Times New Roman"/>
          <w:noProof/>
          <w:sz w:val="24"/>
          <w:szCs w:val="24"/>
        </w:rPr>
      </w:pPr>
    </w:p>
    <w:p>
      <w:pPr>
        <w:keepNext/>
        <w:keepLines/>
        <w:widowControl w:val="0"/>
        <w:contextualSpacing/>
        <w:jc w:val="center"/>
        <w:rPr>
          <w:rFonts w:ascii="Times New Roman" w:hAnsi="Times New Roman" w:cs="Times New Roman"/>
          <w:noProof/>
          <w:sz w:val="24"/>
          <w:szCs w:val="24"/>
        </w:rPr>
      </w:pPr>
      <w:r>
        <w:rPr>
          <w:noProof/>
          <w:lang w:val="en-GB"/>
        </w:rPr>
        <w:drawing>
          <wp:inline distT="0" distB="0" distL="0" distR="0">
            <wp:extent cx="5760085" cy="343344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085" cy="3433445"/>
                    </a:xfrm>
                    <a:prstGeom prst="rect">
                      <a:avLst/>
                    </a:prstGeom>
                  </pic:spPr>
                </pic:pic>
              </a:graphicData>
            </a:graphic>
          </wp:inline>
        </w:drawing>
      </w:r>
    </w:p>
    <w:p>
      <w:pPr>
        <w:keepNext/>
        <w:keepLines/>
        <w:widowControl w:val="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En moyenne, </w:t>
      </w:r>
      <w:r>
        <w:rPr>
          <w:rFonts w:ascii="Times New Roman" w:hAnsi="Times New Roman"/>
          <w:b/>
          <w:bCs/>
          <w:noProof/>
          <w:sz w:val="24"/>
          <w:szCs w:val="24"/>
        </w:rPr>
        <w:t>92 %</w:t>
      </w:r>
      <w:r>
        <w:rPr>
          <w:rFonts w:ascii="Times New Roman" w:hAnsi="Times New Roman"/>
          <w:noProof/>
          <w:sz w:val="24"/>
          <w:szCs w:val="24"/>
        </w:rPr>
        <w:t xml:space="preserve"> de l’ensemble des demandes portent sur des </w:t>
      </w:r>
      <w:r>
        <w:rPr>
          <w:rFonts w:ascii="Times New Roman" w:hAnsi="Times New Roman"/>
          <w:b/>
          <w:bCs/>
          <w:noProof/>
          <w:sz w:val="24"/>
          <w:szCs w:val="24"/>
        </w:rPr>
        <w:t>ressortissants de l’UE</w:t>
      </w:r>
      <w:r>
        <w:rPr>
          <w:rFonts w:ascii="Times New Roman" w:hAnsi="Times New Roman"/>
          <w:noProof/>
          <w:sz w:val="24"/>
          <w:szCs w:val="24"/>
        </w:rPr>
        <w:t xml:space="preserve"> et environ </w:t>
      </w:r>
      <w:r>
        <w:rPr>
          <w:rFonts w:ascii="Times New Roman" w:hAnsi="Times New Roman"/>
          <w:b/>
          <w:bCs/>
          <w:noProof/>
          <w:sz w:val="24"/>
          <w:szCs w:val="24"/>
        </w:rPr>
        <w:t>8 % concernent des TCN</w:t>
      </w:r>
      <w:r>
        <w:rPr>
          <w:rFonts w:ascii="Times New Roman" w:hAnsi="Times New Roman"/>
          <w:noProof/>
          <w:sz w:val="24"/>
          <w:szCs w:val="24"/>
        </w:rPr>
        <w:t>. La proportion de demandes relatives à des personnes apatrides est marginale (0,02 %).</w:t>
      </w:r>
    </w:p>
    <w:p>
      <w:pPr>
        <w:jc w:val="both"/>
        <w:rPr>
          <w:rFonts w:ascii="Times New Roman" w:hAnsi="Times New Roman" w:cs="Times New Roman"/>
          <w:bCs/>
          <w:noProof/>
          <w:sz w:val="24"/>
          <w:szCs w:val="24"/>
        </w:rPr>
      </w:pPr>
      <w:r>
        <w:rPr>
          <w:rFonts w:ascii="Times New Roman" w:hAnsi="Times New Roman"/>
          <w:noProof/>
          <w:sz w:val="24"/>
          <w:szCs w:val="24"/>
        </w:rPr>
        <w:t xml:space="preserve">Bien que le </w:t>
      </w:r>
      <w:r>
        <w:rPr>
          <w:rFonts w:ascii="Times New Roman" w:hAnsi="Times New Roman"/>
          <w:b/>
          <w:bCs/>
          <w:noProof/>
          <w:sz w:val="24"/>
          <w:szCs w:val="24"/>
        </w:rPr>
        <w:t xml:space="preserve">pourcentage de demandes d’informations relatives à des TCN </w:t>
      </w:r>
      <w:r>
        <w:rPr>
          <w:rFonts w:ascii="Times New Roman" w:hAnsi="Times New Roman"/>
          <w:noProof/>
          <w:sz w:val="24"/>
          <w:szCs w:val="24"/>
        </w:rPr>
        <w:t xml:space="preserve">ait </w:t>
      </w:r>
      <w:r>
        <w:rPr>
          <w:rFonts w:ascii="Times New Roman" w:hAnsi="Times New Roman"/>
          <w:b/>
          <w:bCs/>
          <w:noProof/>
          <w:sz w:val="24"/>
          <w:szCs w:val="24"/>
        </w:rPr>
        <w:t>reculé</w:t>
      </w:r>
      <w:r>
        <w:rPr>
          <w:rFonts w:ascii="Times New Roman" w:hAnsi="Times New Roman"/>
          <w:noProof/>
          <w:sz w:val="24"/>
          <w:szCs w:val="24"/>
        </w:rPr>
        <w:t xml:space="preserve"> depuis 2016, passant de 10 % à</w:t>
      </w:r>
      <w:r>
        <w:rPr>
          <w:rFonts w:ascii="Times New Roman" w:hAnsi="Times New Roman"/>
          <w:b/>
          <w:bCs/>
          <w:noProof/>
          <w:sz w:val="24"/>
          <w:szCs w:val="24"/>
        </w:rPr>
        <w:t xml:space="preserve"> 7 % de l’ensemble des demandes en  2019</w:t>
      </w:r>
      <w:r>
        <w:rPr>
          <w:rFonts w:ascii="Times New Roman" w:hAnsi="Times New Roman"/>
          <w:noProof/>
          <w:sz w:val="24"/>
          <w:szCs w:val="24"/>
        </w:rPr>
        <w:t xml:space="preserve">, le </w:t>
      </w:r>
      <w:r>
        <w:rPr>
          <w:rFonts w:ascii="Times New Roman" w:hAnsi="Times New Roman"/>
          <w:b/>
          <w:bCs/>
          <w:noProof/>
          <w:sz w:val="24"/>
          <w:szCs w:val="24"/>
        </w:rPr>
        <w:t>nombre effectif</w:t>
      </w:r>
      <w:r>
        <w:rPr>
          <w:rFonts w:ascii="Times New Roman" w:hAnsi="Times New Roman"/>
          <w:noProof/>
          <w:sz w:val="24"/>
          <w:szCs w:val="24"/>
        </w:rPr>
        <w:t xml:space="preserve"> </w:t>
      </w:r>
      <w:r>
        <w:rPr>
          <w:rFonts w:ascii="Times New Roman" w:hAnsi="Times New Roman"/>
          <w:b/>
          <w:bCs/>
          <w:noProof/>
          <w:sz w:val="24"/>
          <w:szCs w:val="24"/>
        </w:rPr>
        <w:t xml:space="preserve">de ce type de demandes </w:t>
      </w:r>
      <w:r>
        <w:rPr>
          <w:rFonts w:ascii="Times New Roman" w:hAnsi="Times New Roman"/>
          <w:bCs/>
          <w:noProof/>
          <w:sz w:val="24"/>
          <w:szCs w:val="24"/>
        </w:rPr>
        <w:t xml:space="preserve">est en </w:t>
      </w:r>
      <w:r>
        <w:rPr>
          <w:rFonts w:ascii="Times New Roman" w:hAnsi="Times New Roman"/>
          <w:b/>
          <w:noProof/>
          <w:sz w:val="24"/>
          <w:szCs w:val="24"/>
        </w:rPr>
        <w:t>hausse croissante</w:t>
      </w:r>
      <w:r>
        <w:rPr>
          <w:rFonts w:ascii="Times New Roman" w:hAnsi="Times New Roman"/>
          <w:bCs/>
          <w:noProof/>
          <w:sz w:val="24"/>
          <w:szCs w:val="24"/>
        </w:rPr>
        <w:t xml:space="preserve"> et dépasse </w:t>
      </w:r>
      <w:r>
        <w:rPr>
          <w:rFonts w:ascii="Times New Roman" w:hAnsi="Times New Roman"/>
          <w:b/>
          <w:noProof/>
          <w:sz w:val="24"/>
          <w:szCs w:val="24"/>
        </w:rPr>
        <w:t xml:space="preserve">69 000 en 2019. </w:t>
      </w:r>
      <w:r>
        <w:rPr>
          <w:rFonts w:ascii="Times New Roman" w:hAnsi="Times New Roman"/>
          <w:bCs/>
          <w:noProof/>
          <w:sz w:val="24"/>
          <w:szCs w:val="24"/>
        </w:rPr>
        <w:t>Ce phénomène s’explique par l’augmentation significative des demandes introduites à des fins autres que les procédures pénales et concernant essentiellement des ressortissants de l’UE.</w:t>
      </w:r>
    </w:p>
    <w:p>
      <w:pPr>
        <w:jc w:val="both"/>
        <w:rPr>
          <w:rFonts w:ascii="Times New Roman" w:hAnsi="Times New Roman" w:cs="Times New Roman"/>
          <w:noProof/>
          <w:sz w:val="24"/>
          <w:szCs w:val="24"/>
        </w:rPr>
      </w:pPr>
      <w:r>
        <w:rPr>
          <w:rFonts w:ascii="Times New Roman" w:hAnsi="Times New Roman"/>
          <w:noProof/>
          <w:sz w:val="24"/>
          <w:szCs w:val="24"/>
        </w:rPr>
        <w:t>En 2019, une législation complémentaire a été adoptée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établissant un système ECRIS-TCN centralisé permettant d’identifier efficacement le ou les États membres qui détiennent des informations sur le casier judiciaire de TCN condamnés dans l’UE. Une fois opérationnel en 2023, ce système devrait favoriser des échanges plus efficaces d’informations sur les TCN via l’ECRIS et entraîner une augmentation sensible de ces demandes.</w:t>
      </w:r>
    </w:p>
    <w:p>
      <w:pPr>
        <w:rPr>
          <w:rFonts w:ascii="Times New Roman" w:hAnsi="Times New Roman" w:cs="Times New Roman"/>
          <w:noProof/>
          <w:sz w:val="24"/>
          <w:szCs w:val="24"/>
        </w:rPr>
      </w:pPr>
      <w:bookmarkStart w:id="28" w:name="_Toc479267025"/>
    </w:p>
    <w:p>
      <w:pPr>
        <w:rPr>
          <w:rFonts w:ascii="Times New Roman" w:hAnsi="Times New Roman" w:cs="Times New Roman"/>
          <w:b/>
          <w:noProof/>
          <w:sz w:val="24"/>
          <w:szCs w:val="24"/>
        </w:rPr>
      </w:pPr>
      <w:r>
        <w:rPr>
          <w:rFonts w:ascii="Times New Roman" w:hAnsi="Times New Roman"/>
          <w:b/>
          <w:noProof/>
          <w:sz w:val="24"/>
          <w:szCs w:val="24"/>
        </w:rPr>
        <w:t>2.10.</w:t>
      </w:r>
      <w:bookmarkEnd w:id="28"/>
      <w:r>
        <w:rPr>
          <w:rFonts w:ascii="Times New Roman" w:hAnsi="Times New Roman"/>
          <w:b/>
          <w:noProof/>
          <w:sz w:val="24"/>
          <w:szCs w:val="24"/>
        </w:rPr>
        <w:t xml:space="preserve"> Réponses comportant des informations sur des condamnations</w:t>
      </w:r>
    </w:p>
    <w:p>
      <w:pPr>
        <w:jc w:val="both"/>
        <w:rPr>
          <w:rFonts w:ascii="Times New Roman" w:hAnsi="Times New Roman" w:cs="Times New Roman"/>
          <w:noProof/>
          <w:sz w:val="24"/>
          <w:szCs w:val="24"/>
        </w:rPr>
      </w:pPr>
      <w:r>
        <w:rPr>
          <w:rFonts w:ascii="Times New Roman" w:hAnsi="Times New Roman"/>
          <w:noProof/>
          <w:sz w:val="24"/>
          <w:szCs w:val="24"/>
        </w:rPr>
        <w:t>Les graphiques ci-dessous présentent des informations sur la proportion de réponses à des demandes mentionnant une ou plusieurs condamnations, de réponses n’en mentionnant aucune et d’autres réponses, sur une base annuelle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et en moyenne sur toute la période de fonctionnement de l’ECRIS.</w:t>
      </w:r>
    </w:p>
    <w:p>
      <w:pPr>
        <w:jc w:val="center"/>
        <w:rPr>
          <w:rFonts w:ascii="Times New Roman" w:hAnsi="Times New Roman" w:cs="Times New Roman"/>
          <w:noProof/>
          <w:sz w:val="24"/>
          <w:szCs w:val="24"/>
        </w:rPr>
      </w:pPr>
      <w:r>
        <w:rPr>
          <w:noProof/>
          <w:lang w:val="en-GB"/>
        </w:rPr>
        <w:drawing>
          <wp:inline distT="0" distB="0" distL="0" distR="0">
            <wp:extent cx="4937760" cy="2480583"/>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54242" cy="2488863"/>
                    </a:xfrm>
                    <a:prstGeom prst="rect">
                      <a:avLst/>
                    </a:prstGeom>
                  </pic:spPr>
                </pic:pic>
              </a:graphicData>
            </a:graphic>
          </wp:inline>
        </w:drawing>
      </w:r>
    </w:p>
    <w:p>
      <w:pPr>
        <w:jc w:val="center"/>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r>
        <w:rPr>
          <w:rFonts w:ascii="Times New Roman" w:hAnsi="Times New Roman"/>
          <w:noProof/>
          <w:sz w:val="24"/>
          <w:szCs w:val="24"/>
        </w:rPr>
        <w:t xml:space="preserve">Depuis la première année de fonctionnement de l’ECRIS, </w:t>
      </w:r>
      <w:r>
        <w:rPr>
          <w:rFonts w:ascii="Times New Roman" w:hAnsi="Times New Roman"/>
          <w:b/>
          <w:bCs/>
          <w:noProof/>
          <w:sz w:val="24"/>
          <w:szCs w:val="24"/>
        </w:rPr>
        <w:t>26 % des réponses en moyenne ont inclus des informations sur de précédentes condamnations</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Autrement dit, </w:t>
      </w:r>
      <w:r>
        <w:rPr>
          <w:rFonts w:ascii="Times New Roman" w:hAnsi="Times New Roman"/>
          <w:b/>
          <w:bCs/>
          <w:noProof/>
          <w:sz w:val="24"/>
          <w:szCs w:val="24"/>
        </w:rPr>
        <w:t>dans un cas sur quatre, la personne concernée avait déjà été condamnée</w:t>
      </w:r>
      <w:r>
        <w:rPr>
          <w:rFonts w:ascii="Times New Roman" w:hAnsi="Times New Roman"/>
          <w:noProof/>
          <w:sz w:val="24"/>
          <w:szCs w:val="24"/>
        </w:rPr>
        <w:t xml:space="preserve"> une ou plusieurs fois, ce qui prouve la valeur de l’ECRIS en tant qu’outil permettant d’obtenir des informations sur les casiers judiciaires. </w:t>
      </w: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r>
        <w:rPr>
          <w:rFonts w:ascii="Times New Roman" w:hAnsi="Times New Roman"/>
          <w:noProof/>
          <w:sz w:val="24"/>
          <w:szCs w:val="24"/>
        </w:rPr>
        <w:t xml:space="preserve">Pendant de nombreuses années, jusqu’en 2018, ce pourcentage est resté stable aux alentours de 30 %, avant de </w:t>
      </w:r>
      <w:r>
        <w:rPr>
          <w:rFonts w:ascii="Times New Roman" w:hAnsi="Times New Roman"/>
          <w:b/>
          <w:bCs/>
          <w:noProof/>
          <w:sz w:val="24"/>
          <w:szCs w:val="24"/>
        </w:rPr>
        <w:t>chuter soudainement en 2019 à 19 %</w:t>
      </w:r>
      <w:r>
        <w:rPr>
          <w:rFonts w:ascii="Times New Roman" w:hAnsi="Times New Roman"/>
          <w:noProof/>
          <w:sz w:val="24"/>
          <w:szCs w:val="24"/>
        </w:rPr>
        <w:t>, parallèlement à la hausse spectaculaire du nombre de demandes à des fins autres que les procédures pénales. Le fait que la majorité des personnes ayant fait l’objet de demandes d’informations relatives, entre autres, à un recrutement, à une licence ou à une procédure administrative n’ont pas eu de condamnations précédentes est un signe positif.</w:t>
      </w: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r>
        <w:rPr>
          <w:rFonts w:ascii="Times New Roman" w:hAnsi="Times New Roman"/>
          <w:noProof/>
          <w:sz w:val="24"/>
          <w:szCs w:val="24"/>
        </w:rPr>
        <w:t>En </w:t>
      </w:r>
      <w:r>
        <w:rPr>
          <w:rFonts w:ascii="Times New Roman" w:hAnsi="Times New Roman"/>
          <w:b/>
          <w:bCs/>
          <w:noProof/>
          <w:sz w:val="24"/>
          <w:szCs w:val="24"/>
        </w:rPr>
        <w:t>2019</w:t>
      </w:r>
      <w:r>
        <w:rPr>
          <w:rFonts w:ascii="Times New Roman" w:hAnsi="Times New Roman"/>
          <w:noProof/>
          <w:sz w:val="24"/>
          <w:szCs w:val="24"/>
        </w:rPr>
        <w:t xml:space="preserve">, cela représentait plus de </w:t>
      </w:r>
      <w:r>
        <w:rPr>
          <w:rFonts w:ascii="Times New Roman" w:hAnsi="Times New Roman"/>
          <w:b/>
          <w:bCs/>
          <w:noProof/>
          <w:sz w:val="24"/>
          <w:szCs w:val="24"/>
        </w:rPr>
        <w:t>188 000 réponses à l’ensemble des demandes, contenant des informations sur des condamnations</w:t>
      </w:r>
      <w:r>
        <w:rPr>
          <w:rFonts w:ascii="Times New Roman" w:hAnsi="Times New Roman"/>
          <w:noProof/>
          <w:sz w:val="24"/>
          <w:szCs w:val="24"/>
        </w:rPr>
        <w:t xml:space="preserve"> (contre 105 000 en 2016).</w:t>
      </w:r>
      <w:r>
        <w:rPr>
          <w:rFonts w:ascii="Times New Roman" w:hAnsi="Times New Roman"/>
          <w:b/>
          <w:noProof/>
          <w:sz w:val="24"/>
          <w:szCs w:val="24"/>
        </w:rPr>
        <w:t xml:space="preserve"> </w:t>
      </w:r>
      <w:r>
        <w:rPr>
          <w:rFonts w:ascii="Times New Roman" w:hAnsi="Times New Roman"/>
          <w:noProof/>
          <w:sz w:val="24"/>
          <w:szCs w:val="24"/>
        </w:rPr>
        <w:t>Les réponses ne mentionnant aucune information sur des condamnations ont constitué en moyenne 74 % et les autres réponses 7 %.</w:t>
      </w:r>
    </w:p>
    <w:p>
      <w:pPr>
        <w:rPr>
          <w:rStyle w:val="Hyperlink"/>
          <w:rFonts w:ascii="Times New Roman" w:hAnsi="Times New Roman" w:cs="Times New Roman"/>
          <w:noProof/>
          <w:color w:val="auto"/>
          <w:sz w:val="24"/>
          <w:szCs w:val="24"/>
          <w:u w:val="none"/>
        </w:rPr>
      </w:pPr>
      <w:bookmarkStart w:id="29" w:name="_Toc479267027"/>
      <w:bookmarkStart w:id="30" w:name="_Toc479267028"/>
      <w:bookmarkStart w:id="31" w:name="_Toc479267029"/>
      <w:bookmarkStart w:id="32" w:name="_Toc479267030"/>
      <w:bookmarkStart w:id="33" w:name="_Toc479267031"/>
      <w:bookmarkStart w:id="34" w:name="_Toc479267032"/>
      <w:bookmarkStart w:id="35" w:name="_Toc479267033"/>
      <w:bookmarkStart w:id="36" w:name="_Toc479267034"/>
      <w:bookmarkStart w:id="37" w:name="_Toc479267035"/>
      <w:bookmarkStart w:id="38" w:name="_Toc479267036"/>
      <w:bookmarkStart w:id="39" w:name="_Toc479267037"/>
      <w:bookmarkStart w:id="40" w:name="_Toc479267038"/>
      <w:bookmarkStart w:id="41" w:name="_Toc479267039"/>
      <w:bookmarkStart w:id="42" w:name="_Toc479267040"/>
      <w:bookmarkStart w:id="43" w:name="_Toc479267041"/>
      <w:bookmarkStart w:id="44" w:name="_Toc479267042"/>
      <w:bookmarkStart w:id="45" w:name="_Toc479267043"/>
      <w:bookmarkStart w:id="46" w:name="_Toc479267044"/>
      <w:bookmarkStart w:id="47" w:name="_Toc479267045"/>
      <w:bookmarkStart w:id="48" w:name="_Toc479267046"/>
      <w:bookmarkStart w:id="49" w:name="_Toc479267047"/>
      <w:bookmarkStart w:id="50" w:name="_Toc479267048"/>
      <w:bookmarkStart w:id="51" w:name="_Toc479267049"/>
      <w:bookmarkStart w:id="52" w:name="_Toc479267050"/>
      <w:bookmarkStart w:id="53" w:name="_Toc479267051"/>
      <w:bookmarkStart w:id="54" w:name="_Toc479267052"/>
      <w:bookmarkStart w:id="55" w:name="_Toc479267053"/>
      <w:bookmarkStart w:id="56" w:name="_Toc479267054"/>
      <w:bookmarkStart w:id="57" w:name="_Toc479267055"/>
      <w:bookmarkStart w:id="58" w:name="_Toc479267056"/>
      <w:bookmarkStart w:id="59" w:name="_Toc479267057"/>
      <w:bookmarkStart w:id="60" w:name="_Toc479267058"/>
      <w:bookmarkStart w:id="61" w:name="_Toc479267059"/>
      <w:bookmarkStart w:id="62" w:name="_Toc479267060"/>
      <w:bookmarkStart w:id="63" w:name="_Toc479267061"/>
      <w:bookmarkStart w:id="64" w:name="_Toc479267062"/>
      <w:bookmarkStart w:id="65" w:name="_Toc479267063"/>
      <w:bookmarkStart w:id="66" w:name="_Toc479267064"/>
      <w:bookmarkStart w:id="67" w:name="_Toc479267065"/>
      <w:bookmarkStart w:id="68" w:name="_Toc479267066"/>
      <w:bookmarkStart w:id="69" w:name="_Toc479267067"/>
      <w:bookmarkStart w:id="70" w:name="_Toc479267068"/>
      <w:bookmarkStart w:id="71" w:name="_Toc479267069"/>
      <w:bookmarkStart w:id="72" w:name="_Toc479267070"/>
      <w:bookmarkStart w:id="73" w:name="_Toc479267071"/>
      <w:bookmarkStart w:id="74" w:name="_Toc479267072"/>
      <w:bookmarkStart w:id="75" w:name="_Toc479267073"/>
      <w:bookmarkStart w:id="76" w:name="_Toc479267074"/>
      <w:bookmarkStart w:id="77" w:name="_Toc479267075"/>
      <w:bookmarkStart w:id="78" w:name="_Toc479267076"/>
      <w:bookmarkStart w:id="79" w:name="_Toc479267077"/>
      <w:bookmarkStart w:id="80" w:name="_Toc479267078"/>
      <w:bookmarkStart w:id="81" w:name="_Toc479267079"/>
      <w:bookmarkStart w:id="82" w:name="_Toc479267080"/>
      <w:bookmarkStart w:id="83" w:name="_Toc479267081"/>
      <w:bookmarkStart w:id="84" w:name="_Toc479267082"/>
      <w:bookmarkStart w:id="85" w:name="_Toc479267083"/>
      <w:bookmarkStart w:id="86" w:name="_Toc479267084"/>
      <w:bookmarkStart w:id="87" w:name="_Toc479267085"/>
      <w:bookmarkStart w:id="88" w:name="_Toc479267086"/>
      <w:bookmarkStart w:id="89" w:name="_Toc479267087"/>
      <w:bookmarkStart w:id="90" w:name="_Toc479267088"/>
      <w:bookmarkStart w:id="91" w:name="_Toc479267089"/>
      <w:bookmarkStart w:id="92" w:name="_Toc479267090"/>
      <w:bookmarkStart w:id="93" w:name="_Toc479267091"/>
      <w:bookmarkStart w:id="94" w:name="_Toc479267092"/>
      <w:bookmarkStart w:id="95" w:name="_Toc479267093"/>
      <w:bookmarkStart w:id="96" w:name="_Toc479267094"/>
      <w:bookmarkStart w:id="97" w:name="_Toc479267095"/>
      <w:bookmarkStart w:id="98" w:name="_Toc479267096"/>
      <w:bookmarkStart w:id="99" w:name="_Toc479267097"/>
      <w:bookmarkStart w:id="100" w:name="_Toc479267098"/>
      <w:bookmarkStart w:id="101" w:name="_Toc479267099"/>
      <w:bookmarkStart w:id="102" w:name="_Toc479267100"/>
      <w:bookmarkStart w:id="103" w:name="_Toc479267101"/>
      <w:bookmarkStart w:id="104" w:name="_Toc479267102"/>
      <w:bookmarkStart w:id="105" w:name="_Toc479267103"/>
      <w:bookmarkStart w:id="106" w:name="_Toc479267104"/>
      <w:bookmarkStart w:id="107" w:name="_Toc479267105"/>
      <w:bookmarkStart w:id="108" w:name="_Toc479267106"/>
      <w:bookmarkStart w:id="109" w:name="_Toc479267107"/>
      <w:bookmarkStart w:id="110" w:name="_Toc479267108"/>
      <w:bookmarkStart w:id="111" w:name="_Toc479267109"/>
      <w:bookmarkStart w:id="112" w:name="_Toc479267110"/>
      <w:bookmarkStart w:id="113" w:name="_Toc479267111"/>
      <w:bookmarkStart w:id="114" w:name="_Toc479267112"/>
      <w:bookmarkStart w:id="115" w:name="_Toc479267113"/>
      <w:bookmarkStart w:id="116" w:name="_Toc479267114"/>
      <w:bookmarkStart w:id="117" w:name="_Toc479267115"/>
      <w:bookmarkStart w:id="118" w:name="_Toc479267116"/>
      <w:bookmarkStart w:id="119" w:name="_Toc479267117"/>
      <w:bookmarkStart w:id="120" w:name="_Toc479267118"/>
      <w:bookmarkStart w:id="121" w:name="_Toc479267119"/>
      <w:bookmarkStart w:id="122" w:name="_Toc479267120"/>
      <w:bookmarkStart w:id="123" w:name="_Toc479267121"/>
      <w:bookmarkStart w:id="124" w:name="_Toc479267122"/>
      <w:bookmarkStart w:id="125" w:name="_Toc479267123"/>
      <w:bookmarkStart w:id="126" w:name="_Toc479267124"/>
      <w:bookmarkStart w:id="127" w:name="_Toc479267125"/>
      <w:bookmarkStart w:id="128" w:name="_Toc479267126"/>
      <w:bookmarkStart w:id="129" w:name="_Toc479267127"/>
      <w:bookmarkStart w:id="130" w:name="_Toc479267128"/>
      <w:bookmarkStart w:id="131" w:name="_Toc479267129"/>
      <w:bookmarkStart w:id="132" w:name="_Toc479267130"/>
      <w:bookmarkStart w:id="133" w:name="_Toc479267131"/>
      <w:bookmarkStart w:id="134" w:name="_Toc479267132"/>
      <w:bookmarkStart w:id="135" w:name="_Toc479267133"/>
      <w:bookmarkStart w:id="136" w:name="_Toc479267134"/>
      <w:bookmarkStart w:id="137" w:name="_Toc479267135"/>
      <w:bookmarkStart w:id="138" w:name="_Toc479267136"/>
      <w:bookmarkStart w:id="139" w:name="_Toc479267137"/>
      <w:bookmarkStart w:id="140" w:name="_Toc479267138"/>
      <w:bookmarkStart w:id="141" w:name="_Toc479267139"/>
      <w:bookmarkStart w:id="142" w:name="_Toc479267140"/>
      <w:bookmarkStart w:id="143" w:name="_Toc479267141"/>
      <w:bookmarkStart w:id="144" w:name="_Toc479267142"/>
      <w:bookmarkStart w:id="145" w:name="_Toc479267143"/>
      <w:bookmarkStart w:id="146" w:name="_Toc479267144"/>
      <w:bookmarkStart w:id="147" w:name="_Toc479267145"/>
      <w:bookmarkStart w:id="148" w:name="_Toc479267146"/>
      <w:bookmarkStart w:id="149" w:name="_Toc479267147"/>
      <w:bookmarkStart w:id="150" w:name="_Toc479267148"/>
      <w:bookmarkStart w:id="151" w:name="_Toc479267149"/>
      <w:bookmarkStart w:id="152" w:name="_Toc479267150"/>
      <w:bookmarkStart w:id="153" w:name="_Toc479267151"/>
      <w:bookmarkStart w:id="154" w:name="_Toc479267152"/>
      <w:bookmarkStart w:id="155" w:name="_Toc479267153"/>
      <w:bookmarkStart w:id="156" w:name="_Toc479267154"/>
      <w:bookmarkStart w:id="157" w:name="_Toc479267155"/>
      <w:bookmarkStart w:id="158" w:name="_Toc479267156"/>
      <w:bookmarkStart w:id="159" w:name="_Toc479267157"/>
      <w:bookmarkStart w:id="160" w:name="_Toc479267158"/>
      <w:bookmarkStart w:id="161" w:name="_Toc479267159"/>
      <w:bookmarkStart w:id="162" w:name="_Toc479267160"/>
      <w:bookmarkStart w:id="163" w:name="_Toc479267161"/>
      <w:bookmarkStart w:id="164" w:name="_Toc479267162"/>
      <w:bookmarkStart w:id="165" w:name="_Toc479267163"/>
      <w:bookmarkStart w:id="166" w:name="_Toc479267164"/>
      <w:bookmarkStart w:id="167" w:name="_Toc479267165"/>
      <w:bookmarkStart w:id="168" w:name="_Toc47926716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jc w:val="both"/>
        <w:rPr>
          <w:rFonts w:ascii="Times New Roman" w:hAnsi="Times New Roman" w:cs="Times New Roman"/>
          <w:b/>
          <w:smallCaps/>
          <w:noProof/>
          <w:kern w:val="28"/>
          <w:sz w:val="24"/>
          <w:szCs w:val="24"/>
        </w:rPr>
      </w:pPr>
      <w:r>
        <w:rPr>
          <w:rFonts w:ascii="Times New Roman" w:hAnsi="Times New Roman"/>
          <w:b/>
          <w:noProof/>
          <w:sz w:val="24"/>
          <w:szCs w:val="24"/>
        </w:rPr>
        <w:t xml:space="preserve">3. Principales observations </w:t>
      </w:r>
    </w:p>
    <w:p>
      <w:pPr>
        <w:numPr>
          <w:ilvl w:val="0"/>
          <w:numId w:val="27"/>
        </w:numPr>
        <w:ind w:left="714" w:hanging="357"/>
        <w:jc w:val="both"/>
        <w:rPr>
          <w:rFonts w:ascii="Times New Roman" w:hAnsi="Times New Roman" w:cs="Times New Roman"/>
          <w:noProof/>
          <w:sz w:val="24"/>
          <w:szCs w:val="24"/>
        </w:rPr>
      </w:pPr>
      <w:r>
        <w:rPr>
          <w:rFonts w:ascii="Times New Roman" w:hAnsi="Times New Roman"/>
          <w:b/>
          <w:noProof/>
          <w:sz w:val="24"/>
          <w:szCs w:val="24"/>
        </w:rPr>
        <w:t>En 2019, les 28 États membres utilisaient tous activement l’ECRIS mais 9,8 % des interconnexions potentielles étaient toujours absentes</w:t>
      </w:r>
    </w:p>
    <w:p>
      <w:pPr>
        <w:jc w:val="both"/>
        <w:rPr>
          <w:rFonts w:ascii="Times New Roman" w:hAnsi="Times New Roman" w:cs="Times New Roman"/>
          <w:noProof/>
          <w:sz w:val="24"/>
          <w:szCs w:val="24"/>
        </w:rPr>
      </w:pPr>
      <w:r>
        <w:rPr>
          <w:rFonts w:ascii="Times New Roman" w:hAnsi="Times New Roman"/>
          <w:noProof/>
          <w:sz w:val="24"/>
          <w:szCs w:val="24"/>
        </w:rPr>
        <w:t xml:space="preserve">Après huit années de fonctionnement de l’ECRIS, </w:t>
      </w:r>
      <w:r>
        <w:rPr>
          <w:rFonts w:ascii="Times New Roman" w:hAnsi="Times New Roman"/>
          <w:b/>
          <w:bCs/>
          <w:noProof/>
          <w:sz w:val="24"/>
          <w:szCs w:val="24"/>
        </w:rPr>
        <w:t>les 28 États membres</w:t>
      </w:r>
      <w:r>
        <w:rPr>
          <w:rFonts w:ascii="Times New Roman" w:hAnsi="Times New Roman"/>
          <w:noProof/>
          <w:sz w:val="24"/>
          <w:szCs w:val="24"/>
        </w:rPr>
        <w:t xml:space="preserve"> étaient </w:t>
      </w:r>
      <w:r>
        <w:rPr>
          <w:rFonts w:ascii="Times New Roman" w:hAnsi="Times New Roman"/>
          <w:b/>
          <w:bCs/>
          <w:noProof/>
          <w:sz w:val="24"/>
          <w:szCs w:val="24"/>
        </w:rPr>
        <w:t>tous</w:t>
      </w:r>
      <w:r>
        <w:rPr>
          <w:rFonts w:ascii="Times New Roman" w:hAnsi="Times New Roman"/>
          <w:noProof/>
          <w:sz w:val="24"/>
          <w:szCs w:val="24"/>
        </w:rPr>
        <w:t xml:space="preserve"> </w:t>
      </w:r>
      <w:r>
        <w:rPr>
          <w:rFonts w:ascii="Times New Roman" w:hAnsi="Times New Roman"/>
          <w:b/>
          <w:bCs/>
          <w:noProof/>
          <w:sz w:val="24"/>
          <w:szCs w:val="24"/>
        </w:rPr>
        <w:t>connectés à l’ECRIS</w:t>
      </w:r>
      <w:r>
        <w:rPr>
          <w:rFonts w:ascii="Times New Roman" w:hAnsi="Times New Roman"/>
          <w:noProof/>
          <w:sz w:val="24"/>
          <w:szCs w:val="24"/>
        </w:rPr>
        <w:t>. Toutefois, un seul d’entre eux (ES) échange à ce jour des informations avec l’ensemble des 27 autres États membres.</w:t>
      </w:r>
      <w:r>
        <w:rPr>
          <w:rFonts w:ascii="Times New Roman" w:hAnsi="Times New Roman"/>
          <w:b/>
          <w:noProof/>
          <w:sz w:val="24"/>
          <w:szCs w:val="24"/>
        </w:rPr>
        <w:t xml:space="preserve"> </w:t>
      </w:r>
      <w:r>
        <w:rPr>
          <w:rFonts w:ascii="Times New Roman" w:hAnsi="Times New Roman"/>
          <w:b/>
          <w:bCs/>
          <w:noProof/>
          <w:sz w:val="24"/>
          <w:szCs w:val="24"/>
        </w:rPr>
        <w:t>En moyenne, chaque État membre dispose de 24 connexions actives</w:t>
      </w:r>
      <w:r>
        <w:rPr>
          <w:rFonts w:ascii="Times New Roman" w:hAnsi="Times New Roman"/>
          <w:noProof/>
          <w:sz w:val="24"/>
          <w:szCs w:val="24"/>
        </w:rPr>
        <w:t xml:space="preserve"> avec les autres États membres. Fin 2019, </w:t>
      </w:r>
      <w:r>
        <w:rPr>
          <w:rFonts w:ascii="Times New Roman" w:hAnsi="Times New Roman"/>
          <w:b/>
          <w:bCs/>
          <w:noProof/>
          <w:sz w:val="24"/>
          <w:szCs w:val="24"/>
        </w:rPr>
        <w:t>90 % du nombre total d’interconnexions possibles</w:t>
      </w:r>
      <w:r>
        <w:rPr>
          <w:rFonts w:ascii="Times New Roman" w:hAnsi="Times New Roman"/>
          <w:noProof/>
          <w:sz w:val="24"/>
          <w:szCs w:val="24"/>
        </w:rPr>
        <w:t xml:space="preserve"> avaient été établies.</w:t>
      </w:r>
    </w:p>
    <w:p>
      <w:pPr>
        <w:numPr>
          <w:ilvl w:val="0"/>
          <w:numId w:val="27"/>
        </w:numPr>
        <w:ind w:left="714" w:hanging="357"/>
        <w:jc w:val="both"/>
        <w:rPr>
          <w:rFonts w:ascii="Times New Roman" w:hAnsi="Times New Roman"/>
          <w:b/>
          <w:noProof/>
          <w:sz w:val="24"/>
        </w:rPr>
      </w:pPr>
      <w:r>
        <w:rPr>
          <w:rFonts w:ascii="Times New Roman" w:hAnsi="Times New Roman"/>
          <w:b/>
          <w:noProof/>
          <w:sz w:val="24"/>
          <w:szCs w:val="24"/>
        </w:rPr>
        <w:t>Le nombre de messages échangés a atteint 4,2 millions en 2019</w:t>
      </w:r>
    </w:p>
    <w:p>
      <w:pPr>
        <w:jc w:val="both"/>
        <w:rPr>
          <w:rFonts w:ascii="Times New Roman" w:hAnsi="Times New Roman" w:cs="Times New Roman"/>
          <w:noProof/>
          <w:sz w:val="24"/>
          <w:szCs w:val="24"/>
        </w:rPr>
      </w:pPr>
      <w:r>
        <w:rPr>
          <w:rFonts w:ascii="Times New Roman" w:hAnsi="Times New Roman"/>
          <w:noProof/>
          <w:sz w:val="24"/>
          <w:szCs w:val="24"/>
        </w:rPr>
        <w:t xml:space="preserve">Si, en 2016, 2 millions de messages avaient été échangés par tous les États membres interconnectés, ce nombre </w:t>
      </w:r>
      <w:r>
        <w:rPr>
          <w:rFonts w:ascii="Times New Roman" w:hAnsi="Times New Roman"/>
          <w:b/>
          <w:bCs/>
          <w:noProof/>
          <w:sz w:val="24"/>
          <w:szCs w:val="24"/>
        </w:rPr>
        <w:t>a doublé en 2019 pour atteindre 4,2 millions</w:t>
      </w:r>
      <w:r>
        <w:rPr>
          <w:rFonts w:ascii="Times New Roman" w:hAnsi="Times New Roman"/>
          <w:noProof/>
          <w:sz w:val="24"/>
          <w:szCs w:val="24"/>
        </w:rPr>
        <w:t xml:space="preserve">, avec </w:t>
      </w:r>
      <w:r>
        <w:rPr>
          <w:rFonts w:ascii="Times New Roman" w:hAnsi="Times New Roman"/>
          <w:b/>
          <w:bCs/>
          <w:noProof/>
          <w:sz w:val="24"/>
          <w:szCs w:val="24"/>
        </w:rPr>
        <w:t>en moyenne 348 000 messages par mois</w:t>
      </w:r>
      <w:r>
        <w:rPr>
          <w:rFonts w:ascii="Times New Roman" w:hAnsi="Times New Roman"/>
          <w:noProof/>
          <w:sz w:val="24"/>
          <w:szCs w:val="24"/>
        </w:rPr>
        <w:t xml:space="preserve">. Ces trois dernières années ont marqué un </w:t>
      </w:r>
      <w:r>
        <w:rPr>
          <w:rFonts w:ascii="Times New Roman" w:hAnsi="Times New Roman"/>
          <w:b/>
          <w:bCs/>
          <w:noProof/>
          <w:sz w:val="24"/>
          <w:szCs w:val="24"/>
        </w:rPr>
        <w:t xml:space="preserve">changement radical dans les proportions </w:t>
      </w:r>
      <w:r>
        <w:rPr>
          <w:rFonts w:ascii="Times New Roman" w:hAnsi="Times New Roman"/>
          <w:noProof/>
          <w:sz w:val="24"/>
          <w:szCs w:val="24"/>
        </w:rPr>
        <w:t xml:space="preserve">entre le nombre de notifications, de demandes et de réponses aux demandes – avec un </w:t>
      </w:r>
      <w:r>
        <w:rPr>
          <w:rFonts w:ascii="Times New Roman" w:hAnsi="Times New Roman"/>
          <w:b/>
          <w:noProof/>
          <w:sz w:val="24"/>
          <w:szCs w:val="24"/>
        </w:rPr>
        <w:t xml:space="preserve">nombre de demandes d’informations </w:t>
      </w:r>
      <w:r>
        <w:rPr>
          <w:rFonts w:ascii="Times New Roman" w:hAnsi="Times New Roman"/>
          <w:bCs/>
          <w:noProof/>
          <w:sz w:val="24"/>
          <w:szCs w:val="24"/>
        </w:rPr>
        <w:t>devenant</w:t>
      </w:r>
      <w:r>
        <w:rPr>
          <w:rFonts w:ascii="Times New Roman" w:hAnsi="Times New Roman"/>
          <w:b/>
          <w:noProof/>
          <w:sz w:val="24"/>
          <w:szCs w:val="24"/>
        </w:rPr>
        <w:t xml:space="preserve"> plus de trois fois plus élevé que le nombre de notifications</w:t>
      </w:r>
      <w:r>
        <w:rPr>
          <w:rFonts w:ascii="Times New Roman" w:hAnsi="Times New Roman"/>
          <w:bCs/>
          <w:noProof/>
          <w:sz w:val="24"/>
          <w:szCs w:val="24"/>
        </w:rPr>
        <w:t>.</w:t>
      </w:r>
    </w:p>
    <w:p>
      <w:pPr>
        <w:numPr>
          <w:ilvl w:val="0"/>
          <w:numId w:val="27"/>
        </w:numPr>
        <w:ind w:left="714" w:hanging="357"/>
        <w:jc w:val="both"/>
        <w:rPr>
          <w:rFonts w:ascii="Times New Roman" w:hAnsi="Times New Roman"/>
          <w:b/>
          <w:noProof/>
          <w:sz w:val="24"/>
        </w:rPr>
      </w:pPr>
      <w:r>
        <w:rPr>
          <w:rFonts w:ascii="Times New Roman" w:hAnsi="Times New Roman"/>
          <w:b/>
          <w:noProof/>
          <w:sz w:val="24"/>
          <w:szCs w:val="24"/>
        </w:rPr>
        <w:t xml:space="preserve">Diminution du nombre de notifications relatives à de nouvelles condamnations — un grand nombre de condamnations ne sont pas notifiées </w:t>
      </w:r>
    </w:p>
    <w:p>
      <w:pPr>
        <w:jc w:val="both"/>
        <w:rPr>
          <w:rFonts w:ascii="Times New Roman" w:hAnsi="Times New Roman" w:cs="Times New Roman"/>
          <w:noProof/>
          <w:sz w:val="24"/>
          <w:szCs w:val="24"/>
        </w:rPr>
      </w:pPr>
      <w:r>
        <w:rPr>
          <w:rFonts w:ascii="Times New Roman" w:hAnsi="Times New Roman"/>
          <w:noProof/>
          <w:sz w:val="24"/>
          <w:szCs w:val="24"/>
        </w:rPr>
        <w:t xml:space="preserve">En 2017, </w:t>
      </w:r>
      <w:r>
        <w:rPr>
          <w:rFonts w:ascii="Times New Roman" w:hAnsi="Times New Roman"/>
          <w:b/>
          <w:bCs/>
          <w:noProof/>
          <w:sz w:val="24"/>
          <w:szCs w:val="24"/>
        </w:rPr>
        <w:t>le nombre de notifications relatives à de nouvelles condamnations a diminué</w:t>
      </w:r>
      <w:r>
        <w:rPr>
          <w:rFonts w:ascii="Times New Roman" w:hAnsi="Times New Roman"/>
          <w:noProof/>
          <w:sz w:val="24"/>
          <w:szCs w:val="24"/>
        </w:rPr>
        <w:t xml:space="preserve"> et s’est maintenu à environ </w:t>
      </w:r>
      <w:r>
        <w:rPr>
          <w:rFonts w:ascii="Times New Roman" w:hAnsi="Times New Roman"/>
          <w:b/>
          <w:bCs/>
          <w:noProof/>
          <w:sz w:val="24"/>
          <w:szCs w:val="24"/>
        </w:rPr>
        <w:t>310 000 jusqu’en 2019</w:t>
      </w:r>
      <w:r>
        <w:rPr>
          <w:rFonts w:ascii="Times New Roman" w:hAnsi="Times New Roman"/>
          <w:noProof/>
          <w:sz w:val="24"/>
          <w:szCs w:val="24"/>
        </w:rPr>
        <w:t xml:space="preserve">. Cette tendance à la baisse est surprenante compte tenu du nombre croissant d’interconnexions entre les États membres. </w:t>
      </w:r>
    </w:p>
    <w:p>
      <w:pPr>
        <w:jc w:val="both"/>
        <w:rPr>
          <w:rFonts w:ascii="Times New Roman" w:hAnsi="Times New Roman" w:cs="Times New Roman"/>
          <w:noProof/>
          <w:sz w:val="24"/>
          <w:szCs w:val="24"/>
        </w:rPr>
      </w:pPr>
      <w:r>
        <w:rPr>
          <w:rFonts w:ascii="Times New Roman" w:hAnsi="Times New Roman"/>
          <w:noProof/>
          <w:sz w:val="24"/>
          <w:szCs w:val="24"/>
        </w:rPr>
        <w:t xml:space="preserve">Certaines années, </w:t>
      </w:r>
      <w:r>
        <w:rPr>
          <w:rFonts w:ascii="Times New Roman" w:hAnsi="Times New Roman"/>
          <w:b/>
          <w:bCs/>
          <w:noProof/>
          <w:sz w:val="24"/>
          <w:szCs w:val="24"/>
        </w:rPr>
        <w:t xml:space="preserve">plusieurs États membres </w:t>
      </w:r>
      <w:r>
        <w:rPr>
          <w:rFonts w:ascii="Times New Roman" w:hAnsi="Times New Roman"/>
          <w:b/>
          <w:noProof/>
          <w:sz w:val="24"/>
          <w:szCs w:val="24"/>
        </w:rPr>
        <w:t>n’ont pas du tout envoyé de notifications relatives à de nouvelles condamnations</w:t>
      </w:r>
      <w:r>
        <w:rPr>
          <w:rFonts w:ascii="Times New Roman" w:hAnsi="Times New Roman"/>
          <w:noProof/>
          <w:sz w:val="24"/>
          <w:szCs w:val="24"/>
        </w:rPr>
        <w:t xml:space="preserve"> (PT, MT, EE, EL) et </w:t>
      </w:r>
      <w:r>
        <w:rPr>
          <w:rFonts w:ascii="Times New Roman" w:hAnsi="Times New Roman"/>
          <w:b/>
          <w:noProof/>
          <w:sz w:val="24"/>
          <w:szCs w:val="24"/>
        </w:rPr>
        <w:t>nombreux sont ceux</w:t>
      </w:r>
      <w:r>
        <w:rPr>
          <w:rFonts w:ascii="Times New Roman" w:hAnsi="Times New Roman"/>
          <w:noProof/>
          <w:sz w:val="24"/>
          <w:szCs w:val="24"/>
        </w:rPr>
        <w:t xml:space="preserve"> </w:t>
      </w:r>
      <w:r>
        <w:rPr>
          <w:rFonts w:ascii="Times New Roman" w:hAnsi="Times New Roman"/>
          <w:b/>
          <w:noProof/>
          <w:sz w:val="24"/>
          <w:szCs w:val="24"/>
        </w:rPr>
        <w:t xml:space="preserve">qui ont envoyé un faible volume </w:t>
      </w:r>
      <w:r>
        <w:rPr>
          <w:rFonts w:ascii="Times New Roman" w:hAnsi="Times New Roman"/>
          <w:noProof/>
          <w:sz w:val="24"/>
          <w:szCs w:val="24"/>
        </w:rPr>
        <w:t xml:space="preserve">de ces notifications par rapport à leur population de ressortissants d’autres pays membres et par rapport au nombre de condamnations (BG, EE, EL, IE, LT, LU, MT, RO, SI, SE, PT, UK). Le défaut de notification est contraire à la législation relative à l’ECRIS et peut avoir de graves conséquences.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szCs w:val="24"/>
        </w:rPr>
        <w:t>Forte augmentation des demandes d’informations (1 million)</w:t>
      </w:r>
    </w:p>
    <w:p>
      <w:pPr>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bCs/>
          <w:noProof/>
          <w:sz w:val="24"/>
          <w:szCs w:val="24"/>
        </w:rPr>
        <w:t>nombre de demandes d’informations a triplé depuis 2017 pour atteindre 1 million</w:t>
      </w:r>
      <w:r>
        <w:rPr>
          <w:rFonts w:ascii="Times New Roman" w:hAnsi="Times New Roman"/>
          <w:noProof/>
          <w:sz w:val="24"/>
          <w:szCs w:val="24"/>
        </w:rPr>
        <w:t xml:space="preserve"> rien qu’en 2019. Cette</w:t>
      </w:r>
      <w:r>
        <w:rPr>
          <w:rFonts w:ascii="Times New Roman" w:hAnsi="Times New Roman"/>
          <w:b/>
          <w:noProof/>
          <w:sz w:val="24"/>
          <w:szCs w:val="24"/>
        </w:rPr>
        <w:t xml:space="preserve"> </w:t>
      </w:r>
      <w:r>
        <w:rPr>
          <w:rFonts w:ascii="Times New Roman" w:hAnsi="Times New Roman"/>
          <w:bCs/>
          <w:noProof/>
          <w:sz w:val="24"/>
          <w:szCs w:val="24"/>
        </w:rPr>
        <w:t>augmentation sensible</w:t>
      </w:r>
      <w:r>
        <w:rPr>
          <w:rFonts w:ascii="Times New Roman" w:hAnsi="Times New Roman"/>
          <w:b/>
          <w:noProof/>
          <w:sz w:val="24"/>
          <w:szCs w:val="24"/>
        </w:rPr>
        <w:t xml:space="preserve"> </w:t>
      </w:r>
      <w:r>
        <w:rPr>
          <w:rFonts w:ascii="Times New Roman" w:hAnsi="Times New Roman"/>
          <w:noProof/>
          <w:sz w:val="24"/>
          <w:szCs w:val="24"/>
        </w:rPr>
        <w:t xml:space="preserve">s’explique essentiellement par </w:t>
      </w:r>
      <w:r>
        <w:rPr>
          <w:rFonts w:ascii="Times New Roman" w:hAnsi="Times New Roman"/>
          <w:b/>
          <w:bCs/>
          <w:noProof/>
          <w:sz w:val="24"/>
          <w:szCs w:val="24"/>
        </w:rPr>
        <w:t xml:space="preserve">l’évolution dans l’utilisation de l’ECRIS, </w:t>
      </w:r>
      <w:r>
        <w:rPr>
          <w:rFonts w:ascii="Times New Roman" w:hAnsi="Times New Roman"/>
          <w:noProof/>
          <w:sz w:val="24"/>
          <w:szCs w:val="24"/>
        </w:rPr>
        <w:t xml:space="preserve">lequel n’est plus utilisé exclusivement ou même principalement aux fins de procédures pénales mais également – </w:t>
      </w:r>
      <w:r>
        <w:rPr>
          <w:rFonts w:ascii="Times New Roman" w:hAnsi="Times New Roman"/>
          <w:b/>
          <w:bCs/>
          <w:noProof/>
          <w:sz w:val="24"/>
          <w:szCs w:val="24"/>
        </w:rPr>
        <w:t>sur une base régulière — à des fins autres que les procédures pénales (par exemple, les contrôles préalables à l’embauche, les demandes relatives au propre casier judiciaire du demandeur, etc.).</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Cependant, le </w:t>
      </w:r>
      <w:r>
        <w:rPr>
          <w:rFonts w:ascii="Times New Roman" w:hAnsi="Times New Roman"/>
          <w:b/>
          <w:bCs/>
          <w:noProof/>
          <w:sz w:val="24"/>
          <w:szCs w:val="24"/>
        </w:rPr>
        <w:t>volume de demandes envoyées varie considérablement d’un État membre à l’autre</w:t>
      </w:r>
      <w:r>
        <w:rPr>
          <w:rFonts w:ascii="Times New Roman" w:hAnsi="Times New Roman"/>
          <w:noProof/>
          <w:sz w:val="24"/>
          <w:szCs w:val="24"/>
        </w:rPr>
        <w:t xml:space="preserve">, allant de 745 000 demandes (DE) à 6 demandes (EL) par an. L’augmentation du nombre total de demandes est principalement due à une hausse des demandes de DE.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L’ECRIS est utilisé à des fins autres que les procédures pénales tout aussi fréquemment qu’aux fins de procédures pénales</w:t>
      </w:r>
    </w:p>
    <w:p>
      <w:pPr>
        <w:jc w:val="both"/>
        <w:rPr>
          <w:rFonts w:ascii="Times New Roman" w:hAnsi="Times New Roman" w:cs="Times New Roman"/>
          <w:bCs/>
          <w:noProof/>
          <w:sz w:val="24"/>
          <w:szCs w:val="24"/>
        </w:rPr>
      </w:pPr>
      <w:r>
        <w:rPr>
          <w:rFonts w:ascii="Times New Roman" w:hAnsi="Times New Roman"/>
          <w:noProof/>
          <w:sz w:val="24"/>
          <w:szCs w:val="24"/>
        </w:rPr>
        <w:t xml:space="preserve">Pendant de nombreuses années, le pourcentage de demandes à des fins autres que des procédures pénales correspondait en moyenne à 20 %. En raison de la nouvelle approche adoptée par les États membres concernant l’utilisation de l’ECRIS et constatée depuis 2018, </w:t>
      </w:r>
      <w:r>
        <w:rPr>
          <w:rFonts w:ascii="Times New Roman" w:hAnsi="Times New Roman"/>
          <w:b/>
          <w:bCs/>
          <w:noProof/>
          <w:sz w:val="24"/>
          <w:szCs w:val="24"/>
        </w:rPr>
        <w:t>le système a commencé à être consulté aussi fréquemment aux fins de procédures pénales qu’à d’autres fins</w:t>
      </w:r>
      <w:r>
        <w:rPr>
          <w:rFonts w:ascii="Times New Roman" w:hAnsi="Times New Roman"/>
          <w:noProof/>
          <w:sz w:val="24"/>
          <w:szCs w:val="24"/>
        </w:rPr>
        <w:t xml:space="preserve"> (50/50 %). Le nombre de </w:t>
      </w:r>
      <w:r>
        <w:rPr>
          <w:rFonts w:ascii="Times New Roman" w:hAnsi="Times New Roman"/>
          <w:b/>
          <w:bCs/>
          <w:noProof/>
          <w:sz w:val="24"/>
          <w:szCs w:val="24"/>
        </w:rPr>
        <w:t>demandes envoyées à d’autres fins a dépassé le demi-million en 2019</w:t>
      </w:r>
      <w:r>
        <w:rPr>
          <w:rFonts w:ascii="Times New Roman" w:hAnsi="Times New Roman"/>
          <w:noProof/>
          <w:sz w:val="24"/>
          <w:szCs w:val="24"/>
        </w:rPr>
        <w:t>, soit plus de 6 fois plus qu’en 2016.</w:t>
      </w:r>
    </w:p>
    <w:p>
      <w:pPr>
        <w:jc w:val="both"/>
        <w:rPr>
          <w:rFonts w:ascii="Times New Roman" w:hAnsi="Times New Roman" w:cs="Times New Roman"/>
          <w:noProof/>
          <w:sz w:val="24"/>
          <w:szCs w:val="24"/>
        </w:rPr>
      </w:pPr>
      <w:r>
        <w:rPr>
          <w:rFonts w:ascii="Times New Roman" w:hAnsi="Times New Roman"/>
          <w:noProof/>
          <w:sz w:val="24"/>
          <w:szCs w:val="24"/>
        </w:rPr>
        <w:t>Cet accroissement des demandes s’explique essentiellement par l’</w:t>
      </w:r>
      <w:r>
        <w:rPr>
          <w:rFonts w:ascii="Times New Roman" w:hAnsi="Times New Roman"/>
          <w:b/>
          <w:bCs/>
          <w:noProof/>
          <w:sz w:val="24"/>
          <w:szCs w:val="24"/>
        </w:rPr>
        <w:t>augmentation significative des demandes de particuliers concernant leur propre casier judiciaire (356 000</w:t>
      </w:r>
      <w:r>
        <w:rPr>
          <w:rFonts w:ascii="Times New Roman" w:hAnsi="Times New Roman"/>
          <w:noProof/>
          <w:sz w:val="24"/>
          <w:szCs w:val="24"/>
        </w:rPr>
        <w:t xml:space="preserve"> en 2019, soit </w:t>
      </w:r>
      <w:r>
        <w:rPr>
          <w:rFonts w:ascii="Times New Roman" w:hAnsi="Times New Roman"/>
          <w:b/>
          <w:bCs/>
          <w:noProof/>
          <w:sz w:val="24"/>
          <w:szCs w:val="24"/>
        </w:rPr>
        <w:t>70 % des demandes à d’autres fins</w:t>
      </w:r>
      <w:r>
        <w:rPr>
          <w:rFonts w:ascii="Times New Roman" w:hAnsi="Times New Roman"/>
          <w:noProof/>
          <w:sz w:val="24"/>
          <w:szCs w:val="24"/>
        </w:rPr>
        <w:t xml:space="preserve">), ainsi que par les </w:t>
      </w:r>
      <w:r>
        <w:rPr>
          <w:rFonts w:ascii="Times New Roman" w:hAnsi="Times New Roman"/>
          <w:b/>
          <w:bCs/>
          <w:noProof/>
          <w:sz w:val="24"/>
          <w:szCs w:val="24"/>
        </w:rPr>
        <w:t>demandes aux fins d’un recrutement</w:t>
      </w:r>
      <w:r>
        <w:rPr>
          <w:rFonts w:ascii="Times New Roman" w:hAnsi="Times New Roman"/>
          <w:noProof/>
          <w:sz w:val="24"/>
          <w:szCs w:val="24"/>
        </w:rPr>
        <w:t xml:space="preserve"> pour des </w:t>
      </w:r>
      <w:r>
        <w:rPr>
          <w:rFonts w:ascii="Times New Roman" w:hAnsi="Times New Roman"/>
          <w:b/>
          <w:bCs/>
          <w:noProof/>
          <w:sz w:val="24"/>
          <w:szCs w:val="24"/>
        </w:rPr>
        <w:t>activités impliquant des contacts avec des enfants</w:t>
      </w:r>
      <w:r>
        <w:rPr>
          <w:rFonts w:ascii="Times New Roman" w:hAnsi="Times New Roman"/>
          <w:noProof/>
          <w:sz w:val="24"/>
          <w:szCs w:val="24"/>
        </w:rPr>
        <w:t xml:space="preserve">, en application de la </w:t>
      </w:r>
      <w:r>
        <w:rPr>
          <w:rFonts w:ascii="Times New Roman" w:hAnsi="Times New Roman"/>
          <w:b/>
          <w:bCs/>
          <w:noProof/>
          <w:sz w:val="24"/>
          <w:szCs w:val="24"/>
        </w:rPr>
        <w:t>directive 2011/93/UE (115 000</w:t>
      </w:r>
      <w:r>
        <w:rPr>
          <w:rFonts w:ascii="Times New Roman" w:hAnsi="Times New Roman"/>
          <w:noProof/>
          <w:sz w:val="24"/>
          <w:szCs w:val="24"/>
        </w:rPr>
        <w:t xml:space="preserve"> demandes — </w:t>
      </w:r>
      <w:r>
        <w:rPr>
          <w:rFonts w:ascii="Times New Roman" w:hAnsi="Times New Roman"/>
          <w:b/>
          <w:bCs/>
          <w:noProof/>
          <w:sz w:val="24"/>
          <w:szCs w:val="24"/>
        </w:rPr>
        <w:t>22 %</w:t>
      </w:r>
      <w:r>
        <w:rPr>
          <w:rFonts w:ascii="Times New Roman" w:hAnsi="Times New Roman"/>
          <w:noProof/>
          <w:sz w:val="24"/>
          <w:szCs w:val="24"/>
        </w:rPr>
        <w:t xml:space="preserve"> des demandes à d’autres fins).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szCs w:val="24"/>
        </w:rPr>
        <w:t xml:space="preserve">Une réponse sur quatre mentionne les précédentes condamnations pénales </w:t>
      </w:r>
    </w:p>
    <w:p>
      <w:pPr>
        <w:jc w:val="both"/>
        <w:rPr>
          <w:rFonts w:ascii="Times New Roman" w:hAnsi="Times New Roman" w:cs="Times New Roman"/>
          <w:noProof/>
          <w:sz w:val="24"/>
          <w:szCs w:val="24"/>
        </w:rPr>
      </w:pPr>
      <w:r>
        <w:rPr>
          <w:rFonts w:ascii="Times New Roman" w:hAnsi="Times New Roman"/>
          <w:noProof/>
          <w:sz w:val="24"/>
          <w:szCs w:val="24"/>
        </w:rPr>
        <w:t xml:space="preserve">Depuis la première année de fonctionnement de l’ECRIS, </w:t>
      </w:r>
      <w:r>
        <w:rPr>
          <w:rFonts w:ascii="Times New Roman" w:hAnsi="Times New Roman"/>
          <w:b/>
          <w:bCs/>
          <w:noProof/>
          <w:sz w:val="24"/>
          <w:szCs w:val="24"/>
        </w:rPr>
        <w:t>26 % en moyenne des demandes d’informations sur de précédentes condamnations d’une personne ont reçu une réponse où figuraient des informations sur de précédentes condamnations pénales</w:t>
      </w:r>
      <w:r>
        <w:rPr>
          <w:rFonts w:ascii="Times New Roman" w:hAnsi="Times New Roman"/>
          <w:noProof/>
          <w:sz w:val="24"/>
          <w:szCs w:val="24"/>
        </w:rPr>
        <w:t xml:space="preserve">. Pendant de nombreuses années, ce pourcentage est resté stable aux alentours de 30 %, avant de </w:t>
      </w:r>
      <w:r>
        <w:rPr>
          <w:rFonts w:ascii="Times New Roman" w:hAnsi="Times New Roman"/>
          <w:b/>
          <w:bCs/>
          <w:noProof/>
          <w:sz w:val="24"/>
          <w:szCs w:val="24"/>
        </w:rPr>
        <w:t>chuter soudainement en 2019 à 19 %</w:t>
      </w:r>
      <w:r>
        <w:rPr>
          <w:rFonts w:ascii="Times New Roman" w:hAnsi="Times New Roman"/>
          <w:noProof/>
          <w:sz w:val="24"/>
          <w:szCs w:val="24"/>
        </w:rPr>
        <w:t>, parallèlement à la croissance spectaculaire du nombre de demandes à des fins autres que les procédures pénales. De nouveau, en </w:t>
      </w:r>
      <w:r>
        <w:rPr>
          <w:rFonts w:ascii="Times New Roman" w:hAnsi="Times New Roman"/>
          <w:b/>
          <w:bCs/>
          <w:noProof/>
          <w:sz w:val="24"/>
          <w:szCs w:val="24"/>
        </w:rPr>
        <w:t>2019</w:t>
      </w:r>
      <w:r>
        <w:rPr>
          <w:rFonts w:ascii="Times New Roman" w:hAnsi="Times New Roman"/>
          <w:noProof/>
          <w:sz w:val="24"/>
          <w:szCs w:val="24"/>
        </w:rPr>
        <w:t xml:space="preserve">, plus de </w:t>
      </w:r>
      <w:r>
        <w:rPr>
          <w:rFonts w:ascii="Times New Roman" w:hAnsi="Times New Roman"/>
          <w:b/>
          <w:bCs/>
          <w:noProof/>
          <w:sz w:val="24"/>
          <w:szCs w:val="24"/>
        </w:rPr>
        <w:t>188 000 réponses à l’ensemble des demandes contenaient des informations sur de précédentes condamnations pénales</w:t>
      </w:r>
      <w:r>
        <w:rPr>
          <w:rFonts w:ascii="Times New Roman" w:hAnsi="Times New Roman"/>
          <w:noProof/>
          <w:sz w:val="24"/>
          <w:szCs w:val="24"/>
        </w:rPr>
        <w:t>.</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szCs w:val="24"/>
        </w:rPr>
        <w:t>Malgré l’augmentation générale du volume de mises à jour, de nombreuses mises à jour ne sont toujours pas notifiées</w:t>
      </w:r>
    </w:p>
    <w:p>
      <w:pPr>
        <w:jc w:val="both"/>
        <w:rPr>
          <w:rFonts w:ascii="Times New Roman" w:hAnsi="Times New Roman" w:cs="Times New Roman"/>
          <w:noProof/>
          <w:sz w:val="24"/>
          <w:szCs w:val="24"/>
        </w:rPr>
      </w:pPr>
      <w:r>
        <w:rPr>
          <w:rFonts w:ascii="Times New Roman" w:hAnsi="Times New Roman"/>
          <w:noProof/>
          <w:sz w:val="24"/>
          <w:szCs w:val="24"/>
        </w:rPr>
        <w:t xml:space="preserve">Une </w:t>
      </w:r>
      <w:r>
        <w:rPr>
          <w:rFonts w:ascii="Times New Roman" w:hAnsi="Times New Roman"/>
          <w:b/>
          <w:bCs/>
          <w:noProof/>
          <w:sz w:val="24"/>
          <w:szCs w:val="24"/>
        </w:rPr>
        <w:t>augmentation significative du nombre de notifications relatives à des mises à jour</w:t>
      </w:r>
      <w:r>
        <w:rPr>
          <w:rFonts w:ascii="Times New Roman" w:hAnsi="Times New Roman"/>
          <w:noProof/>
          <w:sz w:val="24"/>
          <w:szCs w:val="24"/>
        </w:rPr>
        <w:t xml:space="preserve"> a été enregistrée: de 25 % à </w:t>
      </w:r>
      <w:r>
        <w:rPr>
          <w:rFonts w:ascii="Times New Roman" w:hAnsi="Times New Roman"/>
          <w:b/>
          <w:bCs/>
          <w:noProof/>
          <w:sz w:val="24"/>
          <w:szCs w:val="24"/>
        </w:rPr>
        <w:t>42 % de l’ensemble des notifications</w:t>
      </w:r>
      <w:r>
        <w:rPr>
          <w:rFonts w:ascii="Times New Roman" w:hAnsi="Times New Roman"/>
          <w:noProof/>
          <w:sz w:val="24"/>
          <w:szCs w:val="24"/>
        </w:rPr>
        <w:t xml:space="preserve">, soit </w:t>
      </w:r>
      <w:r>
        <w:rPr>
          <w:rFonts w:ascii="Times New Roman" w:hAnsi="Times New Roman"/>
          <w:b/>
          <w:bCs/>
          <w:noProof/>
          <w:sz w:val="24"/>
          <w:szCs w:val="24"/>
        </w:rPr>
        <w:t>230 000</w:t>
      </w:r>
      <w:r>
        <w:rPr>
          <w:rFonts w:ascii="Times New Roman" w:hAnsi="Times New Roman"/>
          <w:noProof/>
          <w:sz w:val="24"/>
          <w:szCs w:val="24"/>
        </w:rPr>
        <w:t> notifications en 2019. Cette augmentation ne concerne toutefois que certains États membres.</w:t>
      </w:r>
    </w:p>
    <w:p>
      <w:pPr>
        <w:jc w:val="both"/>
        <w:rPr>
          <w:rFonts w:ascii="Times New Roman" w:hAnsi="Times New Roman" w:cs="Times New Roman"/>
          <w:noProof/>
          <w:sz w:val="24"/>
          <w:szCs w:val="24"/>
        </w:rPr>
      </w:pPr>
      <w:r>
        <w:rPr>
          <w:rFonts w:ascii="Times New Roman" w:hAnsi="Times New Roman"/>
          <w:noProof/>
          <w:sz w:val="24"/>
          <w:szCs w:val="24"/>
        </w:rPr>
        <w:t xml:space="preserve">Dans le même temps, certaines années, </w:t>
      </w:r>
      <w:r>
        <w:rPr>
          <w:rFonts w:ascii="Times New Roman" w:hAnsi="Times New Roman"/>
          <w:b/>
          <w:bCs/>
          <w:noProof/>
          <w:sz w:val="24"/>
          <w:szCs w:val="24"/>
        </w:rPr>
        <w:t>de nombreux États membres</w:t>
      </w:r>
      <w:r>
        <w:rPr>
          <w:rFonts w:ascii="Times New Roman" w:hAnsi="Times New Roman"/>
          <w:noProof/>
          <w:sz w:val="24"/>
          <w:szCs w:val="24"/>
        </w:rPr>
        <w:t xml:space="preserve"> </w:t>
      </w:r>
      <w:r>
        <w:rPr>
          <w:rFonts w:ascii="Times New Roman" w:hAnsi="Times New Roman"/>
          <w:b/>
          <w:noProof/>
          <w:sz w:val="24"/>
          <w:szCs w:val="24"/>
        </w:rPr>
        <w:t>n’ont pas du tout envoyé</w:t>
      </w:r>
      <w:r>
        <w:rPr>
          <w:rFonts w:ascii="Times New Roman" w:hAnsi="Times New Roman"/>
          <w:bCs/>
          <w:noProof/>
          <w:sz w:val="24"/>
          <w:szCs w:val="24"/>
        </w:rPr>
        <w:t xml:space="preserve"> </w:t>
      </w:r>
      <w:r>
        <w:rPr>
          <w:rFonts w:ascii="Times New Roman" w:hAnsi="Times New Roman"/>
          <w:b/>
          <w:noProof/>
          <w:sz w:val="24"/>
          <w:szCs w:val="24"/>
        </w:rPr>
        <w:t>de mises à jour</w:t>
      </w:r>
      <w:r>
        <w:rPr>
          <w:rFonts w:ascii="Times New Roman" w:hAnsi="Times New Roman"/>
          <w:noProof/>
          <w:sz w:val="24"/>
          <w:szCs w:val="24"/>
        </w:rPr>
        <w:t xml:space="preserve"> de leurs notifications précédemment envoyées (BG, DK, EE, EL, IE, LV, LU, MT, PT, SI) ou </w:t>
      </w:r>
      <w:r>
        <w:rPr>
          <w:rFonts w:ascii="Times New Roman" w:hAnsi="Times New Roman"/>
          <w:b/>
          <w:noProof/>
          <w:sz w:val="24"/>
          <w:szCs w:val="24"/>
        </w:rPr>
        <w:t>ont envoyé un faible volume</w:t>
      </w:r>
      <w:r>
        <w:rPr>
          <w:rFonts w:ascii="Times New Roman" w:hAnsi="Times New Roman"/>
          <w:noProof/>
          <w:sz w:val="24"/>
          <w:szCs w:val="24"/>
        </w:rPr>
        <w:t xml:space="preserve"> de ce type de messages (IE, RO, CY, SI, PT, MT).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L’ECRIS n’est pas toujours utilisé pour demander des informations sur les précédentes condamnations</w:t>
      </w:r>
    </w:p>
    <w:p>
      <w:pPr>
        <w:jc w:val="both"/>
        <w:rPr>
          <w:rFonts w:ascii="Times New Roman" w:hAnsi="Times New Roman" w:cs="Times New Roman"/>
          <w:noProof/>
          <w:sz w:val="24"/>
          <w:szCs w:val="24"/>
        </w:rPr>
      </w:pPr>
      <w:r>
        <w:rPr>
          <w:rFonts w:ascii="Times New Roman" w:hAnsi="Times New Roman"/>
          <w:b/>
          <w:bCs/>
          <w:noProof/>
          <w:sz w:val="24"/>
          <w:szCs w:val="24"/>
        </w:rPr>
        <w:t>Malgré l’augmentation spectaculaire du nombre de demandes en général</w:t>
      </w:r>
      <w:r>
        <w:rPr>
          <w:rFonts w:ascii="Times New Roman" w:hAnsi="Times New Roman"/>
          <w:noProof/>
          <w:sz w:val="24"/>
          <w:szCs w:val="24"/>
        </w:rPr>
        <w:t xml:space="preserve">, le problème, déjà relevé dans le premier rapport statistique, dû au fait que </w:t>
      </w:r>
      <w:r>
        <w:rPr>
          <w:rFonts w:ascii="Times New Roman" w:hAnsi="Times New Roman"/>
          <w:b/>
          <w:bCs/>
          <w:noProof/>
          <w:sz w:val="24"/>
          <w:szCs w:val="24"/>
        </w:rPr>
        <w:t>certains États membres</w:t>
      </w:r>
      <w:r>
        <w:rPr>
          <w:rFonts w:ascii="Times New Roman" w:hAnsi="Times New Roman"/>
          <w:noProof/>
          <w:sz w:val="24"/>
          <w:szCs w:val="24"/>
        </w:rPr>
        <w:t xml:space="preserve"> </w:t>
      </w:r>
      <w:r>
        <w:rPr>
          <w:rFonts w:ascii="Times New Roman" w:hAnsi="Times New Roman"/>
          <w:b/>
          <w:bCs/>
          <w:noProof/>
          <w:sz w:val="24"/>
          <w:szCs w:val="24"/>
        </w:rPr>
        <w:t>n’ont envoyé pratiquement aucune demande</w:t>
      </w:r>
      <w:r>
        <w:rPr>
          <w:rFonts w:ascii="Times New Roman" w:hAnsi="Times New Roman"/>
          <w:noProof/>
          <w:sz w:val="24"/>
          <w:szCs w:val="24"/>
        </w:rPr>
        <w:t xml:space="preserve"> (EL, CY, MT) ou </w:t>
      </w:r>
      <w:r>
        <w:rPr>
          <w:rFonts w:ascii="Times New Roman" w:hAnsi="Times New Roman"/>
          <w:b/>
          <w:bCs/>
          <w:noProof/>
          <w:sz w:val="24"/>
          <w:szCs w:val="24"/>
        </w:rPr>
        <w:t>ont envoyé</w:t>
      </w:r>
      <w:r>
        <w:rPr>
          <w:rFonts w:ascii="Times New Roman" w:hAnsi="Times New Roman"/>
          <w:noProof/>
          <w:sz w:val="24"/>
          <w:szCs w:val="24"/>
        </w:rPr>
        <w:t xml:space="preserve"> </w:t>
      </w:r>
      <w:r>
        <w:rPr>
          <w:rFonts w:ascii="Times New Roman" w:hAnsi="Times New Roman"/>
          <w:b/>
          <w:bCs/>
          <w:noProof/>
          <w:sz w:val="24"/>
          <w:szCs w:val="24"/>
        </w:rPr>
        <w:t>un faible nombre de demandes</w:t>
      </w:r>
      <w:r>
        <w:rPr>
          <w:rFonts w:ascii="Times New Roman" w:hAnsi="Times New Roman"/>
          <w:noProof/>
          <w:sz w:val="24"/>
          <w:szCs w:val="24"/>
        </w:rPr>
        <w:t xml:space="preserve"> par rapport à leur population de ressortissants d’autres États membres (BG, EE, HU, IT, LV, RO, SI en 2017-2019), est toujours bien présent.</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szCs w:val="24"/>
        </w:rPr>
        <w:t>Demandes dont le délai de réponse légal a expiré</w:t>
      </w:r>
    </w:p>
    <w:p>
      <w:pPr>
        <w:jc w:val="both"/>
        <w:rPr>
          <w:rFonts w:ascii="Times New Roman" w:hAnsi="Times New Roman" w:cs="Times New Roman"/>
          <w:noProof/>
          <w:sz w:val="24"/>
          <w:szCs w:val="24"/>
        </w:rPr>
      </w:pPr>
      <w:r>
        <w:rPr>
          <w:rFonts w:ascii="Times New Roman" w:hAnsi="Times New Roman"/>
          <w:noProof/>
          <w:sz w:val="24"/>
          <w:szCs w:val="24"/>
        </w:rPr>
        <w:t xml:space="preserve">En 2019, </w:t>
      </w:r>
      <w:r>
        <w:rPr>
          <w:rFonts w:ascii="Times New Roman" w:hAnsi="Times New Roman"/>
          <w:b/>
          <w:bCs/>
          <w:noProof/>
          <w:sz w:val="24"/>
          <w:szCs w:val="24"/>
        </w:rPr>
        <w:t>190 000 demandes n’ont pas reçu de réponse dans les délais légaux</w:t>
      </w:r>
      <w:r>
        <w:rPr>
          <w:rFonts w:ascii="Times New Roman" w:hAnsi="Times New Roman"/>
          <w:noProof/>
          <w:sz w:val="24"/>
          <w:szCs w:val="24"/>
        </w:rPr>
        <w:t xml:space="preserve">, soit </w:t>
      </w:r>
      <w:r>
        <w:rPr>
          <w:rFonts w:ascii="Times New Roman" w:hAnsi="Times New Roman"/>
          <w:b/>
          <w:bCs/>
          <w:noProof/>
          <w:sz w:val="24"/>
          <w:szCs w:val="24"/>
        </w:rPr>
        <w:t>18,4 %</w:t>
      </w:r>
      <w:r>
        <w:rPr>
          <w:rFonts w:ascii="Times New Roman" w:hAnsi="Times New Roman"/>
          <w:noProof/>
          <w:sz w:val="24"/>
          <w:szCs w:val="24"/>
        </w:rPr>
        <w:t xml:space="preserve"> </w:t>
      </w:r>
      <w:r>
        <w:rPr>
          <w:rFonts w:ascii="Times New Roman" w:hAnsi="Times New Roman"/>
          <w:b/>
          <w:bCs/>
          <w:noProof/>
          <w:sz w:val="24"/>
          <w:szCs w:val="24"/>
        </w:rPr>
        <w:t>du nombre total</w:t>
      </w:r>
      <w:r>
        <w:rPr>
          <w:rFonts w:ascii="Times New Roman" w:hAnsi="Times New Roman"/>
          <w:noProof/>
          <w:sz w:val="24"/>
          <w:szCs w:val="24"/>
        </w:rPr>
        <w:t xml:space="preserve"> des demandes. Ce nombre de réponses tardives est alarmant dans la mesure où </w:t>
      </w:r>
      <w:r>
        <w:rPr>
          <w:rFonts w:ascii="Times New Roman" w:hAnsi="Times New Roman"/>
          <w:b/>
          <w:bCs/>
          <w:noProof/>
          <w:sz w:val="24"/>
          <w:szCs w:val="24"/>
        </w:rPr>
        <w:t>il a augmenté de près de 14 fois</w:t>
      </w:r>
      <w:r>
        <w:rPr>
          <w:rFonts w:ascii="Times New Roman" w:hAnsi="Times New Roman"/>
          <w:noProof/>
          <w:sz w:val="24"/>
          <w:szCs w:val="24"/>
        </w:rPr>
        <w:t xml:space="preserve"> par rapport à 2016. </w:t>
      </w:r>
    </w:p>
    <w:p>
      <w:pPr>
        <w:jc w:val="both"/>
        <w:rPr>
          <w:rFonts w:ascii="Times New Roman" w:hAnsi="Times New Roman" w:cs="Times New Roman"/>
          <w:noProof/>
          <w:sz w:val="24"/>
          <w:szCs w:val="24"/>
        </w:rPr>
      </w:pPr>
      <w:r>
        <w:rPr>
          <w:rFonts w:ascii="Times New Roman" w:hAnsi="Times New Roman"/>
          <w:b/>
          <w:bCs/>
          <w:noProof/>
          <w:sz w:val="24"/>
          <w:szCs w:val="24"/>
        </w:rPr>
        <w:t>Ce problème concerne</w:t>
      </w:r>
      <w:r>
        <w:rPr>
          <w:rFonts w:ascii="Times New Roman" w:hAnsi="Times New Roman"/>
          <w:noProof/>
          <w:sz w:val="24"/>
          <w:szCs w:val="24"/>
        </w:rPr>
        <w:t xml:space="preserve"> en particulier les </w:t>
      </w:r>
      <w:r>
        <w:rPr>
          <w:rFonts w:ascii="Times New Roman" w:hAnsi="Times New Roman"/>
          <w:b/>
          <w:bCs/>
          <w:noProof/>
          <w:sz w:val="24"/>
          <w:szCs w:val="24"/>
        </w:rPr>
        <w:t>États membres</w:t>
      </w:r>
      <w:r>
        <w:rPr>
          <w:rFonts w:ascii="Times New Roman" w:hAnsi="Times New Roman"/>
          <w:noProof/>
          <w:sz w:val="24"/>
          <w:szCs w:val="24"/>
        </w:rPr>
        <w:t xml:space="preserve"> qui ont été </w:t>
      </w:r>
      <w:r>
        <w:rPr>
          <w:rFonts w:ascii="Times New Roman" w:hAnsi="Times New Roman"/>
          <w:b/>
          <w:bCs/>
          <w:noProof/>
          <w:sz w:val="24"/>
          <w:szCs w:val="24"/>
        </w:rPr>
        <w:t>confrontés à un volume considérable de demandes</w:t>
      </w:r>
      <w:r>
        <w:rPr>
          <w:rFonts w:ascii="Times New Roman" w:hAnsi="Times New Roman"/>
          <w:noProof/>
          <w:sz w:val="24"/>
          <w:szCs w:val="24"/>
        </w:rPr>
        <w:t xml:space="preserve"> d’informations: PL, RO, HR, LV, BE et BG.</w:t>
      </w:r>
    </w:p>
    <w:p>
      <w:pPr>
        <w:numPr>
          <w:ilvl w:val="0"/>
          <w:numId w:val="27"/>
        </w:numPr>
        <w:ind w:left="714" w:hanging="357"/>
        <w:jc w:val="both"/>
        <w:rPr>
          <w:rFonts w:ascii="Times New Roman" w:hAnsi="Times New Roman"/>
          <w:b/>
          <w:noProof/>
          <w:sz w:val="24"/>
        </w:rPr>
      </w:pPr>
      <w:r>
        <w:rPr>
          <w:rFonts w:ascii="Times New Roman" w:hAnsi="Times New Roman"/>
          <w:b/>
          <w:noProof/>
          <w:sz w:val="24"/>
        </w:rPr>
        <w:t>Demandes d’informations restées sans réponse</w:t>
      </w:r>
    </w:p>
    <w:p>
      <w:pPr>
        <w:pStyle w:val="ListParagraph"/>
        <w:spacing w:after="120"/>
        <w:ind w:left="0"/>
        <w:jc w:val="both"/>
        <w:rPr>
          <w:rFonts w:ascii="Times New Roman" w:hAnsi="Times New Roman" w:cs="Times New Roman"/>
          <w:noProof/>
          <w:sz w:val="24"/>
          <w:szCs w:val="24"/>
        </w:rPr>
      </w:pPr>
      <w:r>
        <w:rPr>
          <w:rFonts w:ascii="Times New Roman" w:hAnsi="Times New Roman"/>
          <w:noProof/>
          <w:sz w:val="24"/>
          <w:szCs w:val="24"/>
        </w:rPr>
        <w:t xml:space="preserve">Si tous les États membres répondent à des demandes de manière générale, en 2019 encore, </w:t>
      </w:r>
      <w:r>
        <w:rPr>
          <w:rFonts w:ascii="Times New Roman" w:hAnsi="Times New Roman"/>
          <w:b/>
          <w:bCs/>
          <w:noProof/>
          <w:sz w:val="24"/>
          <w:szCs w:val="24"/>
        </w:rPr>
        <w:t>plus de 42 000 demandes d’informations sont restées sans réponse</w:t>
      </w:r>
      <w:r>
        <w:rPr>
          <w:rFonts w:ascii="Times New Roman" w:hAnsi="Times New Roman"/>
          <w:noProof/>
          <w:sz w:val="24"/>
          <w:szCs w:val="24"/>
        </w:rPr>
        <w:t xml:space="preserve">. Ce chiffre correspondait à </w:t>
      </w:r>
      <w:r>
        <w:rPr>
          <w:rFonts w:ascii="Times New Roman" w:hAnsi="Times New Roman"/>
          <w:b/>
          <w:bCs/>
          <w:noProof/>
          <w:sz w:val="24"/>
          <w:szCs w:val="24"/>
        </w:rPr>
        <w:t>4,1 % de l’ensemble des demandes</w:t>
      </w:r>
      <w:r>
        <w:rPr>
          <w:rFonts w:ascii="Times New Roman" w:hAnsi="Times New Roman"/>
          <w:noProof/>
          <w:sz w:val="24"/>
          <w:szCs w:val="24"/>
        </w:rPr>
        <w:t>, contre 3,6 % en 2016.</w:t>
      </w:r>
      <w:r>
        <w:rPr>
          <w:rFonts w:ascii="Times New Roman" w:hAnsi="Times New Roman"/>
          <w:bCs/>
          <w:noProof/>
          <w:sz w:val="24"/>
          <w:szCs w:val="24"/>
        </w:rPr>
        <w:t xml:space="preserve"> </w:t>
      </w:r>
      <w:r>
        <w:rPr>
          <w:rFonts w:ascii="Times New Roman" w:hAnsi="Times New Roman"/>
          <w:noProof/>
          <w:sz w:val="24"/>
          <w:szCs w:val="24"/>
        </w:rPr>
        <w:t>Les États membres où les taux les plus élevés de demandes sans réponse ont été constatés étaient: MT, CY, BG et EL.</w:t>
      </w:r>
    </w:p>
    <w:p>
      <w:pPr>
        <w:pStyle w:val="ListParagraph"/>
        <w:numPr>
          <w:ilvl w:val="0"/>
          <w:numId w:val="43"/>
        </w:numPr>
        <w:spacing w:after="120"/>
        <w:ind w:left="714" w:hanging="357"/>
        <w:rPr>
          <w:rFonts w:ascii="Times New Roman" w:hAnsi="Times New Roman" w:cs="Times New Roman"/>
          <w:b/>
          <w:noProof/>
          <w:sz w:val="24"/>
          <w:szCs w:val="24"/>
        </w:rPr>
      </w:pPr>
      <w:r>
        <w:rPr>
          <w:rFonts w:ascii="Times New Roman" w:hAnsi="Times New Roman"/>
          <w:b/>
          <w:noProof/>
          <w:sz w:val="24"/>
          <w:szCs w:val="24"/>
        </w:rPr>
        <w:t>Différences significatives entre les activités ECRIS des États membres et leur charge de travail</w:t>
      </w:r>
    </w:p>
    <w:p>
      <w:pPr>
        <w:jc w:val="both"/>
        <w:rPr>
          <w:rFonts w:ascii="Times New Roman" w:hAnsi="Times New Roman" w:cs="Times New Roman"/>
          <w:noProof/>
          <w:sz w:val="24"/>
          <w:szCs w:val="24"/>
        </w:rPr>
      </w:pPr>
      <w:r>
        <w:rPr>
          <w:rFonts w:ascii="Times New Roman" w:hAnsi="Times New Roman"/>
          <w:noProof/>
          <w:sz w:val="24"/>
          <w:szCs w:val="24"/>
        </w:rPr>
        <w:t xml:space="preserve">Certains États membres envoient nettement plus de </w:t>
      </w:r>
      <w:r>
        <w:rPr>
          <w:rFonts w:ascii="Times New Roman" w:hAnsi="Times New Roman"/>
          <w:b/>
          <w:bCs/>
          <w:noProof/>
          <w:sz w:val="24"/>
          <w:szCs w:val="24"/>
        </w:rPr>
        <w:t>demandes d’informations qu’ils n’en reçoivent</w:t>
      </w:r>
      <w:r>
        <w:rPr>
          <w:rFonts w:ascii="Times New Roman" w:hAnsi="Times New Roman"/>
          <w:noProof/>
          <w:sz w:val="24"/>
          <w:szCs w:val="24"/>
        </w:rPr>
        <w:t xml:space="preserve"> (DE, UK et CZ), tandis que d’autres sont confrontés à une </w:t>
      </w:r>
      <w:r>
        <w:rPr>
          <w:rFonts w:ascii="Times New Roman" w:hAnsi="Times New Roman"/>
          <w:b/>
          <w:bCs/>
          <w:noProof/>
          <w:sz w:val="24"/>
          <w:szCs w:val="24"/>
        </w:rPr>
        <w:t>charge de travail importante pour répondre à ces demandes</w:t>
      </w:r>
      <w:r>
        <w:rPr>
          <w:rFonts w:ascii="Times New Roman" w:hAnsi="Times New Roman"/>
          <w:noProof/>
          <w:sz w:val="24"/>
          <w:szCs w:val="24"/>
        </w:rPr>
        <w:t xml:space="preserve"> (PL, RO, IT, HR, SK et HU). Pour d’autres États membres, la charge de travail est essentiellement due à l’envoi d’un </w:t>
      </w:r>
      <w:r>
        <w:rPr>
          <w:rFonts w:ascii="Times New Roman" w:hAnsi="Times New Roman"/>
          <w:b/>
          <w:bCs/>
          <w:noProof/>
          <w:sz w:val="24"/>
          <w:szCs w:val="24"/>
        </w:rPr>
        <w:t>grand nombre de notifications</w:t>
      </w:r>
      <w:r>
        <w:rPr>
          <w:rFonts w:ascii="Times New Roman" w:hAnsi="Times New Roman"/>
          <w:noProof/>
          <w:sz w:val="24"/>
          <w:szCs w:val="24"/>
        </w:rPr>
        <w:t xml:space="preserve"> sur de nouvelles condamnations aux États membres de la nationalité du coupable (BE et IT).</w:t>
      </w:r>
    </w:p>
    <w:p>
      <w:pPr>
        <w:numPr>
          <w:ilvl w:val="0"/>
          <w:numId w:val="27"/>
        </w:numPr>
        <w:ind w:left="714" w:hanging="357"/>
        <w:jc w:val="both"/>
        <w:rPr>
          <w:rFonts w:ascii="Times New Roman" w:hAnsi="Times New Roman" w:cs="Times New Roman"/>
          <w:noProof/>
          <w:sz w:val="24"/>
          <w:szCs w:val="24"/>
        </w:rPr>
      </w:pPr>
      <w:r>
        <w:rPr>
          <w:rFonts w:ascii="Times New Roman" w:hAnsi="Times New Roman"/>
          <w:b/>
          <w:noProof/>
          <w:sz w:val="24"/>
        </w:rPr>
        <w:t>L’ECRIS actuel est encore rarement utilisé pour les ressortissants de pays tiers (TCN)</w:t>
      </w:r>
    </w:p>
    <w:p>
      <w:pPr>
        <w:jc w:val="both"/>
        <w:rPr>
          <w:rFonts w:ascii="Times New Roman" w:hAnsi="Times New Roman" w:cs="Times New Roman"/>
          <w:noProof/>
          <w:sz w:val="24"/>
          <w:szCs w:val="24"/>
        </w:rPr>
      </w:pPr>
      <w:r>
        <w:rPr>
          <w:rFonts w:ascii="Times New Roman" w:hAnsi="Times New Roman"/>
          <w:noProof/>
          <w:sz w:val="24"/>
          <w:szCs w:val="24"/>
        </w:rPr>
        <w:t xml:space="preserve">En moyenne, </w:t>
      </w:r>
      <w:r>
        <w:rPr>
          <w:rFonts w:ascii="Times New Roman" w:hAnsi="Times New Roman"/>
          <w:b/>
          <w:bCs/>
          <w:noProof/>
          <w:sz w:val="24"/>
          <w:szCs w:val="24"/>
        </w:rPr>
        <w:t>92 %</w:t>
      </w:r>
      <w:r>
        <w:rPr>
          <w:rFonts w:ascii="Times New Roman" w:hAnsi="Times New Roman"/>
          <w:noProof/>
          <w:sz w:val="24"/>
          <w:szCs w:val="24"/>
        </w:rPr>
        <w:t xml:space="preserve"> de l’ensemble des demandes portent sur des </w:t>
      </w:r>
      <w:r>
        <w:rPr>
          <w:rFonts w:ascii="Times New Roman" w:hAnsi="Times New Roman"/>
          <w:b/>
          <w:bCs/>
          <w:noProof/>
          <w:sz w:val="24"/>
          <w:szCs w:val="24"/>
        </w:rPr>
        <w:t>ressortissants de l’UE</w:t>
      </w:r>
      <w:r>
        <w:rPr>
          <w:rFonts w:ascii="Times New Roman" w:hAnsi="Times New Roman"/>
          <w:noProof/>
          <w:sz w:val="24"/>
          <w:szCs w:val="24"/>
        </w:rPr>
        <w:t xml:space="preserve"> et environ </w:t>
      </w:r>
      <w:r>
        <w:rPr>
          <w:rFonts w:ascii="Times New Roman" w:hAnsi="Times New Roman"/>
          <w:b/>
          <w:bCs/>
          <w:noProof/>
          <w:sz w:val="24"/>
          <w:szCs w:val="24"/>
        </w:rPr>
        <w:t>8 % concernent des ressortissants de pays tiers et des personnes apatrides</w:t>
      </w:r>
      <w:r>
        <w:rPr>
          <w:rFonts w:ascii="Times New Roman" w:hAnsi="Times New Roman"/>
          <w:noProof/>
          <w:sz w:val="24"/>
          <w:szCs w:val="24"/>
        </w:rPr>
        <w:t>. Le nombre de demandes d’informations sur les ressortissants de pays tiers n’a cessé d’</w:t>
      </w:r>
      <w:r>
        <w:rPr>
          <w:rFonts w:ascii="Times New Roman" w:hAnsi="Times New Roman"/>
          <w:b/>
          <w:bCs/>
          <w:noProof/>
          <w:sz w:val="24"/>
          <w:szCs w:val="24"/>
        </w:rPr>
        <w:t>augmenter</w:t>
      </w:r>
      <w:r>
        <w:rPr>
          <w:rFonts w:ascii="Times New Roman" w:hAnsi="Times New Roman"/>
          <w:noProof/>
          <w:sz w:val="24"/>
          <w:szCs w:val="24"/>
        </w:rPr>
        <w:t xml:space="preserve"> depuis 2017 pour dépasser </w:t>
      </w:r>
      <w:r>
        <w:rPr>
          <w:rFonts w:ascii="Times New Roman" w:hAnsi="Times New Roman"/>
          <w:b/>
          <w:bCs/>
          <w:noProof/>
          <w:sz w:val="24"/>
          <w:szCs w:val="24"/>
        </w:rPr>
        <w:t>69 000 en 2019</w:t>
      </w:r>
      <w:r>
        <w:rPr>
          <w:rFonts w:ascii="Times New Roman" w:hAnsi="Times New Roman"/>
          <w:noProof/>
          <w:sz w:val="24"/>
          <w:szCs w:val="24"/>
        </w:rPr>
        <w:t xml:space="preserve">. </w:t>
      </w:r>
    </w:p>
    <w:p>
      <w:pPr>
        <w:rPr>
          <w:rStyle w:val="Hyperlink"/>
          <w:rFonts w:ascii="Times New Roman" w:hAnsi="Times New Roman" w:cs="Times New Roman"/>
          <w:noProof/>
          <w:color w:val="auto"/>
          <w:sz w:val="24"/>
          <w:szCs w:val="24"/>
          <w:u w:val="none"/>
        </w:rPr>
      </w:pPr>
    </w:p>
    <w:sectPr>
      <w:headerReference w:type="even" r:id="rId33"/>
      <w:headerReference w:type="default" r:id="rId34"/>
      <w:footerReference w:type="even" r:id="rId35"/>
      <w:footerReference w:type="default" r:id="rId36"/>
      <w:headerReference w:type="first" r:id="rId37"/>
      <w:footerReference w:type="first" r:id="rId38"/>
      <w:pgSz w:w="11907" w:h="16840" w:code="9"/>
      <w:pgMar w:top="1418" w:right="1418" w:bottom="1418" w:left="1418" w:header="851" w:footer="255"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14629"/>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531446"/>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2</w:t>
        </w:r>
        <w:r>
          <w:fldChar w:fldCharType="end"/>
        </w:r>
      </w:p>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spacing w:after="0"/>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JO L 93 du 7.4.2009, p. 23, tel que modifiée par la directive (UE) 2019/884 (JO L 151 du 7.6.2019, p. 143).</w:t>
      </w:r>
    </w:p>
  </w:footnote>
  <w:footnote w:id="3">
    <w:p>
      <w:pPr>
        <w:pStyle w:val="FootnoteText"/>
        <w:spacing w:after="0"/>
        <w:rPr>
          <w:rFonts w:ascii="Times New Roman" w:hAnsi="Times New Roman" w:cs="Times New Roman"/>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JO L 93 du 7.4.2009, p. 33. Cette décision sera remplacée, à compter du 28 juin 2022, par la directive (UE) 2019/884 en ce qui concerne les États membres liés par ladite directive.</w:t>
      </w:r>
    </w:p>
  </w:footnote>
  <w:footnote w:id="4">
    <w:p>
      <w:pPr>
        <w:spacing w:after="0"/>
        <w:ind w:left="709" w:hanging="709"/>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COM/2017/341 final; SWD/2017/242 final.</w:t>
      </w:r>
    </w:p>
  </w:footnote>
  <w:footnote w:id="5">
    <w:p>
      <w:pPr>
        <w:pStyle w:val="FootnoteText"/>
        <w:jc w:val="both"/>
        <w:rPr>
          <w:sz w:val="20"/>
        </w:rPr>
      </w:pPr>
      <w:r>
        <w:rPr>
          <w:rStyle w:val="FootnoteReference"/>
          <w:rFonts w:ascii="Times New Roman" w:hAnsi="Times New Roman" w:cs="Times New Roman"/>
          <w:sz w:val="20"/>
        </w:rPr>
        <w:footnoteRef/>
      </w:r>
      <w:r>
        <w:rPr>
          <w:rFonts w:ascii="Times New Roman" w:hAnsi="Times New Roman"/>
          <w:sz w:val="20"/>
        </w:rPr>
        <w:t xml:space="preserve"> </w:t>
      </w:r>
      <w:r>
        <w:rPr>
          <w:sz w:val="20"/>
        </w:rPr>
        <w:tab/>
      </w:r>
      <w:r>
        <w:rPr>
          <w:rFonts w:ascii="Times New Roman" w:hAnsi="Times New Roman"/>
          <w:sz w:val="20"/>
        </w:rPr>
        <w:t>La Commission n’a pas reçu de données de Chypre, du Danemark, de la Grèce, de la Lituanie et de la Slovénie.</w:t>
      </w:r>
    </w:p>
  </w:footnote>
  <w:footnote w:id="6">
    <w:p>
      <w:pPr>
        <w:pStyle w:val="FootnoteText"/>
        <w:spacing w:after="0"/>
        <w:ind w:left="709" w:hanging="709"/>
        <w:rPr>
          <w:rFonts w:ascii="Times New Roman" w:hAnsi="Times New Roman" w:cs="Times New Roman"/>
          <w:sz w:val="20"/>
        </w:rPr>
      </w:pPr>
      <w:r>
        <w:rPr>
          <w:rStyle w:val="FootnoteReference"/>
        </w:rPr>
        <w:footnoteRef/>
      </w:r>
      <w:r>
        <w:t xml:space="preserve"> </w:t>
      </w:r>
      <w:r>
        <w:tab/>
      </w:r>
      <w:r>
        <w:rPr>
          <w:rFonts w:ascii="Times New Roman" w:hAnsi="Times New Roman"/>
          <w:sz w:val="20"/>
        </w:rPr>
        <w:t>Pour une description détaillée des principes généraux de l’échange d’informations via l’ECRIS, voir le document de travail, point 1.</w:t>
      </w:r>
    </w:p>
  </w:footnote>
  <w:footnote w:id="7">
    <w:p>
      <w:pPr>
        <w:pStyle w:val="FootnoteText"/>
      </w:pPr>
      <w:r>
        <w:rPr>
          <w:rStyle w:val="FootnoteReference"/>
        </w:rPr>
        <w:footnoteRef/>
      </w:r>
      <w:r>
        <w:t xml:space="preserve"> </w:t>
      </w:r>
      <w:r>
        <w:tab/>
      </w:r>
      <w:r>
        <w:rPr>
          <w:rFonts w:ascii="Times New Roman" w:hAnsi="Times New Roman"/>
          <w:sz w:val="20"/>
        </w:rPr>
        <w:t>Pour l’historique des connexions au réseau ECRIS, voir le document de travail, point 2.1.</w:t>
      </w:r>
    </w:p>
  </w:footnote>
  <w:footnote w:id="8">
    <w:p>
      <w:pPr>
        <w:pStyle w:val="FootnoteText"/>
        <w:spacing w:after="0"/>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Ce nombre tient compte de 28 États membres.</w:t>
      </w:r>
    </w:p>
  </w:footnote>
  <w:footnote w:id="9">
    <w:p>
      <w:pPr>
        <w:pStyle w:val="FootnoteText"/>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Pour l’évolution du nombre d’interconnexions au fil des années, voir le document de travail, point 2.1.</w:t>
      </w:r>
    </w:p>
  </w:footnote>
  <w:footnote w:id="10">
    <w:p>
      <w:pPr>
        <w:pStyle w:val="FootnoteText"/>
        <w:ind w:left="709" w:hanging="709"/>
        <w:rPr>
          <w:rFonts w:ascii="Times New Roman" w:hAnsi="Times New Roman" w:cs="Times New Roman"/>
          <w:sz w:val="20"/>
        </w:rPr>
      </w:pPr>
      <w:r>
        <w:rPr>
          <w:rStyle w:val="FootnoteReference"/>
          <w:rFonts w:ascii="Times New Roman" w:hAnsi="Times New Roman" w:cs="Times New Roman"/>
          <w:sz w:val="20"/>
        </w:rPr>
        <w:footnoteRef/>
      </w:r>
      <w:r>
        <w:t xml:space="preserve"> </w:t>
      </w:r>
      <w:r>
        <w:tab/>
      </w:r>
      <w:r>
        <w:rPr>
          <w:rFonts w:ascii="Times New Roman" w:hAnsi="Times New Roman"/>
          <w:sz w:val="20"/>
        </w:rPr>
        <w:t>Les autres réponses sont, par exemple, celles dans lesquelles plusieurs personnes ont été trouvées, une personne n’était pas ressortissante de l’État membre requis, etc.</w:t>
      </w:r>
    </w:p>
  </w:footnote>
  <w:footnote w:id="11">
    <w:p>
      <w:pPr>
        <w:pStyle w:val="FootnoteText"/>
        <w:spacing w:after="0"/>
        <w:ind w:left="709" w:hanging="709"/>
        <w:rPr>
          <w:rFonts w:ascii="Times New Roman" w:hAnsi="Times New Roman" w:cs="Times New Roman"/>
          <w:sz w:val="20"/>
        </w:rPr>
      </w:pPr>
      <w:r>
        <w:rPr>
          <w:rStyle w:val="FootnoteReference"/>
        </w:rPr>
        <w:footnoteRef/>
      </w:r>
      <w:r>
        <w:t xml:space="preserve"> </w:t>
      </w:r>
      <w:r>
        <w:tab/>
      </w:r>
      <w:r>
        <w:rPr>
          <w:rFonts w:ascii="Times New Roman" w:hAnsi="Times New Roman"/>
          <w:sz w:val="20"/>
        </w:rPr>
        <w:t>JO L 220 du 15.8.2008, p. 32.</w:t>
      </w:r>
    </w:p>
  </w:footnote>
  <w:footnote w:id="12">
    <w:p>
      <w:pPr>
        <w:pStyle w:val="FootnoteText"/>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Pour les années 2017 et 2018, voir le document de travail, point 2.2.</w:t>
      </w:r>
    </w:p>
  </w:footnote>
  <w:footnote w:id="13">
    <w:p>
      <w:pPr>
        <w:pStyle w:val="FootnoteText"/>
        <w:spacing w:after="0"/>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Pour les années 2017 et 2018, voir le document de travail, point 2.3.</w:t>
      </w:r>
    </w:p>
  </w:footnote>
  <w:footnote w:id="14">
    <w:p>
      <w:pPr>
        <w:pStyle w:val="FootnoteText"/>
        <w:spacing w:after="0"/>
        <w:ind w:left="709" w:hanging="709"/>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Voir les statistiques d’Eurostat: https://ec.europa.eu/eurostat/statistics-explained/index.php?title=File:Non-national_population_by_group_of_citizenship,_1_January_2019.png</w:t>
      </w:r>
    </w:p>
    <w:p>
      <w:pPr>
        <w:pStyle w:val="FootnoteText"/>
      </w:pPr>
    </w:p>
  </w:footnote>
  <w:footnote w:id="15">
    <w:p>
      <w:pPr>
        <w:pStyle w:val="FootnoteText"/>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Pour plus de détails, voir le document de travail, point 2.3.</w:t>
      </w:r>
    </w:p>
  </w:footnote>
  <w:footnote w:id="16">
    <w:p>
      <w:pPr>
        <w:spacing w:after="0"/>
        <w:ind w:left="709" w:hanging="709"/>
        <w:jc w:val="both"/>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Pour une analyse détaillée des statistiques des différents États membres relatives aux condamnations et aux notifications, voir le document de travail, point 3.</w:t>
      </w:r>
    </w:p>
  </w:footnote>
  <w:footnote w:id="17">
    <w:p>
      <w:pPr>
        <w:pStyle w:val="FootnoteText"/>
        <w:spacing w:after="0"/>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Pour les années 2017 et 2018, voir le document de travail, point 2.4.</w:t>
      </w:r>
    </w:p>
  </w:footnote>
  <w:footnote w:id="18">
    <w:p>
      <w:pPr>
        <w:jc w:val="both"/>
        <w:rPr>
          <w:rFonts w:ascii="Times New Roman" w:hAnsi="Times New Roman" w:cs="Times New Roman"/>
          <w:noProof/>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Pour les années 2017 et 2018, voir le document de travail, point 2.5.</w:t>
      </w:r>
    </w:p>
    <w:p>
      <w:pPr>
        <w:pStyle w:val="FootnoteText"/>
      </w:pPr>
    </w:p>
  </w:footnote>
  <w:footnote w:id="19">
    <w:p>
      <w:pPr>
        <w:pStyle w:val="FootnoteText"/>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ab/>
        <w:t xml:space="preserve"> Voir le point 1.2 ci-dessus.</w:t>
      </w:r>
    </w:p>
  </w:footnote>
  <w:footnote w:id="20">
    <w:p>
      <w:pPr>
        <w:pStyle w:val="FootnoteText"/>
        <w:ind w:left="851" w:hanging="851"/>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Pour plus de détails, voir le document de travail: le tableau figurant au point 2.6 ainsi que les statistiques de chaque État membre relatives aux réponses tardives figurant au point 3.</w:t>
      </w:r>
    </w:p>
  </w:footnote>
  <w:footnote w:id="21">
    <w:p>
      <w:pPr>
        <w:pStyle w:val="FootnoteText"/>
        <w:spacing w:after="0"/>
        <w:rPr>
          <w:sz w:val="20"/>
        </w:rPr>
      </w:pPr>
      <w:r>
        <w:rPr>
          <w:rStyle w:val="FootnoteReference"/>
          <w:sz w:val="20"/>
        </w:rPr>
        <w:footnoteRef/>
      </w:r>
      <w:r>
        <w:rPr>
          <w:sz w:val="20"/>
        </w:rPr>
        <w:t xml:space="preserve"> </w:t>
      </w:r>
      <w:r>
        <w:rPr>
          <w:sz w:val="20"/>
        </w:rPr>
        <w:tab/>
      </w:r>
      <w:r>
        <w:rPr>
          <w:rFonts w:ascii="Times New Roman" w:hAnsi="Times New Roman"/>
          <w:sz w:val="20"/>
        </w:rPr>
        <w:t>Directive 2011/93/UE relative à la lutte contre les abus sexuels et l’exploitation sexuelle des enfants, ainsi que la pédopornographie (JO L 335 du 17.12.2011, p. 1).</w:t>
      </w:r>
    </w:p>
  </w:footnote>
  <w:footnote w:id="22">
    <w:p>
      <w:pPr>
        <w:spacing w:after="0"/>
        <w:ind w:left="709" w:hanging="709"/>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Pour plus de détails sur les volumes de demandes envoyées à différentes fins sur la période 2017-2019, voir le document de travail, point 2.7.</w:t>
      </w:r>
    </w:p>
  </w:footnote>
  <w:footnote w:id="23">
    <w:p>
      <w:pPr>
        <w:pStyle w:val="FootnoteText"/>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Voir également le tableau figurant dans le document de travail, point 2.8.</w:t>
      </w:r>
    </w:p>
  </w:footnote>
  <w:footnote w:id="24">
    <w:p>
      <w:pPr>
        <w:pStyle w:val="FootnoteText"/>
        <w:spacing w:after="0"/>
        <w:ind w:left="680" w:hanging="680"/>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Règlement (UE) 2019/816 portant création d’un système ECRIS-TCN (JO L 135 du 22.5.2019, p. 1); directive (UE) 2019/884 modifiant la décision-cadre 2009/315/JAI du Conseil (JO L 151 du 7.6.2019, p. 143).</w:t>
      </w:r>
    </w:p>
  </w:footnote>
  <w:footnote w:id="25">
    <w:p>
      <w:pPr>
        <w:pStyle w:val="FootnoteText"/>
        <w:ind w:left="709" w:hanging="709"/>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Voir la note de bas de page 9. Voir également le tableau figurant dans le document de travail, point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7B5"/>
    <w:multiLevelType w:val="hybridMultilevel"/>
    <w:tmpl w:val="587E3CAE"/>
    <w:lvl w:ilvl="0" w:tplc="147079E8">
      <w:start w:val="1"/>
      <w:numFmt w:val="bullet"/>
      <w:pStyle w:val="Listbullet2cm"/>
      <w:lvlText w:val=""/>
      <w:lvlJc w:val="left"/>
      <w:pPr>
        <w:tabs>
          <w:tab w:val="num" w:pos="1494"/>
        </w:tabs>
        <w:ind w:left="1474" w:hanging="340"/>
      </w:pPr>
      <w:rPr>
        <w:rFonts w:ascii="Symbol" w:hAnsi="Symbol" w:hint="default"/>
        <w:sz w:val="20"/>
      </w:rPr>
    </w:lvl>
    <w:lvl w:ilvl="1" w:tplc="2752F458">
      <w:start w:val="1"/>
      <w:numFmt w:val="bullet"/>
      <w:pStyle w:val="Listbullet2cm"/>
      <w:lvlText w:val=""/>
      <w:lvlJc w:val="left"/>
      <w:pPr>
        <w:tabs>
          <w:tab w:val="num" w:pos="1440"/>
        </w:tabs>
        <w:ind w:left="1420" w:hanging="340"/>
      </w:pPr>
      <w:rPr>
        <w:rFonts w:ascii="Symbol" w:hAnsi="Symbol" w:hint="default"/>
      </w:rPr>
    </w:lvl>
    <w:lvl w:ilvl="2" w:tplc="53A40F5C" w:tentative="1">
      <w:start w:val="1"/>
      <w:numFmt w:val="bullet"/>
      <w:lvlText w:val=""/>
      <w:lvlJc w:val="left"/>
      <w:pPr>
        <w:tabs>
          <w:tab w:val="num" w:pos="2160"/>
        </w:tabs>
        <w:ind w:left="2160" w:hanging="360"/>
      </w:pPr>
      <w:rPr>
        <w:rFonts w:ascii="Wingdings" w:hAnsi="Wingdings" w:hint="default"/>
      </w:rPr>
    </w:lvl>
    <w:lvl w:ilvl="3" w:tplc="7A2C8FDE" w:tentative="1">
      <w:start w:val="1"/>
      <w:numFmt w:val="bullet"/>
      <w:lvlText w:val=""/>
      <w:lvlJc w:val="left"/>
      <w:pPr>
        <w:tabs>
          <w:tab w:val="num" w:pos="2880"/>
        </w:tabs>
        <w:ind w:left="2880" w:hanging="360"/>
      </w:pPr>
      <w:rPr>
        <w:rFonts w:ascii="Symbol" w:hAnsi="Symbol" w:hint="default"/>
      </w:rPr>
    </w:lvl>
    <w:lvl w:ilvl="4" w:tplc="B874C7CC" w:tentative="1">
      <w:start w:val="1"/>
      <w:numFmt w:val="bullet"/>
      <w:lvlText w:val="o"/>
      <w:lvlJc w:val="left"/>
      <w:pPr>
        <w:tabs>
          <w:tab w:val="num" w:pos="3600"/>
        </w:tabs>
        <w:ind w:left="3600" w:hanging="360"/>
      </w:pPr>
      <w:rPr>
        <w:rFonts w:ascii="Courier New" w:hAnsi="Courier New" w:hint="default"/>
      </w:rPr>
    </w:lvl>
    <w:lvl w:ilvl="5" w:tplc="63D690E6" w:tentative="1">
      <w:start w:val="1"/>
      <w:numFmt w:val="bullet"/>
      <w:lvlText w:val=""/>
      <w:lvlJc w:val="left"/>
      <w:pPr>
        <w:tabs>
          <w:tab w:val="num" w:pos="4320"/>
        </w:tabs>
        <w:ind w:left="4320" w:hanging="360"/>
      </w:pPr>
      <w:rPr>
        <w:rFonts w:ascii="Wingdings" w:hAnsi="Wingdings" w:hint="default"/>
      </w:rPr>
    </w:lvl>
    <w:lvl w:ilvl="6" w:tplc="2D3E0C88" w:tentative="1">
      <w:start w:val="1"/>
      <w:numFmt w:val="bullet"/>
      <w:lvlText w:val=""/>
      <w:lvlJc w:val="left"/>
      <w:pPr>
        <w:tabs>
          <w:tab w:val="num" w:pos="5040"/>
        </w:tabs>
        <w:ind w:left="5040" w:hanging="360"/>
      </w:pPr>
      <w:rPr>
        <w:rFonts w:ascii="Symbol" w:hAnsi="Symbol" w:hint="default"/>
      </w:rPr>
    </w:lvl>
    <w:lvl w:ilvl="7" w:tplc="0AEC5C3E" w:tentative="1">
      <w:start w:val="1"/>
      <w:numFmt w:val="bullet"/>
      <w:lvlText w:val="o"/>
      <w:lvlJc w:val="left"/>
      <w:pPr>
        <w:tabs>
          <w:tab w:val="num" w:pos="5760"/>
        </w:tabs>
        <w:ind w:left="5760" w:hanging="360"/>
      </w:pPr>
      <w:rPr>
        <w:rFonts w:ascii="Courier New" w:hAnsi="Courier New" w:hint="default"/>
      </w:rPr>
    </w:lvl>
    <w:lvl w:ilvl="8" w:tplc="180A8BE6" w:tentative="1">
      <w:start w:val="1"/>
      <w:numFmt w:val="bullet"/>
      <w:lvlText w:val=""/>
      <w:lvlJc w:val="left"/>
      <w:pPr>
        <w:tabs>
          <w:tab w:val="num" w:pos="6480"/>
        </w:tabs>
        <w:ind w:left="6480" w:hanging="360"/>
      </w:pPr>
      <w:rPr>
        <w:rFonts w:ascii="Wingdings" w:hAnsi="Wingdings" w:hint="default"/>
      </w:rPr>
    </w:lvl>
  </w:abstractNum>
  <w:abstractNum w:abstractNumId="1">
    <w:nsid w:val="01A431A5"/>
    <w:multiLevelType w:val="singleLevel"/>
    <w:tmpl w:val="FCDAD016"/>
    <w:lvl w:ilvl="0">
      <w:start w:val="1"/>
      <w:numFmt w:val="bullet"/>
      <w:pStyle w:val="ListBullet1"/>
      <w:lvlText w:val=""/>
      <w:lvlJc w:val="left"/>
      <w:pPr>
        <w:tabs>
          <w:tab w:val="num" w:pos="360"/>
        </w:tabs>
        <w:ind w:left="360" w:hanging="360"/>
      </w:pPr>
      <w:rPr>
        <w:rFonts w:ascii="Wingdings" w:hAnsi="Wingdings" w:hint="default"/>
      </w:rPr>
    </w:lvl>
  </w:abstractNum>
  <w:abstractNum w:abstractNumId="2">
    <w:nsid w:val="061C00CF"/>
    <w:multiLevelType w:val="hybridMultilevel"/>
    <w:tmpl w:val="ABCAF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F20208"/>
    <w:multiLevelType w:val="singleLevel"/>
    <w:tmpl w:val="B5AC3962"/>
    <w:lvl w:ilvl="0">
      <w:start w:val="1"/>
      <w:numFmt w:val="bullet"/>
      <w:pStyle w:val="Bullet"/>
      <w:lvlText w:val=""/>
      <w:lvlJc w:val="left"/>
      <w:pPr>
        <w:tabs>
          <w:tab w:val="num" w:pos="360"/>
        </w:tabs>
        <w:ind w:left="360" w:hanging="360"/>
      </w:pPr>
      <w:rPr>
        <w:rFonts w:ascii="Symbol" w:hAnsi="Symbol" w:hint="default"/>
      </w:rPr>
    </w:lvl>
  </w:abstractNum>
  <w:abstractNum w:abstractNumId="4">
    <w:nsid w:val="0CD14F8D"/>
    <w:multiLevelType w:val="hybridMultilevel"/>
    <w:tmpl w:val="21ECA3C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EA86DCF"/>
    <w:multiLevelType w:val="hybridMultilevel"/>
    <w:tmpl w:val="023E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D3773A"/>
    <w:multiLevelType w:val="singleLevel"/>
    <w:tmpl w:val="18CA76E8"/>
    <w:lvl w:ilvl="0">
      <w:start w:val="1"/>
      <w:numFmt w:val="bullet"/>
      <w:pStyle w:val="TaBult1"/>
      <w:lvlText w:val=""/>
      <w:lvlJc w:val="left"/>
      <w:pPr>
        <w:tabs>
          <w:tab w:val="num" w:pos="360"/>
        </w:tabs>
        <w:ind w:left="360" w:hanging="360"/>
      </w:pPr>
      <w:rPr>
        <w:rFonts w:ascii="Wingdings" w:hAnsi="Wingdings" w:hint="default"/>
      </w:rPr>
    </w:lvl>
  </w:abstractNum>
  <w:abstractNum w:abstractNumId="7">
    <w:nsid w:val="20231E57"/>
    <w:multiLevelType w:val="singleLevel"/>
    <w:tmpl w:val="B5E20F18"/>
    <w:lvl w:ilvl="0">
      <w:start w:val="1"/>
      <w:numFmt w:val="bullet"/>
      <w:pStyle w:val="Bullet1"/>
      <w:lvlText w:val=""/>
      <w:lvlJc w:val="left"/>
      <w:pPr>
        <w:tabs>
          <w:tab w:val="num" w:pos="360"/>
        </w:tabs>
        <w:ind w:left="360" w:hanging="360"/>
      </w:pPr>
      <w:rPr>
        <w:rFonts w:ascii="Symbol" w:hAnsi="Symbol" w:hint="default"/>
      </w:rPr>
    </w:lvl>
  </w:abstractNum>
  <w:abstractNum w:abstractNumId="8">
    <w:nsid w:val="22E44180"/>
    <w:multiLevelType w:val="multilevel"/>
    <w:tmpl w:val="6C90453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3CF01AE"/>
    <w:multiLevelType w:val="multilevel"/>
    <w:tmpl w:val="1E66B5CC"/>
    <w:lvl w:ilvl="0">
      <w:start w:val="1"/>
      <w:numFmt w:val="bullet"/>
      <w:pStyle w:val="List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B75631B"/>
    <w:multiLevelType w:val="singleLevel"/>
    <w:tmpl w:val="D1F2C4D8"/>
    <w:lvl w:ilvl="0">
      <w:start w:val="1"/>
      <w:numFmt w:val="bullet"/>
      <w:pStyle w:val="ListNumber"/>
      <w:lvlText w:val=""/>
      <w:lvlJc w:val="left"/>
      <w:pPr>
        <w:tabs>
          <w:tab w:val="num" w:pos="765"/>
        </w:tabs>
        <w:ind w:left="765" w:hanging="283"/>
      </w:pPr>
      <w:rPr>
        <w:rFonts w:ascii="Symbol" w:hAnsi="Symbol"/>
      </w:rPr>
    </w:lvl>
  </w:abstractNum>
  <w:abstractNum w:abstractNumId="11">
    <w:nsid w:val="2CD40552"/>
    <w:multiLevelType w:val="hybridMultilevel"/>
    <w:tmpl w:val="726C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ED044C"/>
    <w:multiLevelType w:val="hybridMultilevel"/>
    <w:tmpl w:val="279E5052"/>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F144D28"/>
    <w:multiLevelType w:val="singleLevel"/>
    <w:tmpl w:val="6DC45E2C"/>
    <w:lvl w:ilvl="0">
      <w:start w:val="1"/>
      <w:numFmt w:val="bullet"/>
      <w:pStyle w:val="Bullet10"/>
      <w:lvlText w:val=""/>
      <w:lvlJc w:val="left"/>
      <w:pPr>
        <w:tabs>
          <w:tab w:val="num" w:pos="360"/>
        </w:tabs>
        <w:ind w:left="360" w:hanging="360"/>
      </w:pPr>
      <w:rPr>
        <w:rFonts w:ascii="Symbol" w:hAnsi="Symbol" w:hint="default"/>
      </w:rPr>
    </w:lvl>
  </w:abstractNum>
  <w:abstractNum w:abstractNumId="14">
    <w:nsid w:val="3C914D61"/>
    <w:multiLevelType w:val="singleLevel"/>
    <w:tmpl w:val="C2F6FA2A"/>
    <w:lvl w:ilvl="0">
      <w:start w:val="1"/>
      <w:numFmt w:val="decimal"/>
      <w:pStyle w:val="Listnumber2cm"/>
      <w:lvlText w:val="%1"/>
      <w:lvlJc w:val="left"/>
      <w:pPr>
        <w:tabs>
          <w:tab w:val="num" w:pos="1701"/>
        </w:tabs>
        <w:ind w:left="1701" w:hanging="567"/>
      </w:pPr>
      <w:rPr>
        <w:rFonts w:hint="default"/>
      </w:rPr>
    </w:lvl>
  </w:abstractNum>
  <w:abstractNum w:abstractNumId="15">
    <w:nsid w:val="3E503334"/>
    <w:multiLevelType w:val="hybridMultilevel"/>
    <w:tmpl w:val="8744AD0A"/>
    <w:lvl w:ilvl="0" w:tplc="080C0001">
      <w:start w:val="1"/>
      <w:numFmt w:val="bullet"/>
      <w:lvlText w:val=""/>
      <w:lvlJc w:val="left"/>
      <w:pPr>
        <w:ind w:left="643" w:hanging="360"/>
      </w:pPr>
      <w:rPr>
        <w:rFonts w:ascii="Symbol" w:hAnsi="Symbol" w:hint="default"/>
        <w:b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nsid w:val="40A83CEA"/>
    <w:multiLevelType w:val="hybridMultilevel"/>
    <w:tmpl w:val="541C3B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1260B5C"/>
    <w:multiLevelType w:val="hybridMultilevel"/>
    <w:tmpl w:val="4630169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2544AE5"/>
    <w:multiLevelType w:val="hybridMultilevel"/>
    <w:tmpl w:val="072697CC"/>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nsid w:val="44AA7DEB"/>
    <w:multiLevelType w:val="singleLevel"/>
    <w:tmpl w:val="5798E670"/>
    <w:lvl w:ilvl="0">
      <w:start w:val="1"/>
      <w:numFmt w:val="bullet"/>
      <w:pStyle w:val="Puce2"/>
      <w:lvlText w:val=""/>
      <w:lvlJc w:val="left"/>
      <w:pPr>
        <w:tabs>
          <w:tab w:val="num" w:pos="927"/>
        </w:tabs>
        <w:ind w:left="907" w:hanging="340"/>
      </w:pPr>
      <w:rPr>
        <w:rFonts w:ascii="Wingdings" w:hAnsi="Wingdings" w:hint="default"/>
      </w:rPr>
    </w:lvl>
  </w:abstractNum>
  <w:abstractNum w:abstractNumId="20">
    <w:nsid w:val="465D172F"/>
    <w:multiLevelType w:val="multilevel"/>
    <w:tmpl w:val="9CBAF6BE"/>
    <w:lvl w:ilvl="0">
      <w:start w:val="1"/>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C3B30B9"/>
    <w:multiLevelType w:val="hybridMultilevel"/>
    <w:tmpl w:val="AD448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F12FAC"/>
    <w:multiLevelType w:val="hybridMultilevel"/>
    <w:tmpl w:val="DA3CDF7E"/>
    <w:lvl w:ilvl="0" w:tplc="E06C5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195C26"/>
    <w:multiLevelType w:val="singleLevel"/>
    <w:tmpl w:val="2A2099E6"/>
    <w:lvl w:ilvl="0">
      <w:start w:val="1"/>
      <w:numFmt w:val="bullet"/>
      <w:pStyle w:val="Lista"/>
      <w:lvlText w:val=""/>
      <w:lvlJc w:val="left"/>
      <w:pPr>
        <w:tabs>
          <w:tab w:val="num" w:pos="360"/>
        </w:tabs>
        <w:ind w:left="360" w:hanging="360"/>
      </w:pPr>
      <w:rPr>
        <w:rFonts w:ascii="Symbol" w:hAnsi="Symbol" w:hint="default"/>
      </w:rPr>
    </w:lvl>
  </w:abstractNum>
  <w:abstractNum w:abstractNumId="24">
    <w:nsid w:val="5687478B"/>
    <w:multiLevelType w:val="hybridMultilevel"/>
    <w:tmpl w:val="DF9CF0A4"/>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nsid w:val="5BB02CEE"/>
    <w:multiLevelType w:val="hybridMultilevel"/>
    <w:tmpl w:val="A47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EA11F0"/>
    <w:multiLevelType w:val="hybridMultilevel"/>
    <w:tmpl w:val="16D07B52"/>
    <w:lvl w:ilvl="0" w:tplc="E898B9B8">
      <w:start w:val="1"/>
      <w:numFmt w:val="bullet"/>
      <w:pStyle w:val="Listbullet1cm"/>
      <w:lvlText w:val=""/>
      <w:lvlJc w:val="left"/>
      <w:pPr>
        <w:tabs>
          <w:tab w:val="num" w:pos="1647"/>
        </w:tabs>
        <w:ind w:left="1627" w:hanging="340"/>
      </w:pPr>
      <w:rPr>
        <w:rFonts w:ascii="Symbol" w:hAnsi="Symbol" w:hint="default"/>
        <w:sz w:val="20"/>
      </w:rPr>
    </w:lvl>
    <w:lvl w:ilvl="1" w:tplc="387C74FA" w:tentative="1">
      <w:start w:val="1"/>
      <w:numFmt w:val="bullet"/>
      <w:lvlText w:val="o"/>
      <w:lvlJc w:val="left"/>
      <w:pPr>
        <w:tabs>
          <w:tab w:val="num" w:pos="1440"/>
        </w:tabs>
        <w:ind w:left="1440" w:hanging="360"/>
      </w:pPr>
      <w:rPr>
        <w:rFonts w:ascii="Courier New" w:hAnsi="Courier New" w:hint="default"/>
      </w:rPr>
    </w:lvl>
    <w:lvl w:ilvl="2" w:tplc="3B7E9B3E" w:tentative="1">
      <w:start w:val="1"/>
      <w:numFmt w:val="bullet"/>
      <w:lvlText w:val=""/>
      <w:lvlJc w:val="left"/>
      <w:pPr>
        <w:tabs>
          <w:tab w:val="num" w:pos="2160"/>
        </w:tabs>
        <w:ind w:left="2160" w:hanging="360"/>
      </w:pPr>
      <w:rPr>
        <w:rFonts w:ascii="Wingdings" w:hAnsi="Wingdings" w:hint="default"/>
      </w:rPr>
    </w:lvl>
    <w:lvl w:ilvl="3" w:tplc="24345B38" w:tentative="1">
      <w:start w:val="1"/>
      <w:numFmt w:val="bullet"/>
      <w:lvlText w:val=""/>
      <w:lvlJc w:val="left"/>
      <w:pPr>
        <w:tabs>
          <w:tab w:val="num" w:pos="2880"/>
        </w:tabs>
        <w:ind w:left="2880" w:hanging="360"/>
      </w:pPr>
      <w:rPr>
        <w:rFonts w:ascii="Symbol" w:hAnsi="Symbol" w:hint="default"/>
      </w:rPr>
    </w:lvl>
    <w:lvl w:ilvl="4" w:tplc="C8B8E8CC" w:tentative="1">
      <w:start w:val="1"/>
      <w:numFmt w:val="bullet"/>
      <w:lvlText w:val="o"/>
      <w:lvlJc w:val="left"/>
      <w:pPr>
        <w:tabs>
          <w:tab w:val="num" w:pos="3600"/>
        </w:tabs>
        <w:ind w:left="3600" w:hanging="360"/>
      </w:pPr>
      <w:rPr>
        <w:rFonts w:ascii="Courier New" w:hAnsi="Courier New" w:hint="default"/>
      </w:rPr>
    </w:lvl>
    <w:lvl w:ilvl="5" w:tplc="83DABCBE" w:tentative="1">
      <w:start w:val="1"/>
      <w:numFmt w:val="bullet"/>
      <w:lvlText w:val=""/>
      <w:lvlJc w:val="left"/>
      <w:pPr>
        <w:tabs>
          <w:tab w:val="num" w:pos="4320"/>
        </w:tabs>
        <w:ind w:left="4320" w:hanging="360"/>
      </w:pPr>
      <w:rPr>
        <w:rFonts w:ascii="Wingdings" w:hAnsi="Wingdings" w:hint="default"/>
      </w:rPr>
    </w:lvl>
    <w:lvl w:ilvl="6" w:tplc="65D04D92" w:tentative="1">
      <w:start w:val="1"/>
      <w:numFmt w:val="bullet"/>
      <w:lvlText w:val=""/>
      <w:lvlJc w:val="left"/>
      <w:pPr>
        <w:tabs>
          <w:tab w:val="num" w:pos="5040"/>
        </w:tabs>
        <w:ind w:left="5040" w:hanging="360"/>
      </w:pPr>
      <w:rPr>
        <w:rFonts w:ascii="Symbol" w:hAnsi="Symbol" w:hint="default"/>
      </w:rPr>
    </w:lvl>
    <w:lvl w:ilvl="7" w:tplc="476C85D6" w:tentative="1">
      <w:start w:val="1"/>
      <w:numFmt w:val="bullet"/>
      <w:lvlText w:val="o"/>
      <w:lvlJc w:val="left"/>
      <w:pPr>
        <w:tabs>
          <w:tab w:val="num" w:pos="5760"/>
        </w:tabs>
        <w:ind w:left="5760" w:hanging="360"/>
      </w:pPr>
      <w:rPr>
        <w:rFonts w:ascii="Courier New" w:hAnsi="Courier New" w:hint="default"/>
      </w:rPr>
    </w:lvl>
    <w:lvl w:ilvl="8" w:tplc="DF8A4592" w:tentative="1">
      <w:start w:val="1"/>
      <w:numFmt w:val="bullet"/>
      <w:lvlText w:val=""/>
      <w:lvlJc w:val="left"/>
      <w:pPr>
        <w:tabs>
          <w:tab w:val="num" w:pos="6480"/>
        </w:tabs>
        <w:ind w:left="6480" w:hanging="360"/>
      </w:pPr>
      <w:rPr>
        <w:rFonts w:ascii="Wingdings" w:hAnsi="Wingdings" w:hint="default"/>
      </w:rPr>
    </w:lvl>
  </w:abstractNum>
  <w:abstractNum w:abstractNumId="27">
    <w:nsid w:val="662B5C67"/>
    <w:multiLevelType w:val="singleLevel"/>
    <w:tmpl w:val="8F10F890"/>
    <w:lvl w:ilvl="0">
      <w:start w:val="1"/>
      <w:numFmt w:val="bullet"/>
      <w:pStyle w:val="BodyTextIndent"/>
      <w:lvlText w:val="–"/>
      <w:lvlJc w:val="left"/>
      <w:pPr>
        <w:tabs>
          <w:tab w:val="num" w:pos="283"/>
        </w:tabs>
        <w:ind w:left="283" w:hanging="283"/>
      </w:pPr>
      <w:rPr>
        <w:rFonts w:ascii="Times New Roman" w:hAnsi="Times New Roman"/>
      </w:rPr>
    </w:lvl>
  </w:abstractNum>
  <w:abstractNum w:abstractNumId="28">
    <w:nsid w:val="66C02E3F"/>
    <w:multiLevelType w:val="hybridMultilevel"/>
    <w:tmpl w:val="91B0992A"/>
    <w:lvl w:ilvl="0" w:tplc="BE84792A">
      <w:start w:val="1"/>
      <w:numFmt w:val="decimal"/>
      <w:lvlText w:val="%1."/>
      <w:lvlJc w:val="left"/>
      <w:pPr>
        <w:tabs>
          <w:tab w:val="num" w:pos="720"/>
        </w:tabs>
        <w:ind w:left="720" w:hanging="360"/>
      </w:pPr>
    </w:lvl>
    <w:lvl w:ilvl="1" w:tplc="AB4ADF3A">
      <w:start w:val="1"/>
      <w:numFmt w:val="bullet"/>
      <w:pStyle w:val="TableBullet"/>
      <w:lvlText w:val=""/>
      <w:lvlJc w:val="left"/>
      <w:pPr>
        <w:tabs>
          <w:tab w:val="num" w:pos="1440"/>
        </w:tabs>
        <w:ind w:left="1420" w:hanging="340"/>
      </w:pPr>
      <w:rPr>
        <w:rFonts w:ascii="Symbol" w:hAnsi="Symbol" w:hint="default"/>
      </w:rPr>
    </w:lvl>
    <w:lvl w:ilvl="2" w:tplc="728012D0">
      <w:start w:val="1"/>
      <w:numFmt w:val="lowerRoman"/>
      <w:lvlText w:val="%3."/>
      <w:lvlJc w:val="right"/>
      <w:pPr>
        <w:tabs>
          <w:tab w:val="num" w:pos="2160"/>
        </w:tabs>
        <w:ind w:left="2160" w:hanging="180"/>
      </w:pPr>
    </w:lvl>
    <w:lvl w:ilvl="3" w:tplc="188E441A" w:tentative="1">
      <w:start w:val="1"/>
      <w:numFmt w:val="decimal"/>
      <w:lvlText w:val="%4."/>
      <w:lvlJc w:val="left"/>
      <w:pPr>
        <w:tabs>
          <w:tab w:val="num" w:pos="2880"/>
        </w:tabs>
        <w:ind w:left="2880" w:hanging="360"/>
      </w:pPr>
    </w:lvl>
    <w:lvl w:ilvl="4" w:tplc="FD262742" w:tentative="1">
      <w:start w:val="1"/>
      <w:numFmt w:val="lowerLetter"/>
      <w:lvlText w:val="%5."/>
      <w:lvlJc w:val="left"/>
      <w:pPr>
        <w:tabs>
          <w:tab w:val="num" w:pos="3600"/>
        </w:tabs>
        <w:ind w:left="3600" w:hanging="360"/>
      </w:pPr>
    </w:lvl>
    <w:lvl w:ilvl="5" w:tplc="77C2C0B4" w:tentative="1">
      <w:start w:val="1"/>
      <w:numFmt w:val="lowerRoman"/>
      <w:lvlText w:val="%6."/>
      <w:lvlJc w:val="right"/>
      <w:pPr>
        <w:tabs>
          <w:tab w:val="num" w:pos="4320"/>
        </w:tabs>
        <w:ind w:left="4320" w:hanging="180"/>
      </w:pPr>
    </w:lvl>
    <w:lvl w:ilvl="6" w:tplc="38D81E78" w:tentative="1">
      <w:start w:val="1"/>
      <w:numFmt w:val="decimal"/>
      <w:lvlText w:val="%7."/>
      <w:lvlJc w:val="left"/>
      <w:pPr>
        <w:tabs>
          <w:tab w:val="num" w:pos="5040"/>
        </w:tabs>
        <w:ind w:left="5040" w:hanging="360"/>
      </w:pPr>
    </w:lvl>
    <w:lvl w:ilvl="7" w:tplc="20EC8814" w:tentative="1">
      <w:start w:val="1"/>
      <w:numFmt w:val="lowerLetter"/>
      <w:lvlText w:val="%8."/>
      <w:lvlJc w:val="left"/>
      <w:pPr>
        <w:tabs>
          <w:tab w:val="num" w:pos="5760"/>
        </w:tabs>
        <w:ind w:left="5760" w:hanging="360"/>
      </w:pPr>
    </w:lvl>
    <w:lvl w:ilvl="8" w:tplc="EF3C8C46" w:tentative="1">
      <w:start w:val="1"/>
      <w:numFmt w:val="lowerRoman"/>
      <w:lvlText w:val="%9."/>
      <w:lvlJc w:val="right"/>
      <w:pPr>
        <w:tabs>
          <w:tab w:val="num" w:pos="6480"/>
        </w:tabs>
        <w:ind w:left="6480" w:hanging="180"/>
      </w:pPr>
    </w:lvl>
  </w:abstractNum>
  <w:abstractNum w:abstractNumId="29">
    <w:nsid w:val="67381CEE"/>
    <w:multiLevelType w:val="hybridMultilevel"/>
    <w:tmpl w:val="BAF01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58419E"/>
    <w:multiLevelType w:val="multilevel"/>
    <w:tmpl w:val="DDD0F768"/>
    <w:lvl w:ilvl="0">
      <w:start w:val="1"/>
      <w:numFmt w:val="bullet"/>
      <w:pStyle w:val="SteriaBullet"/>
      <w:lvlText w:val=""/>
      <w:lvlJc w:val="left"/>
      <w:pPr>
        <w:tabs>
          <w:tab w:val="num" w:pos="4235"/>
        </w:tabs>
        <w:ind w:left="4235" w:hanging="360"/>
      </w:pPr>
      <w:rPr>
        <w:rFonts w:ascii="Wingdings" w:hAnsi="Wingdings" w:hint="default"/>
        <w:color w:val="FF5900"/>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AE4708B"/>
    <w:multiLevelType w:val="hybridMultilevel"/>
    <w:tmpl w:val="9654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6764EE"/>
    <w:multiLevelType w:val="multilevel"/>
    <w:tmpl w:val="590CAE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3130"/>
        </w:tabs>
        <w:ind w:left="3130" w:hanging="720"/>
      </w:pPr>
    </w:lvl>
    <w:lvl w:ilvl="3">
      <w:start w:val="1"/>
      <w:numFmt w:val="decimal"/>
      <w:pStyle w:val="Heading4"/>
      <w:lvlText w:val="%1.%2.%3.%4"/>
      <w:lvlJc w:val="left"/>
      <w:pPr>
        <w:tabs>
          <w:tab w:val="num" w:pos="3842"/>
        </w:tabs>
        <w:ind w:left="3842" w:hanging="864"/>
      </w:pPr>
    </w:lvl>
    <w:lvl w:ilvl="4">
      <w:start w:val="1"/>
      <w:numFmt w:val="decimal"/>
      <w:pStyle w:val="Heading5"/>
      <w:lvlText w:val="%1.%2.%3.%4.%5"/>
      <w:lvlJc w:val="left"/>
      <w:pPr>
        <w:tabs>
          <w:tab w:val="num" w:pos="4269"/>
        </w:tabs>
        <w:ind w:left="4269"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nsid w:val="74A06403"/>
    <w:multiLevelType w:val="hybridMultilevel"/>
    <w:tmpl w:val="9F4A8AF2"/>
    <w:lvl w:ilvl="0" w:tplc="DC7AC5D2">
      <w:start w:val="1"/>
      <w:numFmt w:val="decimal"/>
      <w:pStyle w:val="Listnumber1cm"/>
      <w:lvlText w:val="%1"/>
      <w:lvlJc w:val="left"/>
      <w:pPr>
        <w:tabs>
          <w:tab w:val="num" w:pos="927"/>
        </w:tabs>
        <w:ind w:left="851" w:hanging="284"/>
      </w:pPr>
      <w:rPr>
        <w:rFonts w:hint="default"/>
      </w:rPr>
    </w:lvl>
    <w:lvl w:ilvl="1" w:tplc="AFFCEF48" w:tentative="1">
      <w:start w:val="1"/>
      <w:numFmt w:val="lowerLetter"/>
      <w:lvlText w:val="%2."/>
      <w:lvlJc w:val="left"/>
      <w:pPr>
        <w:tabs>
          <w:tab w:val="num" w:pos="1440"/>
        </w:tabs>
        <w:ind w:left="1440" w:hanging="360"/>
      </w:pPr>
    </w:lvl>
    <w:lvl w:ilvl="2" w:tplc="279CE068" w:tentative="1">
      <w:start w:val="1"/>
      <w:numFmt w:val="lowerRoman"/>
      <w:lvlText w:val="%3."/>
      <w:lvlJc w:val="right"/>
      <w:pPr>
        <w:tabs>
          <w:tab w:val="num" w:pos="2160"/>
        </w:tabs>
        <w:ind w:left="2160" w:hanging="180"/>
      </w:pPr>
    </w:lvl>
    <w:lvl w:ilvl="3" w:tplc="BA000492" w:tentative="1">
      <w:start w:val="1"/>
      <w:numFmt w:val="decimal"/>
      <w:lvlText w:val="%4."/>
      <w:lvlJc w:val="left"/>
      <w:pPr>
        <w:tabs>
          <w:tab w:val="num" w:pos="2880"/>
        </w:tabs>
        <w:ind w:left="2880" w:hanging="360"/>
      </w:pPr>
    </w:lvl>
    <w:lvl w:ilvl="4" w:tplc="A1E8A902" w:tentative="1">
      <w:start w:val="1"/>
      <w:numFmt w:val="lowerLetter"/>
      <w:lvlText w:val="%5."/>
      <w:lvlJc w:val="left"/>
      <w:pPr>
        <w:tabs>
          <w:tab w:val="num" w:pos="3600"/>
        </w:tabs>
        <w:ind w:left="3600" w:hanging="360"/>
      </w:pPr>
    </w:lvl>
    <w:lvl w:ilvl="5" w:tplc="4D2E328A" w:tentative="1">
      <w:start w:val="1"/>
      <w:numFmt w:val="lowerRoman"/>
      <w:lvlText w:val="%6."/>
      <w:lvlJc w:val="right"/>
      <w:pPr>
        <w:tabs>
          <w:tab w:val="num" w:pos="4320"/>
        </w:tabs>
        <w:ind w:left="4320" w:hanging="180"/>
      </w:pPr>
    </w:lvl>
    <w:lvl w:ilvl="6" w:tplc="27E29162" w:tentative="1">
      <w:start w:val="1"/>
      <w:numFmt w:val="decimal"/>
      <w:lvlText w:val="%7."/>
      <w:lvlJc w:val="left"/>
      <w:pPr>
        <w:tabs>
          <w:tab w:val="num" w:pos="5040"/>
        </w:tabs>
        <w:ind w:left="5040" w:hanging="360"/>
      </w:pPr>
    </w:lvl>
    <w:lvl w:ilvl="7" w:tplc="D1B82ED0" w:tentative="1">
      <w:start w:val="1"/>
      <w:numFmt w:val="lowerLetter"/>
      <w:lvlText w:val="%8."/>
      <w:lvlJc w:val="left"/>
      <w:pPr>
        <w:tabs>
          <w:tab w:val="num" w:pos="5760"/>
        </w:tabs>
        <w:ind w:left="5760" w:hanging="360"/>
      </w:pPr>
    </w:lvl>
    <w:lvl w:ilvl="8" w:tplc="2C0A0A6A" w:tentative="1">
      <w:start w:val="1"/>
      <w:numFmt w:val="lowerRoman"/>
      <w:lvlText w:val="%9."/>
      <w:lvlJc w:val="right"/>
      <w:pPr>
        <w:tabs>
          <w:tab w:val="num" w:pos="6480"/>
        </w:tabs>
        <w:ind w:left="6480" w:hanging="180"/>
      </w:pPr>
    </w:lvl>
  </w:abstractNum>
  <w:abstractNum w:abstractNumId="34">
    <w:nsid w:val="7EE31169"/>
    <w:multiLevelType w:val="hybridMultilevel"/>
    <w:tmpl w:val="29BED7C2"/>
    <w:lvl w:ilvl="0" w:tplc="E06C5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8"/>
  </w:num>
  <w:num w:numId="3">
    <w:abstractNumId w:val="0"/>
  </w:num>
  <w:num w:numId="4">
    <w:abstractNumId w:val="14"/>
  </w:num>
  <w:num w:numId="5">
    <w:abstractNumId w:val="26"/>
  </w:num>
  <w:num w:numId="6">
    <w:abstractNumId w:val="33"/>
  </w:num>
  <w:num w:numId="7">
    <w:abstractNumId w:val="20"/>
  </w:num>
  <w:num w:numId="8">
    <w:abstractNumId w:val="3"/>
  </w:num>
  <w:num w:numId="9">
    <w:abstractNumId w:val="7"/>
  </w:num>
  <w:num w:numId="10">
    <w:abstractNumId w:val="13"/>
  </w:num>
  <w:num w:numId="11">
    <w:abstractNumId w:val="23"/>
  </w:num>
  <w:num w:numId="12">
    <w:abstractNumId w:val="9"/>
  </w:num>
  <w:num w:numId="13">
    <w:abstractNumId w:val="1"/>
  </w:num>
  <w:num w:numId="14">
    <w:abstractNumId w:val="10"/>
  </w:num>
  <w:num w:numId="15">
    <w:abstractNumId w:val="19"/>
  </w:num>
  <w:num w:numId="16">
    <w:abstractNumId w:val="30"/>
  </w:num>
  <w:num w:numId="17">
    <w:abstractNumId w:val="6"/>
  </w:num>
  <w:num w:numId="18">
    <w:abstractNumId w:val="27"/>
  </w:num>
  <w:num w:numId="19">
    <w:abstractNumId w:val="11"/>
  </w:num>
  <w:num w:numId="20">
    <w:abstractNumId w:val="31"/>
  </w:num>
  <w:num w:numId="21">
    <w:abstractNumId w:val="8"/>
  </w:num>
  <w:num w:numId="22">
    <w:abstractNumId w:val="21"/>
  </w:num>
  <w:num w:numId="23">
    <w:abstractNumId w:val="32"/>
  </w:num>
  <w:num w:numId="24">
    <w:abstractNumId w:val="32"/>
  </w:num>
  <w:num w:numId="25">
    <w:abstractNumId w:val="32"/>
  </w:num>
  <w:num w:numId="26">
    <w:abstractNumId w:val="32"/>
  </w:num>
  <w:num w:numId="27">
    <w:abstractNumId w:val="15"/>
  </w:num>
  <w:num w:numId="28">
    <w:abstractNumId w:val="22"/>
  </w:num>
  <w:num w:numId="29">
    <w:abstractNumId w:val="34"/>
  </w:num>
  <w:num w:numId="30">
    <w:abstractNumId w:val="32"/>
  </w:num>
  <w:num w:numId="31">
    <w:abstractNumId w:val="25"/>
  </w:num>
  <w:num w:numId="32">
    <w:abstractNumId w:val="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2"/>
  </w:num>
  <w:num w:numId="42">
    <w:abstractNumId w:val="29"/>
  </w:num>
  <w:num w:numId="43">
    <w:abstractNumId w:val="17"/>
  </w:num>
  <w:num w:numId="44">
    <w:abstractNumId w:val="4"/>
  </w:num>
  <w:num w:numId="45">
    <w:abstractNumId w:val="24"/>
  </w:num>
  <w:num w:numId="46">
    <w:abstractNumId w:val="12"/>
  </w:num>
  <w:num w:numId="47">
    <w:abstractNumId w:val="16"/>
  </w:num>
  <w:num w:numId="4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13DE34-71C3-4482-B36D-7B2A162572CA"/>
    <w:docVar w:name="LW_COVERPAGE_TYPE" w:val="1"/>
    <w:docVar w:name="LW_CROSSREFERENCE" w:val="{SWD(2020) 378 final}"/>
    <w:docVar w:name="LW_DocType" w:val="NORMAL"/>
    <w:docVar w:name="LW_EMISSION" w:val="21.12.2020"/>
    <w:docVar w:name="LW_EMISSION_ISODATE" w:val="2020-12-2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u8217?échange, au moyen du système européen d\u8217?information sur les casiers judiciaires (ECRIS), d\u8217?informations extraites de casiers judiciaires entre les États membr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uiPriority w:val="9"/>
    <w:qFormat/>
    <w:pPr>
      <w:keepNext/>
      <w:pageBreakBefore/>
      <w:numPr>
        <w:numId w:val="1"/>
      </w:numPr>
      <w:pBdr>
        <w:bottom w:val="single" w:sz="12" w:space="1" w:color="FF6600"/>
      </w:pBdr>
      <w:spacing w:before="120" w:after="240"/>
      <w:outlineLvl w:val="0"/>
    </w:pPr>
    <w:rPr>
      <w:b/>
      <w:smallCaps/>
      <w:color w:val="000080"/>
      <w:kern w:val="28"/>
      <w:sz w:val="36"/>
    </w:rPr>
  </w:style>
  <w:style w:type="paragraph" w:styleId="Heading2">
    <w:name w:val="heading 2"/>
    <w:aliases w:val="T2,h2,L2,H2,Punt 2,l2,2,Titre 21,t2.T2,t2,Contrat 2,Ctt,t2.T2.Titre 2,TITRE 2,Titre 2ed,Heading 2 Hidden,heading 2,Chapter Number/Appendix Letter,chn,Titre niveau 2,Level 2,Chapitre 2,paragraphe,Titre 2 - RAO,Specf Titre 2,Heading 2a,Header 2"/>
    <w:basedOn w:val="Normal"/>
    <w:next w:val="Normal"/>
    <w:link w:val="Heading2Char"/>
    <w:qFormat/>
    <w:pPr>
      <w:keepNext/>
      <w:numPr>
        <w:ilvl w:val="1"/>
        <w:numId w:val="1"/>
      </w:numPr>
      <w:pBdr>
        <w:bottom w:val="single" w:sz="12" w:space="1" w:color="000080"/>
      </w:pBdr>
      <w:spacing w:before="120"/>
      <w:outlineLvl w:val="1"/>
    </w:pPr>
    <w:rPr>
      <w:b/>
      <w:bCs/>
      <w:smallCaps/>
      <w:color w:val="000080"/>
      <w:sz w:val="32"/>
    </w:rPr>
  </w:style>
  <w:style w:type="paragraph" w:styleId="Heading3">
    <w:name w:val="heading 3"/>
    <w:aliases w:val="3,Titre 31,t3.T3,heading 3,Titre 3+,H3,Titre niveau 3,Titre3,t3,Contrat 3,Titre 3 SQ,Titre 3 SQ1,Titre 3 SQ2,Titre 3 SQ3,Titre 3 SQ4,Titre 3 SQ5,Titre 3 SQ6,Titre 3 SQ7,h3,3rd level,l3,CT,Heading 3 - old,Titre 3 .3,Titre 311,Titre 3 .31,1.2.3."/>
    <w:basedOn w:val="Normal"/>
    <w:next w:val="Normal"/>
    <w:qFormat/>
    <w:pPr>
      <w:keepNext/>
      <w:numPr>
        <w:ilvl w:val="2"/>
        <w:numId w:val="1"/>
      </w:numPr>
      <w:spacing w:before="240" w:after="60"/>
      <w:outlineLvl w:val="2"/>
    </w:pPr>
    <w:rPr>
      <w:b/>
      <w:bCs/>
      <w:smallCaps/>
      <w:color w:val="000080"/>
      <w:sz w:val="28"/>
    </w:rPr>
  </w:style>
  <w:style w:type="paragraph" w:styleId="Heading4">
    <w:name w:val="heading 4"/>
    <w:aliases w:val="4,H4,Titre 41,t4.T4,t4,Chapitre 1.1.1.,Alinéa,dash,h4,Ref Heading 1,rh1,First Subheading,T4,t4.T4.Titre 4,heading 4,l4,I4,(Shift Ctrl 4),Schedules,Heading 4 CFMU"/>
    <w:basedOn w:val="Normal"/>
    <w:next w:val="Normal"/>
    <w:link w:val="Heading4Char"/>
    <w:qFormat/>
    <w:pPr>
      <w:keepNext/>
      <w:numPr>
        <w:ilvl w:val="3"/>
        <w:numId w:val="1"/>
      </w:numPr>
      <w:spacing w:before="240" w:after="60"/>
      <w:outlineLvl w:val="3"/>
    </w:pPr>
    <w:rPr>
      <w:b/>
      <w:smallCaps/>
      <w:color w:val="000080"/>
      <w:sz w:val="24"/>
    </w:rPr>
  </w:style>
  <w:style w:type="paragraph" w:styleId="Heading5">
    <w:name w:val="heading 5"/>
    <w:aliases w:val="H5,Chapitre 1.1.1.1.,Ref Heading 2,rh2,h5,Second Subheading,heading 5,Heading 5 CFMU,Para 5,(Shift Ctrl 5),Appendix A to X,Heading 5   Appendix A to X"/>
    <w:basedOn w:val="Normal"/>
    <w:next w:val="Normal"/>
    <w:qFormat/>
    <w:pPr>
      <w:numPr>
        <w:ilvl w:val="4"/>
        <w:numId w:val="1"/>
      </w:numPr>
      <w:spacing w:before="240" w:after="60"/>
      <w:outlineLvl w:val="4"/>
    </w:pPr>
    <w:rPr>
      <w:b/>
      <w:bCs/>
      <w:smallCaps/>
      <w:color w:val="000080"/>
    </w:rPr>
  </w:style>
  <w:style w:type="paragraph" w:styleId="Heading6">
    <w:name w:val="heading 6"/>
    <w:aliases w:val="6,Heading 6  Appendix Y &amp; Z,h6,Heading 6 CFMU"/>
    <w:basedOn w:val="Normal"/>
    <w:next w:val="Normal"/>
    <w:qFormat/>
    <w:pPr>
      <w:numPr>
        <w:ilvl w:val="5"/>
        <w:numId w:val="1"/>
      </w:numPr>
      <w:spacing w:before="240" w:after="60"/>
      <w:outlineLvl w:val="5"/>
    </w:pPr>
    <w:rPr>
      <w:i/>
      <w:sz w:val="22"/>
    </w:rPr>
  </w:style>
  <w:style w:type="paragraph" w:styleId="Heading7">
    <w:name w:val="heading 7"/>
    <w:aliases w:val="H7,(Shift Ctrl 7),Heading 7 CFMU"/>
    <w:basedOn w:val="Normal"/>
    <w:next w:val="Normal"/>
    <w:qFormat/>
    <w:pPr>
      <w:numPr>
        <w:ilvl w:val="6"/>
        <w:numId w:val="1"/>
      </w:numPr>
      <w:spacing w:before="240" w:after="60"/>
      <w:outlineLvl w:val="6"/>
    </w:pPr>
  </w:style>
  <w:style w:type="paragraph" w:styleId="Heading8">
    <w:name w:val="heading 8"/>
    <w:aliases w:val="Heading 8 CFMU"/>
    <w:basedOn w:val="Normal"/>
    <w:next w:val="Normal"/>
    <w:qFormat/>
    <w:pPr>
      <w:numPr>
        <w:ilvl w:val="7"/>
        <w:numId w:val="1"/>
      </w:numPr>
      <w:spacing w:before="240" w:after="60"/>
      <w:outlineLvl w:val="7"/>
    </w:pPr>
    <w:rPr>
      <w:i/>
    </w:rPr>
  </w:style>
  <w:style w:type="paragraph" w:styleId="Heading9">
    <w:name w:val="heading 9"/>
    <w:aliases w:val="App Heading,Heading 9 CFMU"/>
    <w:basedOn w:val="Normal"/>
    <w:next w:val="Normal"/>
    <w:qFormat/>
    <w:pPr>
      <w:numPr>
        <w:ilvl w:val="8"/>
        <w:numId w:val="1"/>
      </w:numPr>
      <w:spacing w:before="240" w:after="60"/>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jc w:val="both"/>
    </w:pPr>
    <w:rPr>
      <w:rFonts w:ascii="Times New Roman" w:eastAsiaTheme="minorHAnsi" w:hAnsi="Times New Roman" w:cs="Times New Roman"/>
      <w:sz w:val="24"/>
      <w:szCs w:val="22"/>
      <w:lang w:eastAsia="en-US"/>
    </w:rPr>
  </w:style>
  <w:style w:type="paragraph" w:customStyle="1" w:styleId="Bullet1">
    <w:name w:val="Bullet 1"/>
    <w:basedOn w:val="Normal"/>
    <w:pPr>
      <w:numPr>
        <w:numId w:val="9"/>
      </w:numPr>
      <w:tabs>
        <w:tab w:val="clear" w:pos="360"/>
        <w:tab w:val="num" w:pos="900"/>
      </w:tabs>
      <w:spacing w:after="0"/>
      <w:ind w:left="900" w:firstLine="0"/>
      <w:jc w:val="both"/>
    </w:pPr>
    <w:rPr>
      <w:sz w:val="22"/>
    </w:rPr>
  </w:style>
  <w:style w:type="paragraph" w:customStyle="1" w:styleId="Listnumber1cm">
    <w:name w:val="List number 1cm"/>
    <w:basedOn w:val="Normal"/>
    <w:pPr>
      <w:numPr>
        <w:numId w:val="6"/>
      </w:numPr>
      <w:tabs>
        <w:tab w:val="clear" w:pos="927"/>
        <w:tab w:val="num" w:pos="360"/>
        <w:tab w:val="left" w:pos="851"/>
      </w:tabs>
      <w:ind w:left="0" w:firstLine="0"/>
    </w:pPr>
  </w:style>
  <w:style w:type="paragraph" w:customStyle="1" w:styleId="Tableheading">
    <w:name w:val="Table heading"/>
    <w:basedOn w:val="Normal"/>
    <w:pPr>
      <w:spacing w:before="120"/>
      <w:jc w:val="center"/>
    </w:pPr>
    <w:rPr>
      <w:b/>
      <w:color w:val="000080"/>
    </w:rPr>
  </w:style>
  <w:style w:type="paragraph" w:customStyle="1" w:styleId="Tabletext">
    <w:name w:val="Table text"/>
    <w:basedOn w:val="Normal"/>
    <w:pPr>
      <w:spacing w:before="60" w:after="60"/>
    </w:pPr>
  </w:style>
  <w:style w:type="paragraph" w:styleId="TOC1">
    <w:name w:val="toc 1"/>
    <w:basedOn w:val="Normal"/>
    <w:next w:val="Normal"/>
    <w:autoRedefine/>
    <w:uiPriority w:val="39"/>
    <w:pPr>
      <w:spacing w:before="120"/>
    </w:pPr>
    <w:rPr>
      <w:b/>
      <w:bCs/>
      <w:caps/>
      <w:szCs w:val="24"/>
    </w:rPr>
  </w:style>
  <w:style w:type="character" w:styleId="Hyperlink">
    <w:name w:val="Hyperlink"/>
    <w:uiPriority w:val="99"/>
    <w:rPr>
      <w:color w:val="0000FF"/>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ascii="Times New Roman" w:eastAsiaTheme="minorHAnsi" w:hAnsi="Times New Roman" w:cs="Times New Roman"/>
      <w:sz w:val="24"/>
      <w:szCs w:val="22"/>
      <w:lang w:eastAsia="en-US"/>
    </w:rPr>
  </w:style>
  <w:style w:type="paragraph" w:styleId="Title">
    <w:name w:val="Title"/>
    <w:basedOn w:val="Normal"/>
    <w:next w:val="Normal"/>
    <w:link w:val="TitleChar"/>
    <w:qFormat/>
    <w:pPr>
      <w:keepLines/>
      <w:spacing w:before="480" w:after="480"/>
      <w:jc w:val="center"/>
    </w:pPr>
    <w:rPr>
      <w:b/>
      <w:caps/>
      <w:color w:val="000080"/>
      <w:sz w:val="32"/>
    </w:rPr>
  </w:style>
  <w:style w:type="paragraph" w:styleId="TOC2">
    <w:name w:val="toc 2"/>
    <w:basedOn w:val="Normal"/>
    <w:next w:val="Normal"/>
    <w:autoRedefine/>
    <w:uiPriority w:val="39"/>
    <w:pPr>
      <w:ind w:left="200"/>
    </w:pPr>
    <w:rPr>
      <w:smallCaps/>
      <w:szCs w:val="24"/>
    </w:rPr>
  </w:style>
  <w:style w:type="paragraph" w:styleId="TOC3">
    <w:name w:val="toc 3"/>
    <w:basedOn w:val="Normal"/>
    <w:next w:val="Normal"/>
    <w:autoRedefine/>
    <w:uiPriority w:val="39"/>
    <w:pPr>
      <w:ind w:left="400"/>
    </w:pPr>
    <w:rPr>
      <w:i/>
      <w:iCs/>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customStyle="1" w:styleId="TableBullet">
    <w:name w:val="Table Bullet"/>
    <w:basedOn w:val="Normal"/>
    <w:pPr>
      <w:numPr>
        <w:ilvl w:val="1"/>
        <w:numId w:val="2"/>
      </w:numPr>
      <w:tabs>
        <w:tab w:val="clear" w:pos="1440"/>
        <w:tab w:val="num" w:pos="128"/>
      </w:tabs>
      <w:ind w:left="128" w:hanging="128"/>
    </w:pPr>
  </w:style>
  <w:style w:type="character" w:styleId="FollowedHyperlink">
    <w:name w:val="FollowedHyperlink"/>
    <w:rPr>
      <w:color w:val="800080"/>
      <w:u w:val="single"/>
    </w:rPr>
  </w:style>
  <w:style w:type="paragraph" w:customStyle="1" w:styleId="Listbullet1cm">
    <w:name w:val="List bullet 1cm"/>
    <w:basedOn w:val="Normal"/>
    <w:pPr>
      <w:numPr>
        <w:numId w:val="5"/>
      </w:numPr>
      <w:tabs>
        <w:tab w:val="clear" w:pos="1647"/>
        <w:tab w:val="num" w:pos="851"/>
      </w:tabs>
      <w:ind w:left="851" w:hanging="284"/>
    </w:pPr>
    <w:rPr>
      <w:rFonts w:eastAsia="MS Mincho"/>
      <w:lang w:eastAsia="ja-JP"/>
    </w:rPr>
  </w:style>
  <w:style w:type="paragraph" w:customStyle="1" w:styleId="Listbullet2cm">
    <w:name w:val="List bullet 2cm"/>
    <w:basedOn w:val="Normal"/>
    <w:pPr>
      <w:numPr>
        <w:numId w:val="3"/>
      </w:numPr>
    </w:pPr>
  </w:style>
  <w:style w:type="paragraph" w:styleId="FootnoteText">
    <w:name w:val="footnote text"/>
    <w:basedOn w:val="Normal"/>
    <w:link w:val="FootnoteTextChar"/>
    <w:semiHidden/>
    <w:rPr>
      <w:sz w:val="16"/>
    </w:rPr>
  </w:style>
  <w:style w:type="character" w:styleId="FootnoteReference">
    <w:name w:val="footnote reference"/>
    <w:semiHidden/>
    <w:rPr>
      <w:vertAlign w:val="superscript"/>
    </w:rPr>
  </w:style>
  <w:style w:type="paragraph" w:customStyle="1" w:styleId="Listnumber2cm">
    <w:name w:val="List number 2cm"/>
    <w:basedOn w:val="Listbullet2cm"/>
    <w:pPr>
      <w:numPr>
        <w:numId w:val="4"/>
      </w:numPr>
      <w:tabs>
        <w:tab w:val="clear" w:pos="1701"/>
        <w:tab w:val="num" w:pos="1418"/>
      </w:tabs>
      <w:ind w:left="1418" w:hanging="284"/>
    </w:pPr>
  </w:style>
  <w:style w:type="paragraph" w:customStyle="1" w:styleId="ListNumber1">
    <w:name w:val="List Number 1"/>
    <w:basedOn w:val="Normal"/>
    <w:pPr>
      <w:numPr>
        <w:numId w:val="7"/>
      </w:numPr>
      <w:spacing w:before="240" w:after="240"/>
      <w:jc w:val="both"/>
    </w:pPr>
    <w:rPr>
      <w:sz w:val="22"/>
    </w:rPr>
  </w:style>
  <w:style w:type="paragraph" w:customStyle="1" w:styleId="ListNumber1Level2">
    <w:name w:val="List Number 1 (Level 2)"/>
    <w:basedOn w:val="Normal"/>
    <w:pPr>
      <w:numPr>
        <w:ilvl w:val="1"/>
        <w:numId w:val="7"/>
      </w:numPr>
      <w:spacing w:after="240"/>
      <w:jc w:val="both"/>
    </w:pPr>
    <w:rPr>
      <w:sz w:val="22"/>
    </w:rPr>
  </w:style>
  <w:style w:type="paragraph" w:customStyle="1" w:styleId="ListNumber1Level3">
    <w:name w:val="List Number 1 (Level 3)"/>
    <w:basedOn w:val="Normal"/>
    <w:pPr>
      <w:numPr>
        <w:ilvl w:val="2"/>
        <w:numId w:val="7"/>
      </w:numPr>
      <w:spacing w:after="240"/>
      <w:jc w:val="both"/>
    </w:pPr>
    <w:rPr>
      <w:sz w:val="22"/>
    </w:rPr>
  </w:style>
  <w:style w:type="paragraph" w:customStyle="1" w:styleId="ListNumber1Level4">
    <w:name w:val="List Number 1 (Level 4)"/>
    <w:basedOn w:val="Normal"/>
    <w:pPr>
      <w:numPr>
        <w:ilvl w:val="3"/>
        <w:numId w:val="7"/>
      </w:numPr>
      <w:spacing w:after="240"/>
      <w:jc w:val="both"/>
    </w:pPr>
    <w:rPr>
      <w:sz w:val="22"/>
    </w:rPr>
  </w:style>
  <w:style w:type="paragraph" w:customStyle="1" w:styleId="Bullet">
    <w:name w:val="Bullet"/>
    <w:basedOn w:val="Normal"/>
    <w:pPr>
      <w:numPr>
        <w:numId w:val="8"/>
      </w:numPr>
      <w:ind w:left="357" w:hanging="357"/>
      <w:jc w:val="both"/>
    </w:pPr>
    <w:rPr>
      <w:snapToGrid w:val="0"/>
      <w:color w:val="000000"/>
      <w:sz w:val="22"/>
    </w:rPr>
  </w:style>
  <w:style w:type="paragraph" w:customStyle="1" w:styleId="Bullet10">
    <w:name w:val="Bullet1"/>
    <w:basedOn w:val="Normal"/>
    <w:pPr>
      <w:numPr>
        <w:numId w:val="10"/>
      </w:numPr>
      <w:spacing w:before="40" w:after="0"/>
    </w:pPr>
    <w:rPr>
      <w:rFonts w:ascii="Times New Roman" w:hAnsi="Times New Roman"/>
      <w:snapToGrid w:val="0"/>
    </w:rPr>
  </w:style>
  <w:style w:type="paragraph" w:customStyle="1" w:styleId="Bullet2">
    <w:name w:val="Bullet2"/>
    <w:basedOn w:val="Bullet10"/>
    <w:pPr>
      <w:numPr>
        <w:numId w:val="0"/>
      </w:numPr>
      <w:tabs>
        <w:tab w:val="num" w:pos="720"/>
      </w:tabs>
      <w:ind w:left="720" w:hanging="360"/>
    </w:pPr>
  </w:style>
  <w:style w:type="paragraph" w:customStyle="1" w:styleId="Heading1t1TITRE1Titre11t1T1Titre1Titre1edt1T1Titre1AnnexeH1t1T1h1l1HGSA1Titre1T1Chapitre11Level1Heading1ColoredChaptertitlechMIGHeading1ch1Bold18CMGH1NCS-H1berschrift1berschrift11">
    <w:name w:val="Heading 1.t1.TITRE1.Titre 11.t1.T1.Titre 1.Titre 1ed.t1.T1.Titre 1Annexe.H1.t1.T1.h1.l1.H.GSA1.Titre 1:.T1.Chapitre 1.1.Level 1.Heading 1 Colored.Chapter title.ch.MIGHeading 1.ch1.Bold 18.CMG H1.NCS-H1.überschrift1.überschrift11"/>
    <w:basedOn w:val="Normal"/>
    <w:next w:val="Normal"/>
    <w:pPr>
      <w:keepNext/>
      <w:tabs>
        <w:tab w:val="num" w:pos="432"/>
      </w:tabs>
      <w:spacing w:before="240" w:after="60"/>
      <w:ind w:left="432" w:hanging="432"/>
      <w:outlineLvl w:val="0"/>
    </w:pPr>
    <w:rPr>
      <w:b/>
      <w:kern w:val="28"/>
      <w:sz w:val="28"/>
    </w:rPr>
  </w:style>
  <w:style w:type="paragraph" w:customStyle="1" w:styleId="Lista">
    <w:name w:val="List a)"/>
    <w:basedOn w:val="Normal"/>
    <w:pPr>
      <w:numPr>
        <w:numId w:val="11"/>
      </w:numPr>
      <w:spacing w:before="60" w:after="0"/>
      <w:jc w:val="both"/>
    </w:pPr>
    <w:rPr>
      <w:snapToGrid w:val="0"/>
      <w:color w:val="000000"/>
      <w:sz w:val="22"/>
    </w:rPr>
  </w:style>
  <w:style w:type="paragraph" w:styleId="ListBullet">
    <w:name w:val="List Bullet"/>
    <w:basedOn w:val="Normal"/>
    <w:autoRedefine/>
    <w:pPr>
      <w:numPr>
        <w:numId w:val="12"/>
      </w:numPr>
      <w:tabs>
        <w:tab w:val="clear" w:pos="720"/>
        <w:tab w:val="num" w:pos="1260"/>
      </w:tabs>
      <w:spacing w:after="0"/>
      <w:ind w:left="1260"/>
      <w:jc w:val="both"/>
    </w:pPr>
    <w:rPr>
      <w:noProof/>
      <w:snapToGrid w:val="0"/>
      <w:color w:val="000000"/>
      <w:sz w:val="22"/>
    </w:rPr>
  </w:style>
  <w:style w:type="paragraph" w:customStyle="1" w:styleId="ListBullet1">
    <w:name w:val="List Bullet 1"/>
    <w:basedOn w:val="Normal"/>
    <w:pPr>
      <w:numPr>
        <w:numId w:val="13"/>
      </w:numPr>
      <w:spacing w:before="120" w:after="0"/>
      <w:ind w:left="1276" w:hanging="284"/>
    </w:pPr>
    <w:rPr>
      <w:rFonts w:ascii="Times New Roman" w:hAnsi="Times New Roman"/>
      <w:sz w:val="22"/>
    </w:rPr>
  </w:style>
  <w:style w:type="paragraph" w:styleId="ListNumber">
    <w:name w:val="List Number"/>
    <w:basedOn w:val="Normal"/>
    <w:pPr>
      <w:numPr>
        <w:numId w:val="14"/>
      </w:numPr>
      <w:spacing w:after="240"/>
      <w:jc w:val="both"/>
    </w:pPr>
    <w:rPr>
      <w:sz w:val="22"/>
    </w:rPr>
  </w:style>
  <w:style w:type="paragraph" w:customStyle="1" w:styleId="perso1">
    <w:name w:val="perso1"/>
    <w:pPr>
      <w:tabs>
        <w:tab w:val="num" w:pos="432"/>
      </w:tabs>
      <w:ind w:left="432" w:hanging="432"/>
    </w:pPr>
    <w:rPr>
      <w:b/>
      <w:sz w:val="24"/>
      <w:u w:val="single"/>
      <w:lang w:eastAsia="en-US"/>
    </w:rPr>
  </w:style>
  <w:style w:type="paragraph" w:customStyle="1" w:styleId="Puce2">
    <w:name w:val="Puce2"/>
    <w:basedOn w:val="Normal"/>
    <w:pPr>
      <w:numPr>
        <w:numId w:val="15"/>
      </w:numPr>
      <w:spacing w:after="0"/>
      <w:jc w:val="both"/>
    </w:pPr>
    <w:rPr>
      <w:snapToGrid w:val="0"/>
      <w:color w:val="000000"/>
      <w:sz w:val="22"/>
    </w:rPr>
  </w:style>
  <w:style w:type="paragraph" w:customStyle="1" w:styleId="SteriaBullet">
    <w:name w:val="Steria Bullet"/>
    <w:basedOn w:val="SteriaResponse"/>
    <w:pPr>
      <w:numPr>
        <w:numId w:val="16"/>
      </w:numPr>
      <w:tabs>
        <w:tab w:val="clear" w:pos="4235"/>
      </w:tabs>
      <w:ind w:left="357" w:hanging="357"/>
    </w:pPr>
  </w:style>
  <w:style w:type="paragraph" w:customStyle="1" w:styleId="SteriaResponse">
    <w:name w:val="Steria Response"/>
    <w:pPr>
      <w:spacing w:after="240" w:line="260" w:lineRule="exact"/>
    </w:pPr>
    <w:rPr>
      <w:color w:val="000080"/>
      <w:sz w:val="22"/>
      <w:lang w:eastAsia="en-US"/>
    </w:rPr>
  </w:style>
  <w:style w:type="paragraph" w:customStyle="1" w:styleId="TaBult1">
    <w:name w:val="TaBult 1"/>
    <w:basedOn w:val="Normal"/>
    <w:pPr>
      <w:numPr>
        <w:numId w:val="17"/>
      </w:numPr>
      <w:spacing w:before="60" w:after="60"/>
      <w:ind w:left="426" w:hanging="284"/>
      <w:jc w:val="both"/>
    </w:pPr>
    <w:rPr>
      <w:rFonts w:ascii="Times New Roman" w:hAnsi="Times New Roman"/>
      <w:sz w:val="22"/>
    </w:rPr>
  </w:style>
  <w:style w:type="paragraph" w:customStyle="1" w:styleId="Bullet20">
    <w:name w:val="Bullet 2"/>
    <w:basedOn w:val="Normal"/>
    <w:pPr>
      <w:tabs>
        <w:tab w:val="num" w:pos="1260"/>
      </w:tabs>
      <w:spacing w:after="0"/>
      <w:ind w:left="1260" w:hanging="360"/>
      <w:jc w:val="both"/>
    </w:pPr>
    <w:rPr>
      <w:sz w:val="22"/>
    </w:rPr>
  </w:style>
  <w:style w:type="paragraph" w:customStyle="1" w:styleId="bp">
    <w:name w:val="bp"/>
    <w:basedOn w:val="Normal"/>
    <w:pPr>
      <w:spacing w:before="100" w:after="100"/>
    </w:pPr>
    <w:rPr>
      <w:rFonts w:ascii="Arial Unicode MS" w:eastAsia="Arial Unicode MS" w:hAnsi="Arial Unicode MS"/>
      <w:sz w:val="24"/>
    </w:rPr>
  </w:style>
  <w:style w:type="paragraph" w:styleId="List2">
    <w:name w:val="List 2"/>
    <w:basedOn w:val="Normal"/>
    <w:pPr>
      <w:tabs>
        <w:tab w:val="num" w:pos="360"/>
      </w:tabs>
      <w:spacing w:before="60" w:after="0"/>
      <w:ind w:left="360" w:hanging="360"/>
      <w:jc w:val="both"/>
    </w:pPr>
    <w:rPr>
      <w:snapToGrid w:val="0"/>
      <w:color w:val="000000"/>
      <w:sz w:val="22"/>
    </w:rPr>
  </w:style>
  <w:style w:type="paragraph" w:customStyle="1" w:styleId="BodySingle">
    <w:name w:val="*Body Single"/>
    <w:basedOn w:val="Normal"/>
    <w:pPr>
      <w:spacing w:after="0" w:line="220" w:lineRule="atLeast"/>
      <w:ind w:left="2304"/>
    </w:pPr>
    <w:rPr>
      <w:sz w:val="22"/>
      <w:szCs w:val="24"/>
    </w:rPr>
  </w:style>
  <w:style w:type="paragraph" w:customStyle="1" w:styleId="Text2">
    <w:name w:val="Text 2"/>
    <w:basedOn w:val="Default"/>
    <w:next w:val="Default"/>
    <w:link w:val="Text2Char"/>
    <w:pPr>
      <w:autoSpaceDE/>
      <w:autoSpaceDN/>
      <w:adjustRightInd/>
      <w:spacing w:before="120" w:after="120"/>
    </w:pPr>
  </w:style>
  <w:style w:type="paragraph" w:customStyle="1" w:styleId="Default">
    <w:name w:val="Default"/>
    <w:pPr>
      <w:autoSpaceDE w:val="0"/>
      <w:autoSpaceDN w:val="0"/>
      <w:adjustRightInd w:val="0"/>
    </w:pPr>
    <w:rPr>
      <w:rFonts w:ascii="TimesNewRoman" w:hAnsi="TimesNewRoman"/>
      <w:lang w:eastAsia="en-US"/>
    </w:rPr>
  </w:style>
  <w:style w:type="paragraph" w:styleId="BodyText">
    <w:name w:val="Body Text"/>
    <w:aliases w:val="EDS Question Text"/>
    <w:basedOn w:val="Normal"/>
    <w:pPr>
      <w:spacing w:after="0"/>
      <w:ind w:right="-1054"/>
    </w:pPr>
    <w:rPr>
      <w:noProof/>
    </w:rPr>
  </w:style>
  <w:style w:type="paragraph" w:styleId="BodyText2">
    <w:name w:val="Body Text 2"/>
    <w:basedOn w:val="Normal"/>
    <w:pPr>
      <w:spacing w:after="0"/>
    </w:pPr>
    <w:rPr>
      <w:color w:val="000000"/>
      <w:sz w:val="22"/>
    </w:rPr>
  </w:style>
  <w:style w:type="paragraph" w:styleId="BodyText3">
    <w:name w:val="Body Text 3"/>
    <w:basedOn w:val="Normal"/>
    <w:pPr>
      <w:spacing w:after="0"/>
      <w:jc w:val="both"/>
    </w:pPr>
    <w:rPr>
      <w:snapToGrid w:val="0"/>
      <w:color w:val="000000"/>
      <w:sz w:val="22"/>
    </w:rPr>
  </w:style>
  <w:style w:type="paragraph" w:styleId="BlockText">
    <w:name w:val="Block Text"/>
    <w:basedOn w:val="Normal"/>
    <w:pPr>
      <w:pBdr>
        <w:top w:val="single" w:sz="4" w:space="1" w:color="auto"/>
        <w:left w:val="single" w:sz="4" w:space="4" w:color="auto"/>
        <w:bottom w:val="single" w:sz="4" w:space="1" w:color="auto"/>
        <w:right w:val="single" w:sz="4" w:space="4" w:color="auto"/>
      </w:pBdr>
      <w:spacing w:after="0"/>
      <w:ind w:left="720" w:right="720"/>
    </w:pPr>
    <w:rPr>
      <w:rFonts w:ascii="Times New Roman" w:hAnsi="Times New Roman"/>
      <w:b/>
      <w:bCs/>
      <w:color w:val="FF0000"/>
      <w:sz w:val="24"/>
      <w:szCs w:val="24"/>
    </w:rPr>
  </w:style>
  <w:style w:type="paragraph" w:customStyle="1" w:styleId="cellheading">
    <w:name w:val="cellheading"/>
    <w:basedOn w:val="Normal"/>
    <w:pPr>
      <w:spacing w:after="144"/>
    </w:pPr>
    <w:rPr>
      <w:rFonts w:ascii="Verdana" w:eastAsia="Arial Unicode MS" w:hAnsi="Verdana"/>
      <w:b/>
      <w:color w:val="000000"/>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table" w:styleId="TableGrid">
    <w:name w:val="Table Grid"/>
    <w:basedOn w:val="TableNormal"/>
    <w:uiPriority w:val="5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aliases w:val="T2 Char,h2 Char,L2 Char,H2 Char,Punt 2 Char,l2 Char,2 Char,Titre 21 Char,t2.T2 Char,t2 Char,Contrat 2 Char,Ctt Char,t2.T2.Titre 2 Char,TITRE 2 Char,Titre 2ed Char,Heading 2 Hidden Char,heading 2 Char,Chapter Number/Appendix Letter Char"/>
    <w:link w:val="Heading2"/>
    <w:rPr>
      <w:b/>
      <w:bCs/>
      <w:smallCaps/>
      <w:color w:val="000080"/>
      <w:sz w:val="32"/>
    </w:rPr>
  </w:style>
  <w:style w:type="character" w:customStyle="1" w:styleId="Heading4Char">
    <w:name w:val="Heading 4 Char"/>
    <w:aliases w:val="4 Char,H4 Char,Titre 41 Char,t4.T4 Char,t4 Char,Chapitre 1.1.1. Char,Alinéa Char,dash Char,h4 Char,Ref Heading 1 Char,rh1 Char,First Subheading Char,T4 Char,t4.T4.Titre 4 Char,heading 4 Char,l4 Char,I4 Char,(Shift Ctrl 4) Char"/>
    <w:link w:val="Heading4"/>
    <w:rPr>
      <w:b/>
      <w:smallCaps/>
      <w:color w:val="000080"/>
      <w:sz w:val="24"/>
    </w:rPr>
  </w:style>
  <w:style w:type="paragraph" w:styleId="BodyTextIndent">
    <w:name w:val="Body Text Indent"/>
    <w:basedOn w:val="Normal"/>
    <w:pPr>
      <w:numPr>
        <w:numId w:val="18"/>
      </w:numPr>
      <w:tabs>
        <w:tab w:val="clear" w:pos="283"/>
      </w:tabs>
      <w:ind w:firstLine="0"/>
      <w:jc w:val="both"/>
    </w:pPr>
    <w:rPr>
      <w:rFonts w:ascii="Times New Roman" w:hAnsi="Times New Roman"/>
      <w:sz w:val="22"/>
    </w:rPr>
  </w:style>
  <w:style w:type="character" w:customStyle="1" w:styleId="Text2Char">
    <w:name w:val="Text 2 Char"/>
    <w:link w:val="Text2"/>
    <w:rPr>
      <w:rFonts w:ascii="TimesNewRoman" w:hAnsi="TimesNewRoman"/>
      <w:lang w:val="fr-FR" w:eastAsia="en-US" w:bidi="ar-SA"/>
    </w:rPr>
  </w:style>
  <w:style w:type="character" w:styleId="HTMLCode">
    <w:name w:val="HTML Code"/>
    <w:semiHidden/>
    <w:unhideWhenUsed/>
    <w:rPr>
      <w:rFonts w:ascii="Courier New" w:eastAsia="Times New Roman" w:hAnsi="Courier New" w:cs="Courier New"/>
      <w:sz w:val="20"/>
      <w:szCs w:val="20"/>
    </w:rPr>
  </w:style>
  <w:style w:type="character" w:customStyle="1" w:styleId="Heading2Char2">
    <w:name w:val="Heading 2 Char2"/>
    <w:aliases w:val="Heading 2 Char1 Char,Heading 2 Char Char Char,Heading 2 Char Char1"/>
    <w:locked/>
    <w:rPr>
      <w:b/>
      <w:sz w:val="24"/>
      <w:lang w:val="fr-FR" w:eastAsia="en-US" w:bidi="ar-SA"/>
    </w:rPr>
  </w:style>
  <w:style w:type="paragraph" w:customStyle="1" w:styleId="NumPar1">
    <w:name w:val="NumPar 1"/>
    <w:basedOn w:val="Normal"/>
    <w:next w:val="Normal"/>
    <w:pPr>
      <w:numPr>
        <w:numId w:val="21"/>
      </w:numPr>
      <w:spacing w:before="120"/>
      <w:jc w:val="both"/>
    </w:pPr>
    <w:rPr>
      <w:rFonts w:ascii="Times New Roman" w:hAnsi="Times New Roman"/>
      <w:sz w:val="24"/>
      <w:szCs w:val="24"/>
    </w:rPr>
  </w:style>
  <w:style w:type="paragraph" w:customStyle="1" w:styleId="NumPar2">
    <w:name w:val="NumPar 2"/>
    <w:basedOn w:val="Normal"/>
    <w:next w:val="Normal"/>
    <w:pPr>
      <w:numPr>
        <w:ilvl w:val="1"/>
        <w:numId w:val="21"/>
      </w:numPr>
      <w:spacing w:before="120"/>
      <w:jc w:val="both"/>
    </w:pPr>
    <w:rPr>
      <w:rFonts w:ascii="Times New Roman" w:hAnsi="Times New Roman"/>
      <w:sz w:val="24"/>
      <w:szCs w:val="24"/>
    </w:rPr>
  </w:style>
  <w:style w:type="paragraph" w:customStyle="1" w:styleId="NumPar3">
    <w:name w:val="NumPar 3"/>
    <w:basedOn w:val="Normal"/>
    <w:next w:val="Normal"/>
    <w:pPr>
      <w:numPr>
        <w:ilvl w:val="2"/>
        <w:numId w:val="21"/>
      </w:numPr>
      <w:spacing w:before="120"/>
      <w:jc w:val="both"/>
    </w:pPr>
    <w:rPr>
      <w:rFonts w:ascii="Times New Roman" w:hAnsi="Times New Roman"/>
      <w:sz w:val="24"/>
      <w:szCs w:val="24"/>
    </w:rPr>
  </w:style>
  <w:style w:type="paragraph" w:customStyle="1" w:styleId="NumPar4">
    <w:name w:val="NumPar 4"/>
    <w:basedOn w:val="Normal"/>
    <w:next w:val="Normal"/>
    <w:pPr>
      <w:numPr>
        <w:ilvl w:val="3"/>
        <w:numId w:val="21"/>
      </w:numPr>
      <w:spacing w:before="120"/>
      <w:jc w:val="both"/>
    </w:pPr>
    <w:rPr>
      <w:rFonts w:ascii="Times New Roman" w:hAnsi="Times New Roman"/>
      <w:sz w:val="24"/>
      <w:szCs w:val="24"/>
    </w:rPr>
  </w:style>
  <w:style w:type="paragraph" w:styleId="ListParagraph">
    <w:name w:val="List Paragraph"/>
    <w:basedOn w:val="Normal"/>
    <w:uiPriority w:val="34"/>
    <w:qFormat/>
    <w:pPr>
      <w:spacing w:after="0"/>
      <w:ind w:left="720"/>
    </w:pPr>
    <w:rPr>
      <w:rFonts w:ascii="Calibri" w:hAnsi="Calibri"/>
      <w:sz w:val="22"/>
      <w:szCs w:val="22"/>
    </w:rPr>
  </w:style>
  <w:style w:type="character" w:customStyle="1" w:styleId="CommentTextChar">
    <w:name w:val="Comment Text Char"/>
    <w:basedOn w:val="DefaultParagraphFont"/>
    <w:link w:val="CommentText"/>
    <w:semiHidden/>
    <w:rPr>
      <w:rFonts w:ascii="Arial" w:hAnsi="Arial"/>
      <w:lang w:eastAsia="en-US"/>
    </w:rPr>
  </w:style>
  <w:style w:type="paragraph" w:styleId="Revision">
    <w:name w:val="Revision"/>
    <w:hidden/>
    <w:uiPriority w:val="99"/>
    <w:semiHidden/>
    <w:rPr>
      <w:sz w:val="18"/>
      <w:lang w:eastAsia="en-US"/>
    </w:rPr>
  </w:style>
  <w:style w:type="character" w:customStyle="1" w:styleId="FootnoteTextChar">
    <w:name w:val="Footnote Text Char"/>
    <w:basedOn w:val="DefaultParagraphFont"/>
    <w:link w:val="FootnoteText"/>
    <w:semiHidden/>
    <w:rPr>
      <w:rFonts w:ascii="Arial" w:hAnsi="Arial"/>
      <w:sz w:val="16"/>
      <w:lang w:eastAsia="en-U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cs="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TitleChar">
    <w:name w:val="Title Char"/>
    <w:basedOn w:val="DefaultParagraphFont"/>
    <w:link w:val="Title"/>
    <w:rPr>
      <w:b/>
      <w:caps/>
      <w:color w:val="000080"/>
      <w:sz w:val="32"/>
    </w:rPr>
  </w:style>
  <w:style w:type="character" w:customStyle="1" w:styleId="FooterCoverPageChar">
    <w:name w:val="Footer Cover Page Char"/>
    <w:basedOn w:val="TitleChar"/>
    <w:link w:val="FooterCoverPage"/>
    <w:rPr>
      <w:rFonts w:ascii="Times New Roman" w:hAnsi="Times New Roman" w:cs="Times New Roman"/>
      <w:b w:val="0"/>
      <w:caps w:val="0"/>
      <w:color w:val="000080"/>
      <w:sz w:val="24"/>
    </w:rPr>
  </w:style>
  <w:style w:type="paragraph" w:customStyle="1" w:styleId="HeaderCoverPage">
    <w:name w:val="Header Cover Page"/>
    <w:basedOn w:val="Normal"/>
    <w:link w:val="HeaderCoverPageChar"/>
    <w:pPr>
      <w:tabs>
        <w:tab w:val="center" w:pos="4535"/>
        <w:tab w:val="right" w:pos="9071"/>
      </w:tabs>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caps w:val="0"/>
      <w:color w:val="000080"/>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szCs w:val="22"/>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cs="Times New Roman"/>
      <w:b/>
      <w:sz w:val="24"/>
      <w:szCs w:val="22"/>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jc w:val="both"/>
    </w:pPr>
    <w:rPr>
      <w:rFonts w:ascii="Times New Roman" w:eastAsiaTheme="minorHAnsi" w:hAnsi="Times New Roman" w:cs="Times New Roman"/>
      <w:sz w:val="24"/>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szCs w:val="22"/>
      <w:lang w:eastAsia="en-US"/>
    </w:rPr>
  </w:style>
  <w:style w:type="paragraph" w:customStyle="1" w:styleId="HeaderLandscape">
    <w:name w:val="HeaderLandscape"/>
    <w:basedOn w:val="Normal"/>
    <w:pPr>
      <w:tabs>
        <w:tab w:val="center" w:pos="7285"/>
        <w:tab w:val="right" w:pos="14003"/>
      </w:tabs>
      <w:jc w:val="both"/>
    </w:pPr>
    <w:rPr>
      <w:rFonts w:ascii="Times New Roman" w:eastAsiaTheme="minorHAnsi" w:hAnsi="Times New Roman" w:cs="Times New Roman"/>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rFonts w:ascii="Times New Roman" w:hAnsi="Times New Roman" w:cs="Times New Roman"/>
      <w:b/>
      <w:sz w:val="32"/>
    </w:rPr>
  </w:style>
  <w:style w:type="paragraph" w:customStyle="1" w:styleId="HeaderSensitivityRight">
    <w:name w:val="Header Sensitivity Right"/>
    <w:basedOn w:val="Normal"/>
    <w:pPr>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ascii="Times New Roman" w:eastAsiaTheme="minorHAnsi" w:hAnsi="Times New Roman" w:cs="Times New Roman"/>
      <w:sz w:val="24"/>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jc w:val="both"/>
    </w:pPr>
    <w:rPr>
      <w:rFonts w:ascii="Times New Roman" w:eastAsiaTheme="minorHAnsi" w:hAnsi="Times New Roman" w:cs="Times New Roman"/>
      <w:sz w:val="24"/>
      <w:szCs w:val="22"/>
      <w:lang w:eastAsia="en-US"/>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szCs w:val="22"/>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uiPriority w:val="9"/>
    <w:qFormat/>
    <w:pPr>
      <w:keepNext/>
      <w:pageBreakBefore/>
      <w:numPr>
        <w:numId w:val="1"/>
      </w:numPr>
      <w:pBdr>
        <w:bottom w:val="single" w:sz="12" w:space="1" w:color="FF6600"/>
      </w:pBdr>
      <w:spacing w:before="120" w:after="240"/>
      <w:outlineLvl w:val="0"/>
    </w:pPr>
    <w:rPr>
      <w:b/>
      <w:smallCaps/>
      <w:color w:val="000080"/>
      <w:kern w:val="28"/>
      <w:sz w:val="36"/>
    </w:rPr>
  </w:style>
  <w:style w:type="paragraph" w:styleId="Heading2">
    <w:name w:val="heading 2"/>
    <w:aliases w:val="T2,h2,L2,H2,Punt 2,l2,2,Titre 21,t2.T2,t2,Contrat 2,Ctt,t2.T2.Titre 2,TITRE 2,Titre 2ed,Heading 2 Hidden,heading 2,Chapter Number/Appendix Letter,chn,Titre niveau 2,Level 2,Chapitre 2,paragraphe,Titre 2 - RAO,Specf Titre 2,Heading 2a,Header 2"/>
    <w:basedOn w:val="Normal"/>
    <w:next w:val="Normal"/>
    <w:link w:val="Heading2Char"/>
    <w:qFormat/>
    <w:pPr>
      <w:keepNext/>
      <w:numPr>
        <w:ilvl w:val="1"/>
        <w:numId w:val="1"/>
      </w:numPr>
      <w:pBdr>
        <w:bottom w:val="single" w:sz="12" w:space="1" w:color="000080"/>
      </w:pBdr>
      <w:spacing w:before="120"/>
      <w:outlineLvl w:val="1"/>
    </w:pPr>
    <w:rPr>
      <w:b/>
      <w:bCs/>
      <w:smallCaps/>
      <w:color w:val="000080"/>
      <w:sz w:val="32"/>
    </w:rPr>
  </w:style>
  <w:style w:type="paragraph" w:styleId="Heading3">
    <w:name w:val="heading 3"/>
    <w:aliases w:val="3,Titre 31,t3.T3,heading 3,Titre 3+,H3,Titre niveau 3,Titre3,t3,Contrat 3,Titre 3 SQ,Titre 3 SQ1,Titre 3 SQ2,Titre 3 SQ3,Titre 3 SQ4,Titre 3 SQ5,Titre 3 SQ6,Titre 3 SQ7,h3,3rd level,l3,CT,Heading 3 - old,Titre 3 .3,Titre 311,Titre 3 .31,1.2.3."/>
    <w:basedOn w:val="Normal"/>
    <w:next w:val="Normal"/>
    <w:qFormat/>
    <w:pPr>
      <w:keepNext/>
      <w:numPr>
        <w:ilvl w:val="2"/>
        <w:numId w:val="1"/>
      </w:numPr>
      <w:spacing w:before="240" w:after="60"/>
      <w:outlineLvl w:val="2"/>
    </w:pPr>
    <w:rPr>
      <w:b/>
      <w:bCs/>
      <w:smallCaps/>
      <w:color w:val="000080"/>
      <w:sz w:val="28"/>
    </w:rPr>
  </w:style>
  <w:style w:type="paragraph" w:styleId="Heading4">
    <w:name w:val="heading 4"/>
    <w:aliases w:val="4,H4,Titre 41,t4.T4,t4,Chapitre 1.1.1.,Alinéa,dash,h4,Ref Heading 1,rh1,First Subheading,T4,t4.T4.Titre 4,heading 4,l4,I4,(Shift Ctrl 4),Schedules,Heading 4 CFMU"/>
    <w:basedOn w:val="Normal"/>
    <w:next w:val="Normal"/>
    <w:link w:val="Heading4Char"/>
    <w:qFormat/>
    <w:pPr>
      <w:keepNext/>
      <w:numPr>
        <w:ilvl w:val="3"/>
        <w:numId w:val="1"/>
      </w:numPr>
      <w:spacing w:before="240" w:after="60"/>
      <w:outlineLvl w:val="3"/>
    </w:pPr>
    <w:rPr>
      <w:b/>
      <w:smallCaps/>
      <w:color w:val="000080"/>
      <w:sz w:val="24"/>
    </w:rPr>
  </w:style>
  <w:style w:type="paragraph" w:styleId="Heading5">
    <w:name w:val="heading 5"/>
    <w:aliases w:val="H5,Chapitre 1.1.1.1.,Ref Heading 2,rh2,h5,Second Subheading,heading 5,Heading 5 CFMU,Para 5,(Shift Ctrl 5),Appendix A to X,Heading 5   Appendix A to X"/>
    <w:basedOn w:val="Normal"/>
    <w:next w:val="Normal"/>
    <w:qFormat/>
    <w:pPr>
      <w:numPr>
        <w:ilvl w:val="4"/>
        <w:numId w:val="1"/>
      </w:numPr>
      <w:spacing w:before="240" w:after="60"/>
      <w:outlineLvl w:val="4"/>
    </w:pPr>
    <w:rPr>
      <w:b/>
      <w:bCs/>
      <w:smallCaps/>
      <w:color w:val="000080"/>
    </w:rPr>
  </w:style>
  <w:style w:type="paragraph" w:styleId="Heading6">
    <w:name w:val="heading 6"/>
    <w:aliases w:val="6,Heading 6  Appendix Y &amp; Z,h6,Heading 6 CFMU"/>
    <w:basedOn w:val="Normal"/>
    <w:next w:val="Normal"/>
    <w:qFormat/>
    <w:pPr>
      <w:numPr>
        <w:ilvl w:val="5"/>
        <w:numId w:val="1"/>
      </w:numPr>
      <w:spacing w:before="240" w:after="60"/>
      <w:outlineLvl w:val="5"/>
    </w:pPr>
    <w:rPr>
      <w:i/>
      <w:sz w:val="22"/>
    </w:rPr>
  </w:style>
  <w:style w:type="paragraph" w:styleId="Heading7">
    <w:name w:val="heading 7"/>
    <w:aliases w:val="H7,(Shift Ctrl 7),Heading 7 CFMU"/>
    <w:basedOn w:val="Normal"/>
    <w:next w:val="Normal"/>
    <w:qFormat/>
    <w:pPr>
      <w:numPr>
        <w:ilvl w:val="6"/>
        <w:numId w:val="1"/>
      </w:numPr>
      <w:spacing w:before="240" w:after="60"/>
      <w:outlineLvl w:val="6"/>
    </w:pPr>
  </w:style>
  <w:style w:type="paragraph" w:styleId="Heading8">
    <w:name w:val="heading 8"/>
    <w:aliases w:val="Heading 8 CFMU"/>
    <w:basedOn w:val="Normal"/>
    <w:next w:val="Normal"/>
    <w:qFormat/>
    <w:pPr>
      <w:numPr>
        <w:ilvl w:val="7"/>
        <w:numId w:val="1"/>
      </w:numPr>
      <w:spacing w:before="240" w:after="60"/>
      <w:outlineLvl w:val="7"/>
    </w:pPr>
    <w:rPr>
      <w:i/>
    </w:rPr>
  </w:style>
  <w:style w:type="paragraph" w:styleId="Heading9">
    <w:name w:val="heading 9"/>
    <w:aliases w:val="App Heading,Heading 9 CFMU"/>
    <w:basedOn w:val="Normal"/>
    <w:next w:val="Normal"/>
    <w:qFormat/>
    <w:pPr>
      <w:numPr>
        <w:ilvl w:val="8"/>
        <w:numId w:val="1"/>
      </w:numPr>
      <w:spacing w:before="240" w:after="60"/>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jc w:val="both"/>
    </w:pPr>
    <w:rPr>
      <w:rFonts w:ascii="Times New Roman" w:eastAsiaTheme="minorHAnsi" w:hAnsi="Times New Roman" w:cs="Times New Roman"/>
      <w:sz w:val="24"/>
      <w:szCs w:val="22"/>
      <w:lang w:eastAsia="en-US"/>
    </w:rPr>
  </w:style>
  <w:style w:type="paragraph" w:customStyle="1" w:styleId="Bullet1">
    <w:name w:val="Bullet 1"/>
    <w:basedOn w:val="Normal"/>
    <w:pPr>
      <w:numPr>
        <w:numId w:val="9"/>
      </w:numPr>
      <w:tabs>
        <w:tab w:val="clear" w:pos="360"/>
        <w:tab w:val="num" w:pos="900"/>
      </w:tabs>
      <w:spacing w:after="0"/>
      <w:ind w:left="900" w:firstLine="0"/>
      <w:jc w:val="both"/>
    </w:pPr>
    <w:rPr>
      <w:sz w:val="22"/>
    </w:rPr>
  </w:style>
  <w:style w:type="paragraph" w:customStyle="1" w:styleId="Listnumber1cm">
    <w:name w:val="List number 1cm"/>
    <w:basedOn w:val="Normal"/>
    <w:pPr>
      <w:numPr>
        <w:numId w:val="6"/>
      </w:numPr>
      <w:tabs>
        <w:tab w:val="clear" w:pos="927"/>
        <w:tab w:val="num" w:pos="360"/>
        <w:tab w:val="left" w:pos="851"/>
      </w:tabs>
      <w:ind w:left="0" w:firstLine="0"/>
    </w:pPr>
  </w:style>
  <w:style w:type="paragraph" w:customStyle="1" w:styleId="Tableheading">
    <w:name w:val="Table heading"/>
    <w:basedOn w:val="Normal"/>
    <w:pPr>
      <w:spacing w:before="120"/>
      <w:jc w:val="center"/>
    </w:pPr>
    <w:rPr>
      <w:b/>
      <w:color w:val="000080"/>
    </w:rPr>
  </w:style>
  <w:style w:type="paragraph" w:customStyle="1" w:styleId="Tabletext">
    <w:name w:val="Table text"/>
    <w:basedOn w:val="Normal"/>
    <w:pPr>
      <w:spacing w:before="60" w:after="60"/>
    </w:pPr>
  </w:style>
  <w:style w:type="paragraph" w:styleId="TOC1">
    <w:name w:val="toc 1"/>
    <w:basedOn w:val="Normal"/>
    <w:next w:val="Normal"/>
    <w:autoRedefine/>
    <w:uiPriority w:val="39"/>
    <w:pPr>
      <w:spacing w:before="120"/>
    </w:pPr>
    <w:rPr>
      <w:b/>
      <w:bCs/>
      <w:caps/>
      <w:szCs w:val="24"/>
    </w:rPr>
  </w:style>
  <w:style w:type="character" w:styleId="Hyperlink">
    <w:name w:val="Hyperlink"/>
    <w:uiPriority w:val="99"/>
    <w:rPr>
      <w:color w:val="0000FF"/>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ascii="Times New Roman" w:eastAsiaTheme="minorHAnsi" w:hAnsi="Times New Roman" w:cs="Times New Roman"/>
      <w:sz w:val="24"/>
      <w:szCs w:val="22"/>
      <w:lang w:eastAsia="en-US"/>
    </w:rPr>
  </w:style>
  <w:style w:type="paragraph" w:styleId="Title">
    <w:name w:val="Title"/>
    <w:basedOn w:val="Normal"/>
    <w:next w:val="Normal"/>
    <w:link w:val="TitleChar"/>
    <w:qFormat/>
    <w:pPr>
      <w:keepLines/>
      <w:spacing w:before="480" w:after="480"/>
      <w:jc w:val="center"/>
    </w:pPr>
    <w:rPr>
      <w:b/>
      <w:caps/>
      <w:color w:val="000080"/>
      <w:sz w:val="32"/>
    </w:rPr>
  </w:style>
  <w:style w:type="paragraph" w:styleId="TOC2">
    <w:name w:val="toc 2"/>
    <w:basedOn w:val="Normal"/>
    <w:next w:val="Normal"/>
    <w:autoRedefine/>
    <w:uiPriority w:val="39"/>
    <w:pPr>
      <w:ind w:left="200"/>
    </w:pPr>
    <w:rPr>
      <w:smallCaps/>
      <w:szCs w:val="24"/>
    </w:rPr>
  </w:style>
  <w:style w:type="paragraph" w:styleId="TOC3">
    <w:name w:val="toc 3"/>
    <w:basedOn w:val="Normal"/>
    <w:next w:val="Normal"/>
    <w:autoRedefine/>
    <w:uiPriority w:val="39"/>
    <w:pPr>
      <w:ind w:left="400"/>
    </w:pPr>
    <w:rPr>
      <w:i/>
      <w:iCs/>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customStyle="1" w:styleId="TableBullet">
    <w:name w:val="Table Bullet"/>
    <w:basedOn w:val="Normal"/>
    <w:pPr>
      <w:numPr>
        <w:ilvl w:val="1"/>
        <w:numId w:val="2"/>
      </w:numPr>
      <w:tabs>
        <w:tab w:val="clear" w:pos="1440"/>
        <w:tab w:val="num" w:pos="128"/>
      </w:tabs>
      <w:ind w:left="128" w:hanging="128"/>
    </w:pPr>
  </w:style>
  <w:style w:type="character" w:styleId="FollowedHyperlink">
    <w:name w:val="FollowedHyperlink"/>
    <w:rPr>
      <w:color w:val="800080"/>
      <w:u w:val="single"/>
    </w:rPr>
  </w:style>
  <w:style w:type="paragraph" w:customStyle="1" w:styleId="Listbullet1cm">
    <w:name w:val="List bullet 1cm"/>
    <w:basedOn w:val="Normal"/>
    <w:pPr>
      <w:numPr>
        <w:numId w:val="5"/>
      </w:numPr>
      <w:tabs>
        <w:tab w:val="clear" w:pos="1647"/>
        <w:tab w:val="num" w:pos="851"/>
      </w:tabs>
      <w:ind w:left="851" w:hanging="284"/>
    </w:pPr>
    <w:rPr>
      <w:rFonts w:eastAsia="MS Mincho"/>
      <w:lang w:eastAsia="ja-JP"/>
    </w:rPr>
  </w:style>
  <w:style w:type="paragraph" w:customStyle="1" w:styleId="Listbullet2cm">
    <w:name w:val="List bullet 2cm"/>
    <w:basedOn w:val="Normal"/>
    <w:pPr>
      <w:numPr>
        <w:numId w:val="3"/>
      </w:numPr>
    </w:pPr>
  </w:style>
  <w:style w:type="paragraph" w:styleId="FootnoteText">
    <w:name w:val="footnote text"/>
    <w:basedOn w:val="Normal"/>
    <w:link w:val="FootnoteTextChar"/>
    <w:semiHidden/>
    <w:rPr>
      <w:sz w:val="16"/>
    </w:rPr>
  </w:style>
  <w:style w:type="character" w:styleId="FootnoteReference">
    <w:name w:val="footnote reference"/>
    <w:semiHidden/>
    <w:rPr>
      <w:vertAlign w:val="superscript"/>
    </w:rPr>
  </w:style>
  <w:style w:type="paragraph" w:customStyle="1" w:styleId="Listnumber2cm">
    <w:name w:val="List number 2cm"/>
    <w:basedOn w:val="Listbullet2cm"/>
    <w:pPr>
      <w:numPr>
        <w:numId w:val="4"/>
      </w:numPr>
      <w:tabs>
        <w:tab w:val="clear" w:pos="1701"/>
        <w:tab w:val="num" w:pos="1418"/>
      </w:tabs>
      <w:ind w:left="1418" w:hanging="284"/>
    </w:pPr>
  </w:style>
  <w:style w:type="paragraph" w:customStyle="1" w:styleId="ListNumber1">
    <w:name w:val="List Number 1"/>
    <w:basedOn w:val="Normal"/>
    <w:pPr>
      <w:numPr>
        <w:numId w:val="7"/>
      </w:numPr>
      <w:spacing w:before="240" w:after="240"/>
      <w:jc w:val="both"/>
    </w:pPr>
    <w:rPr>
      <w:sz w:val="22"/>
    </w:rPr>
  </w:style>
  <w:style w:type="paragraph" w:customStyle="1" w:styleId="ListNumber1Level2">
    <w:name w:val="List Number 1 (Level 2)"/>
    <w:basedOn w:val="Normal"/>
    <w:pPr>
      <w:numPr>
        <w:ilvl w:val="1"/>
        <w:numId w:val="7"/>
      </w:numPr>
      <w:spacing w:after="240"/>
      <w:jc w:val="both"/>
    </w:pPr>
    <w:rPr>
      <w:sz w:val="22"/>
    </w:rPr>
  </w:style>
  <w:style w:type="paragraph" w:customStyle="1" w:styleId="ListNumber1Level3">
    <w:name w:val="List Number 1 (Level 3)"/>
    <w:basedOn w:val="Normal"/>
    <w:pPr>
      <w:numPr>
        <w:ilvl w:val="2"/>
        <w:numId w:val="7"/>
      </w:numPr>
      <w:spacing w:after="240"/>
      <w:jc w:val="both"/>
    </w:pPr>
    <w:rPr>
      <w:sz w:val="22"/>
    </w:rPr>
  </w:style>
  <w:style w:type="paragraph" w:customStyle="1" w:styleId="ListNumber1Level4">
    <w:name w:val="List Number 1 (Level 4)"/>
    <w:basedOn w:val="Normal"/>
    <w:pPr>
      <w:numPr>
        <w:ilvl w:val="3"/>
        <w:numId w:val="7"/>
      </w:numPr>
      <w:spacing w:after="240"/>
      <w:jc w:val="both"/>
    </w:pPr>
    <w:rPr>
      <w:sz w:val="22"/>
    </w:rPr>
  </w:style>
  <w:style w:type="paragraph" w:customStyle="1" w:styleId="Bullet">
    <w:name w:val="Bullet"/>
    <w:basedOn w:val="Normal"/>
    <w:pPr>
      <w:numPr>
        <w:numId w:val="8"/>
      </w:numPr>
      <w:ind w:left="357" w:hanging="357"/>
      <w:jc w:val="both"/>
    </w:pPr>
    <w:rPr>
      <w:snapToGrid w:val="0"/>
      <w:color w:val="000000"/>
      <w:sz w:val="22"/>
    </w:rPr>
  </w:style>
  <w:style w:type="paragraph" w:customStyle="1" w:styleId="Bullet10">
    <w:name w:val="Bullet1"/>
    <w:basedOn w:val="Normal"/>
    <w:pPr>
      <w:numPr>
        <w:numId w:val="10"/>
      </w:numPr>
      <w:spacing w:before="40" w:after="0"/>
    </w:pPr>
    <w:rPr>
      <w:rFonts w:ascii="Times New Roman" w:hAnsi="Times New Roman"/>
      <w:snapToGrid w:val="0"/>
    </w:rPr>
  </w:style>
  <w:style w:type="paragraph" w:customStyle="1" w:styleId="Bullet2">
    <w:name w:val="Bullet2"/>
    <w:basedOn w:val="Bullet10"/>
    <w:pPr>
      <w:numPr>
        <w:numId w:val="0"/>
      </w:numPr>
      <w:tabs>
        <w:tab w:val="num" w:pos="720"/>
      </w:tabs>
      <w:ind w:left="720" w:hanging="360"/>
    </w:pPr>
  </w:style>
  <w:style w:type="paragraph" w:customStyle="1" w:styleId="Heading1t1TITRE1Titre11t1T1Titre1Titre1edt1T1Titre1AnnexeH1t1T1h1l1HGSA1Titre1T1Chapitre11Level1Heading1ColoredChaptertitlechMIGHeading1ch1Bold18CMGH1NCS-H1berschrift1berschrift11">
    <w:name w:val="Heading 1.t1.TITRE1.Titre 11.t1.T1.Titre 1.Titre 1ed.t1.T1.Titre 1Annexe.H1.t1.T1.h1.l1.H.GSA1.Titre 1:.T1.Chapitre 1.1.Level 1.Heading 1 Colored.Chapter title.ch.MIGHeading 1.ch1.Bold 18.CMG H1.NCS-H1.überschrift1.überschrift11"/>
    <w:basedOn w:val="Normal"/>
    <w:next w:val="Normal"/>
    <w:pPr>
      <w:keepNext/>
      <w:tabs>
        <w:tab w:val="num" w:pos="432"/>
      </w:tabs>
      <w:spacing w:before="240" w:after="60"/>
      <w:ind w:left="432" w:hanging="432"/>
      <w:outlineLvl w:val="0"/>
    </w:pPr>
    <w:rPr>
      <w:b/>
      <w:kern w:val="28"/>
      <w:sz w:val="28"/>
    </w:rPr>
  </w:style>
  <w:style w:type="paragraph" w:customStyle="1" w:styleId="Lista">
    <w:name w:val="List a)"/>
    <w:basedOn w:val="Normal"/>
    <w:pPr>
      <w:numPr>
        <w:numId w:val="11"/>
      </w:numPr>
      <w:spacing w:before="60" w:after="0"/>
      <w:jc w:val="both"/>
    </w:pPr>
    <w:rPr>
      <w:snapToGrid w:val="0"/>
      <w:color w:val="000000"/>
      <w:sz w:val="22"/>
    </w:rPr>
  </w:style>
  <w:style w:type="paragraph" w:styleId="ListBullet">
    <w:name w:val="List Bullet"/>
    <w:basedOn w:val="Normal"/>
    <w:autoRedefine/>
    <w:pPr>
      <w:numPr>
        <w:numId w:val="12"/>
      </w:numPr>
      <w:tabs>
        <w:tab w:val="clear" w:pos="720"/>
        <w:tab w:val="num" w:pos="1260"/>
      </w:tabs>
      <w:spacing w:after="0"/>
      <w:ind w:left="1260"/>
      <w:jc w:val="both"/>
    </w:pPr>
    <w:rPr>
      <w:noProof/>
      <w:snapToGrid w:val="0"/>
      <w:color w:val="000000"/>
      <w:sz w:val="22"/>
    </w:rPr>
  </w:style>
  <w:style w:type="paragraph" w:customStyle="1" w:styleId="ListBullet1">
    <w:name w:val="List Bullet 1"/>
    <w:basedOn w:val="Normal"/>
    <w:pPr>
      <w:numPr>
        <w:numId w:val="13"/>
      </w:numPr>
      <w:spacing w:before="120" w:after="0"/>
      <w:ind w:left="1276" w:hanging="284"/>
    </w:pPr>
    <w:rPr>
      <w:rFonts w:ascii="Times New Roman" w:hAnsi="Times New Roman"/>
      <w:sz w:val="22"/>
    </w:rPr>
  </w:style>
  <w:style w:type="paragraph" w:styleId="ListNumber">
    <w:name w:val="List Number"/>
    <w:basedOn w:val="Normal"/>
    <w:pPr>
      <w:numPr>
        <w:numId w:val="14"/>
      </w:numPr>
      <w:spacing w:after="240"/>
      <w:jc w:val="both"/>
    </w:pPr>
    <w:rPr>
      <w:sz w:val="22"/>
    </w:rPr>
  </w:style>
  <w:style w:type="paragraph" w:customStyle="1" w:styleId="perso1">
    <w:name w:val="perso1"/>
    <w:pPr>
      <w:tabs>
        <w:tab w:val="num" w:pos="432"/>
      </w:tabs>
      <w:ind w:left="432" w:hanging="432"/>
    </w:pPr>
    <w:rPr>
      <w:b/>
      <w:sz w:val="24"/>
      <w:u w:val="single"/>
      <w:lang w:eastAsia="en-US"/>
    </w:rPr>
  </w:style>
  <w:style w:type="paragraph" w:customStyle="1" w:styleId="Puce2">
    <w:name w:val="Puce2"/>
    <w:basedOn w:val="Normal"/>
    <w:pPr>
      <w:numPr>
        <w:numId w:val="15"/>
      </w:numPr>
      <w:spacing w:after="0"/>
      <w:jc w:val="both"/>
    </w:pPr>
    <w:rPr>
      <w:snapToGrid w:val="0"/>
      <w:color w:val="000000"/>
      <w:sz w:val="22"/>
    </w:rPr>
  </w:style>
  <w:style w:type="paragraph" w:customStyle="1" w:styleId="SteriaBullet">
    <w:name w:val="Steria Bullet"/>
    <w:basedOn w:val="SteriaResponse"/>
    <w:pPr>
      <w:numPr>
        <w:numId w:val="16"/>
      </w:numPr>
      <w:tabs>
        <w:tab w:val="clear" w:pos="4235"/>
      </w:tabs>
      <w:ind w:left="357" w:hanging="357"/>
    </w:pPr>
  </w:style>
  <w:style w:type="paragraph" w:customStyle="1" w:styleId="SteriaResponse">
    <w:name w:val="Steria Response"/>
    <w:pPr>
      <w:spacing w:after="240" w:line="260" w:lineRule="exact"/>
    </w:pPr>
    <w:rPr>
      <w:color w:val="000080"/>
      <w:sz w:val="22"/>
      <w:lang w:eastAsia="en-US"/>
    </w:rPr>
  </w:style>
  <w:style w:type="paragraph" w:customStyle="1" w:styleId="TaBult1">
    <w:name w:val="TaBult 1"/>
    <w:basedOn w:val="Normal"/>
    <w:pPr>
      <w:numPr>
        <w:numId w:val="17"/>
      </w:numPr>
      <w:spacing w:before="60" w:after="60"/>
      <w:ind w:left="426" w:hanging="284"/>
      <w:jc w:val="both"/>
    </w:pPr>
    <w:rPr>
      <w:rFonts w:ascii="Times New Roman" w:hAnsi="Times New Roman"/>
      <w:sz w:val="22"/>
    </w:rPr>
  </w:style>
  <w:style w:type="paragraph" w:customStyle="1" w:styleId="Bullet20">
    <w:name w:val="Bullet 2"/>
    <w:basedOn w:val="Normal"/>
    <w:pPr>
      <w:tabs>
        <w:tab w:val="num" w:pos="1260"/>
      </w:tabs>
      <w:spacing w:after="0"/>
      <w:ind w:left="1260" w:hanging="360"/>
      <w:jc w:val="both"/>
    </w:pPr>
    <w:rPr>
      <w:sz w:val="22"/>
    </w:rPr>
  </w:style>
  <w:style w:type="paragraph" w:customStyle="1" w:styleId="bp">
    <w:name w:val="bp"/>
    <w:basedOn w:val="Normal"/>
    <w:pPr>
      <w:spacing w:before="100" w:after="100"/>
    </w:pPr>
    <w:rPr>
      <w:rFonts w:ascii="Arial Unicode MS" w:eastAsia="Arial Unicode MS" w:hAnsi="Arial Unicode MS"/>
      <w:sz w:val="24"/>
    </w:rPr>
  </w:style>
  <w:style w:type="paragraph" w:styleId="List2">
    <w:name w:val="List 2"/>
    <w:basedOn w:val="Normal"/>
    <w:pPr>
      <w:tabs>
        <w:tab w:val="num" w:pos="360"/>
      </w:tabs>
      <w:spacing w:before="60" w:after="0"/>
      <w:ind w:left="360" w:hanging="360"/>
      <w:jc w:val="both"/>
    </w:pPr>
    <w:rPr>
      <w:snapToGrid w:val="0"/>
      <w:color w:val="000000"/>
      <w:sz w:val="22"/>
    </w:rPr>
  </w:style>
  <w:style w:type="paragraph" w:customStyle="1" w:styleId="BodySingle">
    <w:name w:val="*Body Single"/>
    <w:basedOn w:val="Normal"/>
    <w:pPr>
      <w:spacing w:after="0" w:line="220" w:lineRule="atLeast"/>
      <w:ind w:left="2304"/>
    </w:pPr>
    <w:rPr>
      <w:sz w:val="22"/>
      <w:szCs w:val="24"/>
    </w:rPr>
  </w:style>
  <w:style w:type="paragraph" w:customStyle="1" w:styleId="Text2">
    <w:name w:val="Text 2"/>
    <w:basedOn w:val="Default"/>
    <w:next w:val="Default"/>
    <w:link w:val="Text2Char"/>
    <w:pPr>
      <w:autoSpaceDE/>
      <w:autoSpaceDN/>
      <w:adjustRightInd/>
      <w:spacing w:before="120" w:after="120"/>
    </w:pPr>
  </w:style>
  <w:style w:type="paragraph" w:customStyle="1" w:styleId="Default">
    <w:name w:val="Default"/>
    <w:pPr>
      <w:autoSpaceDE w:val="0"/>
      <w:autoSpaceDN w:val="0"/>
      <w:adjustRightInd w:val="0"/>
    </w:pPr>
    <w:rPr>
      <w:rFonts w:ascii="TimesNewRoman" w:hAnsi="TimesNewRoman"/>
      <w:lang w:eastAsia="en-US"/>
    </w:rPr>
  </w:style>
  <w:style w:type="paragraph" w:styleId="BodyText">
    <w:name w:val="Body Text"/>
    <w:aliases w:val="EDS Question Text"/>
    <w:basedOn w:val="Normal"/>
    <w:pPr>
      <w:spacing w:after="0"/>
      <w:ind w:right="-1054"/>
    </w:pPr>
    <w:rPr>
      <w:noProof/>
    </w:rPr>
  </w:style>
  <w:style w:type="paragraph" w:styleId="BodyText2">
    <w:name w:val="Body Text 2"/>
    <w:basedOn w:val="Normal"/>
    <w:pPr>
      <w:spacing w:after="0"/>
    </w:pPr>
    <w:rPr>
      <w:color w:val="000000"/>
      <w:sz w:val="22"/>
    </w:rPr>
  </w:style>
  <w:style w:type="paragraph" w:styleId="BodyText3">
    <w:name w:val="Body Text 3"/>
    <w:basedOn w:val="Normal"/>
    <w:pPr>
      <w:spacing w:after="0"/>
      <w:jc w:val="both"/>
    </w:pPr>
    <w:rPr>
      <w:snapToGrid w:val="0"/>
      <w:color w:val="000000"/>
      <w:sz w:val="22"/>
    </w:rPr>
  </w:style>
  <w:style w:type="paragraph" w:styleId="BlockText">
    <w:name w:val="Block Text"/>
    <w:basedOn w:val="Normal"/>
    <w:pPr>
      <w:pBdr>
        <w:top w:val="single" w:sz="4" w:space="1" w:color="auto"/>
        <w:left w:val="single" w:sz="4" w:space="4" w:color="auto"/>
        <w:bottom w:val="single" w:sz="4" w:space="1" w:color="auto"/>
        <w:right w:val="single" w:sz="4" w:space="4" w:color="auto"/>
      </w:pBdr>
      <w:spacing w:after="0"/>
      <w:ind w:left="720" w:right="720"/>
    </w:pPr>
    <w:rPr>
      <w:rFonts w:ascii="Times New Roman" w:hAnsi="Times New Roman"/>
      <w:b/>
      <w:bCs/>
      <w:color w:val="FF0000"/>
      <w:sz w:val="24"/>
      <w:szCs w:val="24"/>
    </w:rPr>
  </w:style>
  <w:style w:type="paragraph" w:customStyle="1" w:styleId="cellheading">
    <w:name w:val="cellheading"/>
    <w:basedOn w:val="Normal"/>
    <w:pPr>
      <w:spacing w:after="144"/>
    </w:pPr>
    <w:rPr>
      <w:rFonts w:ascii="Verdana" w:eastAsia="Arial Unicode MS" w:hAnsi="Verdana"/>
      <w:b/>
      <w:color w:val="000000"/>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table" w:styleId="TableGrid">
    <w:name w:val="Table Grid"/>
    <w:basedOn w:val="TableNormal"/>
    <w:uiPriority w:val="5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aliases w:val="T2 Char,h2 Char,L2 Char,H2 Char,Punt 2 Char,l2 Char,2 Char,Titre 21 Char,t2.T2 Char,t2 Char,Contrat 2 Char,Ctt Char,t2.T2.Titre 2 Char,TITRE 2 Char,Titre 2ed Char,Heading 2 Hidden Char,heading 2 Char,Chapter Number/Appendix Letter Char"/>
    <w:link w:val="Heading2"/>
    <w:rPr>
      <w:b/>
      <w:bCs/>
      <w:smallCaps/>
      <w:color w:val="000080"/>
      <w:sz w:val="32"/>
    </w:rPr>
  </w:style>
  <w:style w:type="character" w:customStyle="1" w:styleId="Heading4Char">
    <w:name w:val="Heading 4 Char"/>
    <w:aliases w:val="4 Char,H4 Char,Titre 41 Char,t4.T4 Char,t4 Char,Chapitre 1.1.1. Char,Alinéa Char,dash Char,h4 Char,Ref Heading 1 Char,rh1 Char,First Subheading Char,T4 Char,t4.T4.Titre 4 Char,heading 4 Char,l4 Char,I4 Char,(Shift Ctrl 4) Char"/>
    <w:link w:val="Heading4"/>
    <w:rPr>
      <w:b/>
      <w:smallCaps/>
      <w:color w:val="000080"/>
      <w:sz w:val="24"/>
    </w:rPr>
  </w:style>
  <w:style w:type="paragraph" w:styleId="BodyTextIndent">
    <w:name w:val="Body Text Indent"/>
    <w:basedOn w:val="Normal"/>
    <w:pPr>
      <w:numPr>
        <w:numId w:val="18"/>
      </w:numPr>
      <w:tabs>
        <w:tab w:val="clear" w:pos="283"/>
      </w:tabs>
      <w:ind w:firstLine="0"/>
      <w:jc w:val="both"/>
    </w:pPr>
    <w:rPr>
      <w:rFonts w:ascii="Times New Roman" w:hAnsi="Times New Roman"/>
      <w:sz w:val="22"/>
    </w:rPr>
  </w:style>
  <w:style w:type="character" w:customStyle="1" w:styleId="Text2Char">
    <w:name w:val="Text 2 Char"/>
    <w:link w:val="Text2"/>
    <w:rPr>
      <w:rFonts w:ascii="TimesNewRoman" w:hAnsi="TimesNewRoman"/>
      <w:lang w:val="fr-FR" w:eastAsia="en-US" w:bidi="ar-SA"/>
    </w:rPr>
  </w:style>
  <w:style w:type="character" w:styleId="HTMLCode">
    <w:name w:val="HTML Code"/>
    <w:semiHidden/>
    <w:unhideWhenUsed/>
    <w:rPr>
      <w:rFonts w:ascii="Courier New" w:eastAsia="Times New Roman" w:hAnsi="Courier New" w:cs="Courier New"/>
      <w:sz w:val="20"/>
      <w:szCs w:val="20"/>
    </w:rPr>
  </w:style>
  <w:style w:type="character" w:customStyle="1" w:styleId="Heading2Char2">
    <w:name w:val="Heading 2 Char2"/>
    <w:aliases w:val="Heading 2 Char1 Char,Heading 2 Char Char Char,Heading 2 Char Char1"/>
    <w:locked/>
    <w:rPr>
      <w:b/>
      <w:sz w:val="24"/>
      <w:lang w:val="fr-FR" w:eastAsia="en-US" w:bidi="ar-SA"/>
    </w:rPr>
  </w:style>
  <w:style w:type="paragraph" w:customStyle="1" w:styleId="NumPar1">
    <w:name w:val="NumPar 1"/>
    <w:basedOn w:val="Normal"/>
    <w:next w:val="Normal"/>
    <w:pPr>
      <w:numPr>
        <w:numId w:val="21"/>
      </w:numPr>
      <w:spacing w:before="120"/>
      <w:jc w:val="both"/>
    </w:pPr>
    <w:rPr>
      <w:rFonts w:ascii="Times New Roman" w:hAnsi="Times New Roman"/>
      <w:sz w:val="24"/>
      <w:szCs w:val="24"/>
    </w:rPr>
  </w:style>
  <w:style w:type="paragraph" w:customStyle="1" w:styleId="NumPar2">
    <w:name w:val="NumPar 2"/>
    <w:basedOn w:val="Normal"/>
    <w:next w:val="Normal"/>
    <w:pPr>
      <w:numPr>
        <w:ilvl w:val="1"/>
        <w:numId w:val="21"/>
      </w:numPr>
      <w:spacing w:before="120"/>
      <w:jc w:val="both"/>
    </w:pPr>
    <w:rPr>
      <w:rFonts w:ascii="Times New Roman" w:hAnsi="Times New Roman"/>
      <w:sz w:val="24"/>
      <w:szCs w:val="24"/>
    </w:rPr>
  </w:style>
  <w:style w:type="paragraph" w:customStyle="1" w:styleId="NumPar3">
    <w:name w:val="NumPar 3"/>
    <w:basedOn w:val="Normal"/>
    <w:next w:val="Normal"/>
    <w:pPr>
      <w:numPr>
        <w:ilvl w:val="2"/>
        <w:numId w:val="21"/>
      </w:numPr>
      <w:spacing w:before="120"/>
      <w:jc w:val="both"/>
    </w:pPr>
    <w:rPr>
      <w:rFonts w:ascii="Times New Roman" w:hAnsi="Times New Roman"/>
      <w:sz w:val="24"/>
      <w:szCs w:val="24"/>
    </w:rPr>
  </w:style>
  <w:style w:type="paragraph" w:customStyle="1" w:styleId="NumPar4">
    <w:name w:val="NumPar 4"/>
    <w:basedOn w:val="Normal"/>
    <w:next w:val="Normal"/>
    <w:pPr>
      <w:numPr>
        <w:ilvl w:val="3"/>
        <w:numId w:val="21"/>
      </w:numPr>
      <w:spacing w:before="120"/>
      <w:jc w:val="both"/>
    </w:pPr>
    <w:rPr>
      <w:rFonts w:ascii="Times New Roman" w:hAnsi="Times New Roman"/>
      <w:sz w:val="24"/>
      <w:szCs w:val="24"/>
    </w:rPr>
  </w:style>
  <w:style w:type="paragraph" w:styleId="ListParagraph">
    <w:name w:val="List Paragraph"/>
    <w:basedOn w:val="Normal"/>
    <w:uiPriority w:val="34"/>
    <w:qFormat/>
    <w:pPr>
      <w:spacing w:after="0"/>
      <w:ind w:left="720"/>
    </w:pPr>
    <w:rPr>
      <w:rFonts w:ascii="Calibri" w:hAnsi="Calibri"/>
      <w:sz w:val="22"/>
      <w:szCs w:val="22"/>
    </w:rPr>
  </w:style>
  <w:style w:type="character" w:customStyle="1" w:styleId="CommentTextChar">
    <w:name w:val="Comment Text Char"/>
    <w:basedOn w:val="DefaultParagraphFont"/>
    <w:link w:val="CommentText"/>
    <w:semiHidden/>
    <w:rPr>
      <w:rFonts w:ascii="Arial" w:hAnsi="Arial"/>
      <w:lang w:eastAsia="en-US"/>
    </w:rPr>
  </w:style>
  <w:style w:type="paragraph" w:styleId="Revision">
    <w:name w:val="Revision"/>
    <w:hidden/>
    <w:uiPriority w:val="99"/>
    <w:semiHidden/>
    <w:rPr>
      <w:sz w:val="18"/>
      <w:lang w:eastAsia="en-US"/>
    </w:rPr>
  </w:style>
  <w:style w:type="character" w:customStyle="1" w:styleId="FootnoteTextChar">
    <w:name w:val="Footnote Text Char"/>
    <w:basedOn w:val="DefaultParagraphFont"/>
    <w:link w:val="FootnoteText"/>
    <w:semiHidden/>
    <w:rPr>
      <w:rFonts w:ascii="Arial" w:hAnsi="Arial"/>
      <w:sz w:val="16"/>
      <w:lang w:eastAsia="en-U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cs="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TitleChar">
    <w:name w:val="Title Char"/>
    <w:basedOn w:val="DefaultParagraphFont"/>
    <w:link w:val="Title"/>
    <w:rPr>
      <w:b/>
      <w:caps/>
      <w:color w:val="000080"/>
      <w:sz w:val="32"/>
    </w:rPr>
  </w:style>
  <w:style w:type="character" w:customStyle="1" w:styleId="FooterCoverPageChar">
    <w:name w:val="Footer Cover Page Char"/>
    <w:basedOn w:val="TitleChar"/>
    <w:link w:val="FooterCoverPage"/>
    <w:rPr>
      <w:rFonts w:ascii="Times New Roman" w:hAnsi="Times New Roman" w:cs="Times New Roman"/>
      <w:b w:val="0"/>
      <w:caps w:val="0"/>
      <w:color w:val="000080"/>
      <w:sz w:val="24"/>
    </w:rPr>
  </w:style>
  <w:style w:type="paragraph" w:customStyle="1" w:styleId="HeaderCoverPage">
    <w:name w:val="Header Cover Page"/>
    <w:basedOn w:val="Normal"/>
    <w:link w:val="HeaderCoverPageChar"/>
    <w:pPr>
      <w:tabs>
        <w:tab w:val="center" w:pos="4535"/>
        <w:tab w:val="right" w:pos="9071"/>
      </w:tabs>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caps w:val="0"/>
      <w:color w:val="000080"/>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szCs w:val="22"/>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cs="Times New Roman"/>
      <w:b/>
      <w:sz w:val="24"/>
      <w:szCs w:val="22"/>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jc w:val="both"/>
    </w:pPr>
    <w:rPr>
      <w:rFonts w:ascii="Times New Roman" w:eastAsiaTheme="minorHAnsi" w:hAnsi="Times New Roman" w:cs="Times New Roman"/>
      <w:sz w:val="24"/>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szCs w:val="22"/>
      <w:lang w:eastAsia="en-US"/>
    </w:rPr>
  </w:style>
  <w:style w:type="paragraph" w:customStyle="1" w:styleId="HeaderLandscape">
    <w:name w:val="HeaderLandscape"/>
    <w:basedOn w:val="Normal"/>
    <w:pPr>
      <w:tabs>
        <w:tab w:val="center" w:pos="7285"/>
        <w:tab w:val="right" w:pos="14003"/>
      </w:tabs>
      <w:jc w:val="both"/>
    </w:pPr>
    <w:rPr>
      <w:rFonts w:ascii="Times New Roman" w:eastAsiaTheme="minorHAnsi" w:hAnsi="Times New Roman" w:cs="Times New Roman"/>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rFonts w:ascii="Times New Roman" w:hAnsi="Times New Roman" w:cs="Times New Roman"/>
      <w:b/>
      <w:sz w:val="32"/>
    </w:rPr>
  </w:style>
  <w:style w:type="paragraph" w:customStyle="1" w:styleId="HeaderSensitivityRight">
    <w:name w:val="Header Sensitivity Right"/>
    <w:basedOn w:val="Normal"/>
    <w:pPr>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ascii="Times New Roman" w:eastAsiaTheme="minorHAnsi" w:hAnsi="Times New Roman" w:cs="Times New Roman"/>
      <w:sz w:val="24"/>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jc w:val="both"/>
    </w:pPr>
    <w:rPr>
      <w:rFonts w:ascii="Times New Roman" w:eastAsiaTheme="minorHAnsi" w:hAnsi="Times New Roman" w:cs="Times New Roman"/>
      <w:sz w:val="24"/>
      <w:szCs w:val="22"/>
      <w:lang w:eastAsia="en-US"/>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szCs w:val="22"/>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6491">
      <w:bodyDiv w:val="1"/>
      <w:marLeft w:val="0"/>
      <w:marRight w:val="0"/>
      <w:marTop w:val="0"/>
      <w:marBottom w:val="0"/>
      <w:divBdr>
        <w:top w:val="none" w:sz="0" w:space="0" w:color="auto"/>
        <w:left w:val="none" w:sz="0" w:space="0" w:color="auto"/>
        <w:bottom w:val="none" w:sz="0" w:space="0" w:color="auto"/>
        <w:right w:val="none" w:sz="0" w:space="0" w:color="auto"/>
      </w:divBdr>
    </w:div>
    <w:div w:id="436944370">
      <w:bodyDiv w:val="1"/>
      <w:marLeft w:val="0"/>
      <w:marRight w:val="0"/>
      <w:marTop w:val="0"/>
      <w:marBottom w:val="0"/>
      <w:divBdr>
        <w:top w:val="none" w:sz="0" w:space="0" w:color="auto"/>
        <w:left w:val="none" w:sz="0" w:space="0" w:color="auto"/>
        <w:bottom w:val="none" w:sz="0" w:space="0" w:color="auto"/>
        <w:right w:val="none" w:sz="0" w:space="0" w:color="auto"/>
      </w:divBdr>
    </w:div>
    <w:div w:id="605038106">
      <w:bodyDiv w:val="1"/>
      <w:marLeft w:val="0"/>
      <w:marRight w:val="0"/>
      <w:marTop w:val="0"/>
      <w:marBottom w:val="0"/>
      <w:divBdr>
        <w:top w:val="none" w:sz="0" w:space="0" w:color="auto"/>
        <w:left w:val="none" w:sz="0" w:space="0" w:color="auto"/>
        <w:bottom w:val="none" w:sz="0" w:space="0" w:color="auto"/>
        <w:right w:val="none" w:sz="0" w:space="0" w:color="auto"/>
      </w:divBdr>
    </w:div>
    <w:div w:id="640689684">
      <w:bodyDiv w:val="1"/>
      <w:marLeft w:val="0"/>
      <w:marRight w:val="0"/>
      <w:marTop w:val="0"/>
      <w:marBottom w:val="0"/>
      <w:divBdr>
        <w:top w:val="none" w:sz="0" w:space="0" w:color="auto"/>
        <w:left w:val="none" w:sz="0" w:space="0" w:color="auto"/>
        <w:bottom w:val="none" w:sz="0" w:space="0" w:color="auto"/>
        <w:right w:val="none" w:sz="0" w:space="0" w:color="auto"/>
      </w:divBdr>
    </w:div>
    <w:div w:id="662397485">
      <w:bodyDiv w:val="1"/>
      <w:marLeft w:val="0"/>
      <w:marRight w:val="0"/>
      <w:marTop w:val="0"/>
      <w:marBottom w:val="0"/>
      <w:divBdr>
        <w:top w:val="none" w:sz="0" w:space="0" w:color="auto"/>
        <w:left w:val="none" w:sz="0" w:space="0" w:color="auto"/>
        <w:bottom w:val="none" w:sz="0" w:space="0" w:color="auto"/>
        <w:right w:val="none" w:sz="0" w:space="0" w:color="auto"/>
      </w:divBdr>
    </w:div>
    <w:div w:id="814957810">
      <w:bodyDiv w:val="1"/>
      <w:marLeft w:val="0"/>
      <w:marRight w:val="0"/>
      <w:marTop w:val="0"/>
      <w:marBottom w:val="0"/>
      <w:divBdr>
        <w:top w:val="none" w:sz="0" w:space="0" w:color="auto"/>
        <w:left w:val="none" w:sz="0" w:space="0" w:color="auto"/>
        <w:bottom w:val="none" w:sz="0" w:space="0" w:color="auto"/>
        <w:right w:val="none" w:sz="0" w:space="0" w:color="auto"/>
      </w:divBdr>
    </w:div>
    <w:div w:id="852457057">
      <w:bodyDiv w:val="1"/>
      <w:marLeft w:val="0"/>
      <w:marRight w:val="0"/>
      <w:marTop w:val="0"/>
      <w:marBottom w:val="0"/>
      <w:divBdr>
        <w:top w:val="none" w:sz="0" w:space="0" w:color="auto"/>
        <w:left w:val="none" w:sz="0" w:space="0" w:color="auto"/>
        <w:bottom w:val="none" w:sz="0" w:space="0" w:color="auto"/>
        <w:right w:val="none" w:sz="0" w:space="0" w:color="auto"/>
      </w:divBdr>
    </w:div>
    <w:div w:id="937715902">
      <w:bodyDiv w:val="1"/>
      <w:marLeft w:val="0"/>
      <w:marRight w:val="0"/>
      <w:marTop w:val="0"/>
      <w:marBottom w:val="0"/>
      <w:divBdr>
        <w:top w:val="none" w:sz="0" w:space="0" w:color="auto"/>
        <w:left w:val="none" w:sz="0" w:space="0" w:color="auto"/>
        <w:bottom w:val="none" w:sz="0" w:space="0" w:color="auto"/>
        <w:right w:val="none" w:sz="0" w:space="0" w:color="auto"/>
      </w:divBdr>
    </w:div>
    <w:div w:id="976498224">
      <w:bodyDiv w:val="1"/>
      <w:marLeft w:val="0"/>
      <w:marRight w:val="0"/>
      <w:marTop w:val="0"/>
      <w:marBottom w:val="0"/>
      <w:divBdr>
        <w:top w:val="none" w:sz="0" w:space="0" w:color="auto"/>
        <w:left w:val="none" w:sz="0" w:space="0" w:color="auto"/>
        <w:bottom w:val="none" w:sz="0" w:space="0" w:color="auto"/>
        <w:right w:val="none" w:sz="0" w:space="0" w:color="auto"/>
      </w:divBdr>
    </w:div>
    <w:div w:id="1193766090">
      <w:bodyDiv w:val="1"/>
      <w:marLeft w:val="0"/>
      <w:marRight w:val="0"/>
      <w:marTop w:val="0"/>
      <w:marBottom w:val="0"/>
      <w:divBdr>
        <w:top w:val="none" w:sz="0" w:space="0" w:color="auto"/>
        <w:left w:val="none" w:sz="0" w:space="0" w:color="auto"/>
        <w:bottom w:val="none" w:sz="0" w:space="0" w:color="auto"/>
        <w:right w:val="none" w:sz="0" w:space="0" w:color="auto"/>
      </w:divBdr>
    </w:div>
    <w:div w:id="1221405828">
      <w:bodyDiv w:val="1"/>
      <w:marLeft w:val="0"/>
      <w:marRight w:val="0"/>
      <w:marTop w:val="0"/>
      <w:marBottom w:val="0"/>
      <w:divBdr>
        <w:top w:val="none" w:sz="0" w:space="0" w:color="auto"/>
        <w:left w:val="none" w:sz="0" w:space="0" w:color="auto"/>
        <w:bottom w:val="none" w:sz="0" w:space="0" w:color="auto"/>
        <w:right w:val="none" w:sz="0" w:space="0" w:color="auto"/>
      </w:divBdr>
    </w:div>
    <w:div w:id="1259944273">
      <w:bodyDiv w:val="1"/>
      <w:marLeft w:val="0"/>
      <w:marRight w:val="0"/>
      <w:marTop w:val="0"/>
      <w:marBottom w:val="0"/>
      <w:divBdr>
        <w:top w:val="none" w:sz="0" w:space="0" w:color="auto"/>
        <w:left w:val="none" w:sz="0" w:space="0" w:color="auto"/>
        <w:bottom w:val="none" w:sz="0" w:space="0" w:color="auto"/>
        <w:right w:val="none" w:sz="0" w:space="0" w:color="auto"/>
      </w:divBdr>
    </w:div>
    <w:div w:id="1512455331">
      <w:bodyDiv w:val="1"/>
      <w:marLeft w:val="0"/>
      <w:marRight w:val="0"/>
      <w:marTop w:val="0"/>
      <w:marBottom w:val="0"/>
      <w:divBdr>
        <w:top w:val="none" w:sz="0" w:space="0" w:color="auto"/>
        <w:left w:val="none" w:sz="0" w:space="0" w:color="auto"/>
        <w:bottom w:val="none" w:sz="0" w:space="0" w:color="auto"/>
        <w:right w:val="none" w:sz="0" w:space="0" w:color="auto"/>
      </w:divBdr>
    </w:div>
    <w:div w:id="1599176383">
      <w:bodyDiv w:val="1"/>
      <w:marLeft w:val="0"/>
      <w:marRight w:val="0"/>
      <w:marTop w:val="0"/>
      <w:marBottom w:val="0"/>
      <w:divBdr>
        <w:top w:val="none" w:sz="0" w:space="0" w:color="auto"/>
        <w:left w:val="none" w:sz="0" w:space="0" w:color="auto"/>
        <w:bottom w:val="none" w:sz="0" w:space="0" w:color="auto"/>
        <w:right w:val="none" w:sz="0" w:space="0" w:color="auto"/>
      </w:divBdr>
    </w:div>
    <w:div w:id="1737556785">
      <w:bodyDiv w:val="1"/>
      <w:marLeft w:val="0"/>
      <w:marRight w:val="0"/>
      <w:marTop w:val="0"/>
      <w:marBottom w:val="0"/>
      <w:divBdr>
        <w:top w:val="none" w:sz="0" w:space="0" w:color="auto"/>
        <w:left w:val="none" w:sz="0" w:space="0" w:color="auto"/>
        <w:bottom w:val="none" w:sz="0" w:space="0" w:color="auto"/>
        <w:right w:val="none" w:sz="0" w:space="0" w:color="auto"/>
      </w:divBdr>
    </w:div>
    <w:div w:id="1895656447">
      <w:bodyDiv w:val="1"/>
      <w:marLeft w:val="0"/>
      <w:marRight w:val="0"/>
      <w:marTop w:val="0"/>
      <w:marBottom w:val="0"/>
      <w:divBdr>
        <w:top w:val="none" w:sz="0" w:space="0" w:color="auto"/>
        <w:left w:val="none" w:sz="0" w:space="0" w:color="auto"/>
        <w:bottom w:val="none" w:sz="0" w:space="0" w:color="auto"/>
        <w:right w:val="none" w:sz="0" w:space="0" w:color="auto"/>
      </w:divBdr>
    </w:div>
    <w:div w:id="1955672307">
      <w:bodyDiv w:val="1"/>
      <w:marLeft w:val="0"/>
      <w:marRight w:val="0"/>
      <w:marTop w:val="0"/>
      <w:marBottom w:val="0"/>
      <w:divBdr>
        <w:top w:val="none" w:sz="0" w:space="0" w:color="auto"/>
        <w:left w:val="none" w:sz="0" w:space="0" w:color="auto"/>
        <w:bottom w:val="none" w:sz="0" w:space="0" w:color="auto"/>
        <w:right w:val="none" w:sz="0" w:space="0" w:color="auto"/>
      </w:divBdr>
    </w:div>
    <w:div w:id="2029091440">
      <w:bodyDiv w:val="1"/>
      <w:marLeft w:val="0"/>
      <w:marRight w:val="0"/>
      <w:marTop w:val="0"/>
      <w:marBottom w:val="0"/>
      <w:divBdr>
        <w:top w:val="none" w:sz="0" w:space="0" w:color="auto"/>
        <w:left w:val="none" w:sz="0" w:space="0" w:color="auto"/>
        <w:bottom w:val="none" w:sz="0" w:space="0" w:color="auto"/>
        <w:right w:val="none" w:sz="0" w:space="0" w:color="auto"/>
      </w:divBdr>
    </w:div>
    <w:div w:id="21058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2D4F2-F31E-42A5-9216-7DE7F9FA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5365</Words>
  <Characters>28328</Characters>
  <Application>Microsoft Office Word</Application>
  <DocSecurity>0</DocSecurity>
  <Lines>488</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33570</CharactersWithSpaces>
  <SharedDoc>false</SharedDoc>
  <HLinks>
    <vt:vector size="198" baseType="variant">
      <vt:variant>
        <vt:i4>3604575</vt:i4>
      </vt:variant>
      <vt:variant>
        <vt:i4>204</vt:i4>
      </vt:variant>
      <vt:variant>
        <vt:i4>0</vt:i4>
      </vt:variant>
      <vt:variant>
        <vt:i4>5</vt:i4>
      </vt:variant>
      <vt:variant>
        <vt:lpwstr>mailto:JUST-CRIMINAL-RECORD@ec.europa.eu</vt:lpwstr>
      </vt:variant>
      <vt:variant>
        <vt:lpwstr/>
      </vt:variant>
      <vt:variant>
        <vt:i4>786523</vt:i4>
      </vt:variant>
      <vt:variant>
        <vt:i4>201</vt:i4>
      </vt:variant>
      <vt:variant>
        <vt:i4>0</vt:i4>
      </vt:variant>
      <vt:variant>
        <vt:i4>5</vt:i4>
      </vt:variant>
      <vt:variant>
        <vt:lpwstr>http://www.statistics.be/</vt:lpwstr>
      </vt:variant>
      <vt:variant>
        <vt:lpwstr/>
      </vt:variant>
      <vt:variant>
        <vt:i4>1376314</vt:i4>
      </vt:variant>
      <vt:variant>
        <vt:i4>191</vt:i4>
      </vt:variant>
      <vt:variant>
        <vt:i4>0</vt:i4>
      </vt:variant>
      <vt:variant>
        <vt:i4>5</vt:i4>
      </vt:variant>
      <vt:variant>
        <vt:lpwstr/>
      </vt:variant>
      <vt:variant>
        <vt:lpwstr>_Toc366161943</vt:lpwstr>
      </vt:variant>
      <vt:variant>
        <vt:i4>1376314</vt:i4>
      </vt:variant>
      <vt:variant>
        <vt:i4>185</vt:i4>
      </vt:variant>
      <vt:variant>
        <vt:i4>0</vt:i4>
      </vt:variant>
      <vt:variant>
        <vt:i4>5</vt:i4>
      </vt:variant>
      <vt:variant>
        <vt:lpwstr/>
      </vt:variant>
      <vt:variant>
        <vt:lpwstr>_Toc366161943</vt:lpwstr>
      </vt:variant>
      <vt:variant>
        <vt:i4>1376314</vt:i4>
      </vt:variant>
      <vt:variant>
        <vt:i4>179</vt:i4>
      </vt:variant>
      <vt:variant>
        <vt:i4>0</vt:i4>
      </vt:variant>
      <vt:variant>
        <vt:i4>5</vt:i4>
      </vt:variant>
      <vt:variant>
        <vt:lpwstr/>
      </vt:variant>
      <vt:variant>
        <vt:lpwstr>_Toc366161942</vt:lpwstr>
      </vt:variant>
      <vt:variant>
        <vt:i4>1376314</vt:i4>
      </vt:variant>
      <vt:variant>
        <vt:i4>173</vt:i4>
      </vt:variant>
      <vt:variant>
        <vt:i4>0</vt:i4>
      </vt:variant>
      <vt:variant>
        <vt:i4>5</vt:i4>
      </vt:variant>
      <vt:variant>
        <vt:lpwstr/>
      </vt:variant>
      <vt:variant>
        <vt:lpwstr>_Toc366161941</vt:lpwstr>
      </vt:variant>
      <vt:variant>
        <vt:i4>1376314</vt:i4>
      </vt:variant>
      <vt:variant>
        <vt:i4>167</vt:i4>
      </vt:variant>
      <vt:variant>
        <vt:i4>0</vt:i4>
      </vt:variant>
      <vt:variant>
        <vt:i4>5</vt:i4>
      </vt:variant>
      <vt:variant>
        <vt:lpwstr/>
      </vt:variant>
      <vt:variant>
        <vt:lpwstr>_Toc366161940</vt:lpwstr>
      </vt:variant>
      <vt:variant>
        <vt:i4>1179706</vt:i4>
      </vt:variant>
      <vt:variant>
        <vt:i4>161</vt:i4>
      </vt:variant>
      <vt:variant>
        <vt:i4>0</vt:i4>
      </vt:variant>
      <vt:variant>
        <vt:i4>5</vt:i4>
      </vt:variant>
      <vt:variant>
        <vt:lpwstr/>
      </vt:variant>
      <vt:variant>
        <vt:lpwstr>_Toc366161939</vt:lpwstr>
      </vt:variant>
      <vt:variant>
        <vt:i4>1179706</vt:i4>
      </vt:variant>
      <vt:variant>
        <vt:i4>155</vt:i4>
      </vt:variant>
      <vt:variant>
        <vt:i4>0</vt:i4>
      </vt:variant>
      <vt:variant>
        <vt:i4>5</vt:i4>
      </vt:variant>
      <vt:variant>
        <vt:lpwstr/>
      </vt:variant>
      <vt:variant>
        <vt:lpwstr>_Toc366161938</vt:lpwstr>
      </vt:variant>
      <vt:variant>
        <vt:i4>1179706</vt:i4>
      </vt:variant>
      <vt:variant>
        <vt:i4>149</vt:i4>
      </vt:variant>
      <vt:variant>
        <vt:i4>0</vt:i4>
      </vt:variant>
      <vt:variant>
        <vt:i4>5</vt:i4>
      </vt:variant>
      <vt:variant>
        <vt:lpwstr/>
      </vt:variant>
      <vt:variant>
        <vt:lpwstr>_Toc366161937</vt:lpwstr>
      </vt:variant>
      <vt:variant>
        <vt:i4>1179706</vt:i4>
      </vt:variant>
      <vt:variant>
        <vt:i4>143</vt:i4>
      </vt:variant>
      <vt:variant>
        <vt:i4>0</vt:i4>
      </vt:variant>
      <vt:variant>
        <vt:i4>5</vt:i4>
      </vt:variant>
      <vt:variant>
        <vt:lpwstr/>
      </vt:variant>
      <vt:variant>
        <vt:lpwstr>_Toc366161936</vt:lpwstr>
      </vt:variant>
      <vt:variant>
        <vt:i4>1179706</vt:i4>
      </vt:variant>
      <vt:variant>
        <vt:i4>137</vt:i4>
      </vt:variant>
      <vt:variant>
        <vt:i4>0</vt:i4>
      </vt:variant>
      <vt:variant>
        <vt:i4>5</vt:i4>
      </vt:variant>
      <vt:variant>
        <vt:lpwstr/>
      </vt:variant>
      <vt:variant>
        <vt:lpwstr>_Toc366161935</vt:lpwstr>
      </vt:variant>
      <vt:variant>
        <vt:i4>1179706</vt:i4>
      </vt:variant>
      <vt:variant>
        <vt:i4>131</vt:i4>
      </vt:variant>
      <vt:variant>
        <vt:i4>0</vt:i4>
      </vt:variant>
      <vt:variant>
        <vt:i4>5</vt:i4>
      </vt:variant>
      <vt:variant>
        <vt:lpwstr/>
      </vt:variant>
      <vt:variant>
        <vt:lpwstr>_Toc366161934</vt:lpwstr>
      </vt:variant>
      <vt:variant>
        <vt:i4>1179706</vt:i4>
      </vt:variant>
      <vt:variant>
        <vt:i4>125</vt:i4>
      </vt:variant>
      <vt:variant>
        <vt:i4>0</vt:i4>
      </vt:variant>
      <vt:variant>
        <vt:i4>5</vt:i4>
      </vt:variant>
      <vt:variant>
        <vt:lpwstr/>
      </vt:variant>
      <vt:variant>
        <vt:lpwstr>_Toc366161933</vt:lpwstr>
      </vt:variant>
      <vt:variant>
        <vt:i4>1179706</vt:i4>
      </vt:variant>
      <vt:variant>
        <vt:i4>119</vt:i4>
      </vt:variant>
      <vt:variant>
        <vt:i4>0</vt:i4>
      </vt:variant>
      <vt:variant>
        <vt:i4>5</vt:i4>
      </vt:variant>
      <vt:variant>
        <vt:lpwstr/>
      </vt:variant>
      <vt:variant>
        <vt:lpwstr>_Toc366161932</vt:lpwstr>
      </vt:variant>
      <vt:variant>
        <vt:i4>1179706</vt:i4>
      </vt:variant>
      <vt:variant>
        <vt:i4>113</vt:i4>
      </vt:variant>
      <vt:variant>
        <vt:i4>0</vt:i4>
      </vt:variant>
      <vt:variant>
        <vt:i4>5</vt:i4>
      </vt:variant>
      <vt:variant>
        <vt:lpwstr/>
      </vt:variant>
      <vt:variant>
        <vt:lpwstr>_Toc366161931</vt:lpwstr>
      </vt:variant>
      <vt:variant>
        <vt:i4>1179706</vt:i4>
      </vt:variant>
      <vt:variant>
        <vt:i4>107</vt:i4>
      </vt:variant>
      <vt:variant>
        <vt:i4>0</vt:i4>
      </vt:variant>
      <vt:variant>
        <vt:i4>5</vt:i4>
      </vt:variant>
      <vt:variant>
        <vt:lpwstr/>
      </vt:variant>
      <vt:variant>
        <vt:lpwstr>_Toc366161930</vt:lpwstr>
      </vt:variant>
      <vt:variant>
        <vt:i4>1245242</vt:i4>
      </vt:variant>
      <vt:variant>
        <vt:i4>101</vt:i4>
      </vt:variant>
      <vt:variant>
        <vt:i4>0</vt:i4>
      </vt:variant>
      <vt:variant>
        <vt:i4>5</vt:i4>
      </vt:variant>
      <vt:variant>
        <vt:lpwstr/>
      </vt:variant>
      <vt:variant>
        <vt:lpwstr>_Toc366161929</vt:lpwstr>
      </vt:variant>
      <vt:variant>
        <vt:i4>1245242</vt:i4>
      </vt:variant>
      <vt:variant>
        <vt:i4>95</vt:i4>
      </vt:variant>
      <vt:variant>
        <vt:i4>0</vt:i4>
      </vt:variant>
      <vt:variant>
        <vt:i4>5</vt:i4>
      </vt:variant>
      <vt:variant>
        <vt:lpwstr/>
      </vt:variant>
      <vt:variant>
        <vt:lpwstr>_Toc366161928</vt:lpwstr>
      </vt:variant>
      <vt:variant>
        <vt:i4>1245242</vt:i4>
      </vt:variant>
      <vt:variant>
        <vt:i4>89</vt:i4>
      </vt:variant>
      <vt:variant>
        <vt:i4>0</vt:i4>
      </vt:variant>
      <vt:variant>
        <vt:i4>5</vt:i4>
      </vt:variant>
      <vt:variant>
        <vt:lpwstr/>
      </vt:variant>
      <vt:variant>
        <vt:lpwstr>_Toc366161927</vt:lpwstr>
      </vt:variant>
      <vt:variant>
        <vt:i4>1245242</vt:i4>
      </vt:variant>
      <vt:variant>
        <vt:i4>83</vt:i4>
      </vt:variant>
      <vt:variant>
        <vt:i4>0</vt:i4>
      </vt:variant>
      <vt:variant>
        <vt:i4>5</vt:i4>
      </vt:variant>
      <vt:variant>
        <vt:lpwstr/>
      </vt:variant>
      <vt:variant>
        <vt:lpwstr>_Toc366161926</vt:lpwstr>
      </vt:variant>
      <vt:variant>
        <vt:i4>1245242</vt:i4>
      </vt:variant>
      <vt:variant>
        <vt:i4>77</vt:i4>
      </vt:variant>
      <vt:variant>
        <vt:i4>0</vt:i4>
      </vt:variant>
      <vt:variant>
        <vt:i4>5</vt:i4>
      </vt:variant>
      <vt:variant>
        <vt:lpwstr/>
      </vt:variant>
      <vt:variant>
        <vt:lpwstr>_Toc366161925</vt:lpwstr>
      </vt:variant>
      <vt:variant>
        <vt:i4>1245242</vt:i4>
      </vt:variant>
      <vt:variant>
        <vt:i4>71</vt:i4>
      </vt:variant>
      <vt:variant>
        <vt:i4>0</vt:i4>
      </vt:variant>
      <vt:variant>
        <vt:i4>5</vt:i4>
      </vt:variant>
      <vt:variant>
        <vt:lpwstr/>
      </vt:variant>
      <vt:variant>
        <vt:lpwstr>_Toc366161924</vt:lpwstr>
      </vt:variant>
      <vt:variant>
        <vt:i4>1245242</vt:i4>
      </vt:variant>
      <vt:variant>
        <vt:i4>65</vt:i4>
      </vt:variant>
      <vt:variant>
        <vt:i4>0</vt:i4>
      </vt:variant>
      <vt:variant>
        <vt:i4>5</vt:i4>
      </vt:variant>
      <vt:variant>
        <vt:lpwstr/>
      </vt:variant>
      <vt:variant>
        <vt:lpwstr>_Toc366161923</vt:lpwstr>
      </vt:variant>
      <vt:variant>
        <vt:i4>1245242</vt:i4>
      </vt:variant>
      <vt:variant>
        <vt:i4>59</vt:i4>
      </vt:variant>
      <vt:variant>
        <vt:i4>0</vt:i4>
      </vt:variant>
      <vt:variant>
        <vt:i4>5</vt:i4>
      </vt:variant>
      <vt:variant>
        <vt:lpwstr/>
      </vt:variant>
      <vt:variant>
        <vt:lpwstr>_Toc366161922</vt:lpwstr>
      </vt:variant>
      <vt:variant>
        <vt:i4>1245242</vt:i4>
      </vt:variant>
      <vt:variant>
        <vt:i4>53</vt:i4>
      </vt:variant>
      <vt:variant>
        <vt:i4>0</vt:i4>
      </vt:variant>
      <vt:variant>
        <vt:i4>5</vt:i4>
      </vt:variant>
      <vt:variant>
        <vt:lpwstr/>
      </vt:variant>
      <vt:variant>
        <vt:lpwstr>_Toc366161921</vt:lpwstr>
      </vt:variant>
      <vt:variant>
        <vt:i4>1245242</vt:i4>
      </vt:variant>
      <vt:variant>
        <vt:i4>47</vt:i4>
      </vt:variant>
      <vt:variant>
        <vt:i4>0</vt:i4>
      </vt:variant>
      <vt:variant>
        <vt:i4>5</vt:i4>
      </vt:variant>
      <vt:variant>
        <vt:lpwstr/>
      </vt:variant>
      <vt:variant>
        <vt:lpwstr>_Toc366161920</vt:lpwstr>
      </vt:variant>
      <vt:variant>
        <vt:i4>1048634</vt:i4>
      </vt:variant>
      <vt:variant>
        <vt:i4>41</vt:i4>
      </vt:variant>
      <vt:variant>
        <vt:i4>0</vt:i4>
      </vt:variant>
      <vt:variant>
        <vt:i4>5</vt:i4>
      </vt:variant>
      <vt:variant>
        <vt:lpwstr/>
      </vt:variant>
      <vt:variant>
        <vt:lpwstr>_Toc366161919</vt:lpwstr>
      </vt:variant>
      <vt:variant>
        <vt:i4>1048634</vt:i4>
      </vt:variant>
      <vt:variant>
        <vt:i4>35</vt:i4>
      </vt:variant>
      <vt:variant>
        <vt:i4>0</vt:i4>
      </vt:variant>
      <vt:variant>
        <vt:i4>5</vt:i4>
      </vt:variant>
      <vt:variant>
        <vt:lpwstr/>
      </vt:variant>
      <vt:variant>
        <vt:lpwstr>_Toc366161918</vt:lpwstr>
      </vt:variant>
      <vt:variant>
        <vt:i4>1048634</vt:i4>
      </vt:variant>
      <vt:variant>
        <vt:i4>29</vt:i4>
      </vt:variant>
      <vt:variant>
        <vt:i4>0</vt:i4>
      </vt:variant>
      <vt:variant>
        <vt:i4>5</vt:i4>
      </vt:variant>
      <vt:variant>
        <vt:lpwstr/>
      </vt:variant>
      <vt:variant>
        <vt:lpwstr>_Toc366161917</vt:lpwstr>
      </vt:variant>
      <vt:variant>
        <vt:i4>1048634</vt:i4>
      </vt:variant>
      <vt:variant>
        <vt:i4>23</vt:i4>
      </vt:variant>
      <vt:variant>
        <vt:i4>0</vt:i4>
      </vt:variant>
      <vt:variant>
        <vt:i4>5</vt:i4>
      </vt:variant>
      <vt:variant>
        <vt:lpwstr/>
      </vt:variant>
      <vt:variant>
        <vt:lpwstr>_Toc366161916</vt:lpwstr>
      </vt:variant>
      <vt:variant>
        <vt:i4>1048634</vt:i4>
      </vt:variant>
      <vt:variant>
        <vt:i4>17</vt:i4>
      </vt:variant>
      <vt:variant>
        <vt:i4>0</vt:i4>
      </vt:variant>
      <vt:variant>
        <vt:i4>5</vt:i4>
      </vt:variant>
      <vt:variant>
        <vt:lpwstr/>
      </vt:variant>
      <vt:variant>
        <vt:lpwstr>_Toc366161915</vt:lpwstr>
      </vt:variant>
      <vt:variant>
        <vt:i4>1048634</vt:i4>
      </vt:variant>
      <vt:variant>
        <vt:i4>11</vt:i4>
      </vt:variant>
      <vt:variant>
        <vt:i4>0</vt:i4>
      </vt:variant>
      <vt:variant>
        <vt:i4>5</vt:i4>
      </vt:variant>
      <vt:variant>
        <vt:lpwstr/>
      </vt:variant>
      <vt:variant>
        <vt:lpwstr>_Toc366161914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2020-11-27T08:19:00Z</dcterms:created>
  <dcterms:modified xsi:type="dcterms:W3CDTF">2020-12-11T19:21:00Z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