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04DC869-8253-4C97-8725-8831765FA762" style="width:450.8pt;height:334.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ManualHeading1"/>
        <w:numPr>
          <w:ilvl w:val="0"/>
          <w:numId w:val="1"/>
        </w:numPr>
        <w:rPr>
          <w:noProof/>
        </w:rPr>
      </w:pPr>
      <w:bookmarkStart w:id="1" w:name="_GoBack"/>
      <w:bookmarkEnd w:id="1"/>
      <w:r>
        <w:rPr>
          <w:noProof/>
        </w:rPr>
        <w:lastRenderedPageBreak/>
        <w:t>Въведение</w:t>
      </w:r>
    </w:p>
    <w:p>
      <w:pPr>
        <w:pStyle w:val="Text1"/>
        <w:ind w:left="720"/>
        <w:rPr>
          <w:noProof/>
        </w:rPr>
      </w:pPr>
      <w:bookmarkStart w:id="2" w:name="_Toc360453126"/>
      <w:r>
        <w:rPr>
          <w:noProof/>
        </w:rPr>
        <w:t>Регламент (ЕС, Евратом) 2020/2093 на Съвета за определяне на многогодишната финансова рамка за годините 2021—2027</w:t>
      </w:r>
      <w:r>
        <w:rPr>
          <w:rStyle w:val="FootnoteReference"/>
          <w:noProof/>
        </w:rPr>
        <w:footnoteReference w:id="2"/>
      </w:r>
      <w:r>
        <w:rPr>
          <w:noProof/>
        </w:rPr>
        <w:t xml:space="preserve"> (Регламентът за МФР) съдържа таблицата с финансовата рамка за ЕС-27 за периода 2021—2027 г., изразена по цени от 2018 г. (таблица 1).</w:t>
      </w:r>
    </w:p>
    <w:p>
      <w:pPr>
        <w:pStyle w:val="Text1"/>
        <w:ind w:left="720"/>
        <w:rPr>
          <w:noProof/>
        </w:rPr>
      </w:pPr>
      <w:r>
        <w:rPr>
          <w:noProof/>
        </w:rPr>
        <w:t>Целта на настоящото съобщение е да се представи на бюджетния орган резултатът от техническата корекция за 2021 г. съгласно член 4 от Регламента за МФР. По-специално с техническата корекция се определят таваните на разходите по текущи цени посредством фиксирания дефлатор от 2 %, предвиден в член 4, параграф 2 от Регламента за МФР.</w:t>
      </w:r>
    </w:p>
    <w:p>
      <w:pPr>
        <w:pStyle w:val="Text1"/>
        <w:ind w:left="720"/>
        <w:rPr>
          <w:noProof/>
        </w:rPr>
      </w:pPr>
      <w:r>
        <w:rPr>
          <w:noProof/>
        </w:rPr>
        <w:t>Въз основа на последните икономически прогнози</w:t>
      </w:r>
      <w:r>
        <w:rPr>
          <w:rStyle w:val="FootnoteReference"/>
          <w:noProof/>
        </w:rPr>
        <w:footnoteReference w:id="3"/>
      </w:r>
      <w:r>
        <w:rPr>
          <w:noProof/>
        </w:rPr>
        <w:t xml:space="preserve"> в съобщението се представя и изчисление на маржа под тавана на собствените ресурси, определен в съответствие с приетото съгласно член 311, параграф 3 от ДФЕС Решение на Съвета относно системата на собствените ресурси на Европейския съюз, което е в сила понастоящем</w:t>
      </w:r>
      <w:r>
        <w:rPr>
          <w:rStyle w:val="FootnoteReference"/>
          <w:noProof/>
        </w:rPr>
        <w:footnoteReference w:id="4"/>
      </w:r>
      <w:r>
        <w:rPr>
          <w:noProof/>
        </w:rPr>
        <w:t>.</w:t>
      </w:r>
    </w:p>
    <w:p>
      <w:pPr>
        <w:pStyle w:val="Text1"/>
        <w:ind w:left="720"/>
        <w:rPr>
          <w:noProof/>
        </w:rPr>
      </w:pPr>
      <w:r>
        <w:rPr>
          <w:noProof/>
        </w:rPr>
        <w:t>В съобщението се представя също така изчислението на наличните суми по Единния инструмент за маржовете съгласно член 11 от Регламента за МФР. От 2022 г. съгласно член 5 от Регламента за МФР Комисията ще изчислява и специфичните корекции на програмите, изброени в приложение II към Регламента за МФР, и ще ги включва в съобщението относно техническата корекция.</w:t>
      </w:r>
    </w:p>
    <w:p>
      <w:pPr>
        <w:pStyle w:val="Text1"/>
        <w:ind w:left="720"/>
        <w:rPr>
          <w:noProof/>
        </w:rPr>
      </w:pPr>
      <w:r>
        <w:rPr>
          <w:noProof/>
        </w:rPr>
        <w:t>В съответствие с член 4, параграф 1 от Регламента за МФР Комисията ще извършва техническата корекция на финансовата рамка и ще съобщава резултатите на бюджетния орган всяка година преди началото на бюджетната процедура за година n + 1. Като се има предвид, че техническата корекция за 2021 г. се основава на разпоредбите на Регламента за МФР, който не беше приет преди началото на бюджетната процедура за 2021 г., по изключение тази корекция не бе извършена преди бюджетната процедура. Бюджетът за 2021 г. обаче би трябвало да съответства на таваните и сумите, произтичащи от тази техническа корекция.</w:t>
      </w:r>
    </w:p>
    <w:p>
      <w:pPr>
        <w:pStyle w:val="Text1"/>
        <w:ind w:left="720"/>
        <w:rPr>
          <w:noProof/>
        </w:rPr>
      </w:pPr>
      <w:r>
        <w:rPr>
          <w:noProof/>
        </w:rPr>
        <w:t>Съгласно член 4, параграф 4 от Регламента за МФР не може да се внасят по-нататъшни технически корекции по отношение на съответната година — нито през годината, нито като последващи корекции през следващите години.</w:t>
      </w:r>
    </w:p>
    <w:p>
      <w:pPr>
        <w:pStyle w:val="ManualHeading1"/>
        <w:numPr>
          <w:ilvl w:val="0"/>
          <w:numId w:val="1"/>
        </w:numPr>
        <w:rPr>
          <w:noProof/>
        </w:rPr>
      </w:pPr>
      <w:r>
        <w:rPr>
          <w:noProof/>
        </w:rPr>
        <w:t>Условия на корекцията на таблицата с многогодишната финансова рамка (приложение — таблици 1 и 2)</w:t>
      </w:r>
      <w:bookmarkEnd w:id="2"/>
    </w:p>
    <w:p>
      <w:pPr>
        <w:pStyle w:val="Text1"/>
        <w:rPr>
          <w:noProof/>
        </w:rPr>
      </w:pPr>
      <w:r>
        <w:rPr>
          <w:noProof/>
        </w:rPr>
        <w:t xml:space="preserve">В </w:t>
      </w:r>
      <w:r>
        <w:rPr>
          <w:noProof/>
          <w:u w:val="single"/>
        </w:rPr>
        <w:t>таблица 1</w:t>
      </w:r>
      <w:r>
        <w:rPr>
          <w:noProof/>
        </w:rPr>
        <w:t xml:space="preserve"> в приложението е представена определената в Регламента за МФР многогодишна финансова рамка за ЕС-27 по цени от 2018 г., коригирана съгласно член 2, параграф 1.</w:t>
      </w:r>
    </w:p>
    <w:p>
      <w:pPr>
        <w:pStyle w:val="Text1"/>
        <w:rPr>
          <w:noProof/>
        </w:rPr>
      </w:pPr>
      <w:r>
        <w:rPr>
          <w:noProof/>
        </w:rPr>
        <w:t xml:space="preserve">В </w:t>
      </w:r>
      <w:r>
        <w:rPr>
          <w:noProof/>
          <w:u w:val="single"/>
        </w:rPr>
        <w:t>таблица 2</w:t>
      </w:r>
      <w:r>
        <w:rPr>
          <w:noProof/>
        </w:rPr>
        <w:t xml:space="preserve"> е представена многогодишната финансова рамка за ЕС-27, коригирана по текущи цени.</w:t>
      </w:r>
    </w:p>
    <w:p>
      <w:pPr>
        <w:pStyle w:val="Text1"/>
        <w:rPr>
          <w:noProof/>
        </w:rPr>
      </w:pPr>
      <w:r>
        <w:rPr>
          <w:noProof/>
        </w:rPr>
        <w:t>Финансовата рамка, изразена като процент от брутния национален доход (БНД) на Съюза, е актуализирана с последните налични икономически прогнози на Европейската комисия (от есента на 2020 г.). Според тези прогнози БНД за 2021 г. възлиза на 13 896 720 милиона евро по текущи цени за ЕС-27.</w:t>
      </w:r>
    </w:p>
    <w:p>
      <w:pPr>
        <w:pStyle w:val="Text1"/>
        <w:rPr>
          <w:noProof/>
        </w:rPr>
      </w:pPr>
    </w:p>
    <w:p>
      <w:pPr>
        <w:pStyle w:val="ManualHeading2"/>
        <w:numPr>
          <w:ilvl w:val="1"/>
          <w:numId w:val="1"/>
        </w:numPr>
        <w:rPr>
          <w:noProof/>
        </w:rPr>
      </w:pPr>
      <w:bookmarkStart w:id="3" w:name="_Toc360453128"/>
      <w:r>
        <w:rPr>
          <w:noProof/>
        </w:rPr>
        <w:t>Основни резултати от техническата корекция на финансовата рамка за</w:t>
      </w:r>
      <w:bookmarkEnd w:id="3"/>
      <w:r>
        <w:rPr>
          <w:noProof/>
        </w:rPr>
        <w:t xml:space="preserve"> 2021 г.</w:t>
      </w:r>
    </w:p>
    <w:p>
      <w:pPr>
        <w:pStyle w:val="Text1"/>
        <w:rPr>
          <w:noProof/>
        </w:rPr>
      </w:pPr>
      <w:r>
        <w:rPr>
          <w:noProof/>
        </w:rPr>
        <w:t>Общият таван на МФР за бюджетните кредити за поети задължения за 2021 г. възлиза на 163 483 милиона евро по текущи цени, което се равнява на 1,18 % от БНД. Общият таван на МФР за бюджетните кредити за плащания е в размер на 166 140 милиона евро по текущи цени, което се равнява на 1,20 % от БНД.</w:t>
      </w:r>
    </w:p>
    <w:p>
      <w:pPr>
        <w:pStyle w:val="Text1"/>
        <w:rPr>
          <w:noProof/>
        </w:rPr>
      </w:pPr>
      <w:r>
        <w:rPr>
          <w:noProof/>
        </w:rPr>
        <w:t>Съгласно Решението на Съвета относно системата на собствените ресурси, което е в сила понастоящем, това оставя марж под тавана на собствените ресурси за бюджетните кредити за плащания на стойност 621 милиона евро. Съгласно Решение (ЕС, Евратом) 2020/2053 на Съвета от 14 декември 2020 г. относно системата на собствените ресурси обаче таванът на собствените ресурси за бюджетните кредити за плащания е в размер на 1,40 % от БНД, което се равнява на 194 554 милиона евро през 2021 г. Това би довело до марж между тавана на МФР за бюджетните кредити за плащания и тавана на собствените ресурси за бюджетните кредити за плащания, възлизащ на 28 414</w:t>
      </w:r>
      <w:r>
        <w:rPr>
          <w:noProof/>
          <w:lang w:val="en-GB"/>
        </w:rPr>
        <w:t> </w:t>
      </w:r>
      <w:r>
        <w:rPr>
          <w:noProof/>
        </w:rPr>
        <w:t>милиона евро, или 0,20 % от БНД. След като Решение (ЕС, Евратом) 2020/2053 на Съвета влезе в сила, то ще се прилага със задна дата, считано от 1</w:t>
      </w:r>
      <w:r>
        <w:rPr>
          <w:noProof/>
          <w:lang w:val="en-GB"/>
        </w:rPr>
        <w:t> </w:t>
      </w:r>
      <w:r>
        <w:rPr>
          <w:noProof/>
        </w:rPr>
        <w:t>януари 2021 г.</w:t>
      </w:r>
    </w:p>
    <w:p>
      <w:pPr>
        <w:pStyle w:val="Text1"/>
        <w:rPr>
          <w:noProof/>
        </w:rPr>
      </w:pPr>
      <w:r>
        <w:rPr>
          <w:noProof/>
        </w:rPr>
        <w:t>В таблицата по-долу е представена информация за периода 2021—2027 г. относно маржа, изразен като процент от БНД, между тавана на МФР за бюджетните кредити за плащания и тавана на собствените ресурси за бюджетните кредити за плащания в размер на 1,20 % от БНД, който е в сила понастоящем. С информативна цел в таблицата е посочен и маржът съгласно предложения нов таван на собствените ресурси в размер на 1,40 % от БНД.</w:t>
      </w:r>
    </w:p>
    <w:tbl>
      <w:tblPr>
        <w:tblStyle w:val="TableGrid"/>
        <w:tblW w:w="9640" w:type="dxa"/>
        <w:tblInd w:w="-318" w:type="dxa"/>
        <w:tblLook w:val="04A0" w:firstRow="1" w:lastRow="0" w:firstColumn="1" w:lastColumn="0" w:noHBand="0" w:noVBand="1"/>
      </w:tblPr>
      <w:tblGrid>
        <w:gridCol w:w="2721"/>
        <w:gridCol w:w="850"/>
        <w:gridCol w:w="850"/>
        <w:gridCol w:w="850"/>
        <w:gridCol w:w="850"/>
        <w:gridCol w:w="850"/>
        <w:gridCol w:w="850"/>
        <w:gridCol w:w="850"/>
        <w:gridCol w:w="969"/>
      </w:tblGrid>
      <w:tr>
        <w:tc>
          <w:tcPr>
            <w:tcW w:w="2721" w:type="dxa"/>
            <w:vAlign w:val="center"/>
          </w:tcPr>
          <w:p>
            <w:pPr>
              <w:pStyle w:val="Text1"/>
              <w:spacing w:before="0" w:after="0"/>
              <w:ind w:left="0"/>
              <w:jc w:val="center"/>
              <w:rPr>
                <w:b/>
                <w:noProof/>
                <w:sz w:val="20"/>
              </w:rPr>
            </w:pPr>
            <w:r>
              <w:rPr>
                <w:b/>
                <w:noProof/>
                <w:sz w:val="20"/>
              </w:rPr>
              <w:t>В % от БНД на ЕС-27</w:t>
            </w:r>
          </w:p>
        </w:tc>
        <w:tc>
          <w:tcPr>
            <w:tcW w:w="850" w:type="dxa"/>
            <w:vAlign w:val="center"/>
          </w:tcPr>
          <w:p>
            <w:pPr>
              <w:pStyle w:val="Text1"/>
              <w:spacing w:before="0" w:after="0"/>
              <w:ind w:left="0"/>
              <w:jc w:val="center"/>
              <w:rPr>
                <w:b/>
                <w:noProof/>
                <w:sz w:val="20"/>
              </w:rPr>
            </w:pPr>
            <w:r>
              <w:rPr>
                <w:b/>
                <w:noProof/>
                <w:sz w:val="20"/>
              </w:rPr>
              <w:t>2021 г.</w:t>
            </w:r>
          </w:p>
        </w:tc>
        <w:tc>
          <w:tcPr>
            <w:tcW w:w="850" w:type="dxa"/>
            <w:vAlign w:val="center"/>
          </w:tcPr>
          <w:p>
            <w:pPr>
              <w:pStyle w:val="Text1"/>
              <w:spacing w:before="0" w:after="0"/>
              <w:ind w:left="0"/>
              <w:jc w:val="center"/>
              <w:rPr>
                <w:b/>
                <w:noProof/>
                <w:sz w:val="20"/>
              </w:rPr>
            </w:pPr>
            <w:r>
              <w:rPr>
                <w:b/>
                <w:noProof/>
                <w:sz w:val="20"/>
              </w:rPr>
              <w:t>2022 г.</w:t>
            </w:r>
          </w:p>
        </w:tc>
        <w:tc>
          <w:tcPr>
            <w:tcW w:w="850" w:type="dxa"/>
            <w:vAlign w:val="center"/>
          </w:tcPr>
          <w:p>
            <w:pPr>
              <w:pStyle w:val="Text1"/>
              <w:spacing w:before="0" w:after="0"/>
              <w:ind w:left="0"/>
              <w:jc w:val="center"/>
              <w:rPr>
                <w:b/>
                <w:noProof/>
                <w:sz w:val="20"/>
              </w:rPr>
            </w:pPr>
            <w:r>
              <w:rPr>
                <w:b/>
                <w:noProof/>
                <w:sz w:val="20"/>
              </w:rPr>
              <w:t>2023 г.</w:t>
            </w:r>
          </w:p>
        </w:tc>
        <w:tc>
          <w:tcPr>
            <w:tcW w:w="850" w:type="dxa"/>
            <w:vAlign w:val="center"/>
          </w:tcPr>
          <w:p>
            <w:pPr>
              <w:pStyle w:val="Text1"/>
              <w:spacing w:before="0" w:after="0"/>
              <w:ind w:left="0"/>
              <w:jc w:val="center"/>
              <w:rPr>
                <w:b/>
                <w:noProof/>
                <w:sz w:val="20"/>
              </w:rPr>
            </w:pPr>
            <w:r>
              <w:rPr>
                <w:b/>
                <w:noProof/>
                <w:sz w:val="20"/>
              </w:rPr>
              <w:t>2024 г.</w:t>
            </w:r>
          </w:p>
        </w:tc>
        <w:tc>
          <w:tcPr>
            <w:tcW w:w="850" w:type="dxa"/>
            <w:vAlign w:val="center"/>
          </w:tcPr>
          <w:p>
            <w:pPr>
              <w:pStyle w:val="Text1"/>
              <w:spacing w:before="0" w:after="0"/>
              <w:ind w:left="0"/>
              <w:jc w:val="center"/>
              <w:rPr>
                <w:b/>
                <w:noProof/>
                <w:sz w:val="20"/>
              </w:rPr>
            </w:pPr>
            <w:r>
              <w:rPr>
                <w:b/>
                <w:noProof/>
                <w:sz w:val="20"/>
              </w:rPr>
              <w:t>2025 г.</w:t>
            </w:r>
          </w:p>
        </w:tc>
        <w:tc>
          <w:tcPr>
            <w:tcW w:w="850" w:type="dxa"/>
            <w:vAlign w:val="center"/>
          </w:tcPr>
          <w:p>
            <w:pPr>
              <w:pStyle w:val="Text1"/>
              <w:spacing w:before="0" w:after="0"/>
              <w:ind w:left="0"/>
              <w:jc w:val="center"/>
              <w:rPr>
                <w:b/>
                <w:noProof/>
                <w:sz w:val="20"/>
              </w:rPr>
            </w:pPr>
            <w:r>
              <w:rPr>
                <w:b/>
                <w:noProof/>
                <w:sz w:val="20"/>
              </w:rPr>
              <w:t>2026 г.</w:t>
            </w:r>
          </w:p>
        </w:tc>
        <w:tc>
          <w:tcPr>
            <w:tcW w:w="850" w:type="dxa"/>
            <w:vAlign w:val="center"/>
          </w:tcPr>
          <w:p>
            <w:pPr>
              <w:pStyle w:val="Text1"/>
              <w:spacing w:before="0" w:after="0"/>
              <w:ind w:left="0"/>
              <w:jc w:val="center"/>
              <w:rPr>
                <w:b/>
                <w:noProof/>
                <w:sz w:val="20"/>
              </w:rPr>
            </w:pPr>
            <w:r>
              <w:rPr>
                <w:b/>
                <w:noProof/>
                <w:sz w:val="20"/>
              </w:rPr>
              <w:t>2027 г.</w:t>
            </w:r>
          </w:p>
        </w:tc>
        <w:tc>
          <w:tcPr>
            <w:tcW w:w="969" w:type="dxa"/>
            <w:vAlign w:val="center"/>
          </w:tcPr>
          <w:p>
            <w:pPr>
              <w:pStyle w:val="Text1"/>
              <w:spacing w:before="0" w:after="0"/>
              <w:ind w:left="0"/>
              <w:jc w:val="center"/>
              <w:rPr>
                <w:b/>
                <w:noProof/>
                <w:sz w:val="20"/>
              </w:rPr>
            </w:pPr>
            <w:r>
              <w:rPr>
                <w:b/>
                <w:noProof/>
                <w:sz w:val="20"/>
              </w:rPr>
              <w:t>2021—2027 г.</w:t>
            </w:r>
          </w:p>
        </w:tc>
      </w:tr>
      <w:tr>
        <w:trPr>
          <w:trHeight w:val="635"/>
        </w:trPr>
        <w:tc>
          <w:tcPr>
            <w:tcW w:w="2721" w:type="dxa"/>
            <w:vAlign w:val="center"/>
          </w:tcPr>
          <w:p>
            <w:pPr>
              <w:pStyle w:val="Text1"/>
              <w:spacing w:before="0" w:after="0"/>
              <w:ind w:left="0"/>
              <w:rPr>
                <w:noProof/>
                <w:sz w:val="16"/>
              </w:rPr>
            </w:pPr>
            <w:r>
              <w:rPr>
                <w:noProof/>
                <w:sz w:val="16"/>
              </w:rPr>
              <w:t>Таван на МФР за бюджетните кредити за плащания</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1,20 %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1,15 %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1,10 %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1,09 %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1,07 %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1,06 %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1,06 %</w:t>
            </w:r>
          </w:p>
        </w:tc>
        <w:tc>
          <w:tcPr>
            <w:tcW w:w="969"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1,10 %</w:t>
            </w:r>
          </w:p>
        </w:tc>
      </w:tr>
      <w:tr>
        <w:tc>
          <w:tcPr>
            <w:tcW w:w="2721" w:type="dxa"/>
            <w:vAlign w:val="center"/>
          </w:tcPr>
          <w:p>
            <w:pPr>
              <w:pStyle w:val="Text1"/>
              <w:spacing w:before="0" w:after="0"/>
              <w:ind w:left="0"/>
              <w:rPr>
                <w:noProof/>
                <w:sz w:val="16"/>
              </w:rPr>
            </w:pPr>
            <w:r>
              <w:rPr>
                <w:noProof/>
                <w:sz w:val="16"/>
              </w:rPr>
              <w:t>Марж под тавана на собствените ресурси съгласно Решение 2014/335/ЕС, Евратом на Съвета</w:t>
            </w:r>
          </w:p>
        </w:tc>
        <w:tc>
          <w:tcPr>
            <w:tcW w:w="850" w:type="dxa"/>
            <w:vAlign w:val="center"/>
          </w:tcPr>
          <w:p>
            <w:pPr>
              <w:pStyle w:val="Text1"/>
              <w:spacing w:before="0" w:after="0"/>
              <w:ind w:left="0"/>
              <w:jc w:val="center"/>
              <w:rPr>
                <w:noProof/>
                <w:sz w:val="18"/>
                <w:szCs w:val="18"/>
              </w:rPr>
            </w:pPr>
            <w:r>
              <w:rPr>
                <w:noProof/>
                <w:sz w:val="18"/>
                <w:szCs w:val="18"/>
              </w:rPr>
              <w:t>0,00 %</w:t>
            </w:r>
          </w:p>
        </w:tc>
        <w:tc>
          <w:tcPr>
            <w:tcW w:w="850" w:type="dxa"/>
            <w:vAlign w:val="center"/>
          </w:tcPr>
          <w:p>
            <w:pPr>
              <w:pStyle w:val="Text1"/>
              <w:spacing w:before="0" w:after="0"/>
              <w:ind w:left="0"/>
              <w:jc w:val="center"/>
              <w:rPr>
                <w:noProof/>
                <w:sz w:val="18"/>
                <w:szCs w:val="18"/>
              </w:rPr>
            </w:pPr>
            <w:r>
              <w:rPr>
                <w:noProof/>
                <w:sz w:val="18"/>
                <w:szCs w:val="18"/>
              </w:rPr>
              <w:t>0,05 %</w:t>
            </w:r>
          </w:p>
        </w:tc>
        <w:tc>
          <w:tcPr>
            <w:tcW w:w="850" w:type="dxa"/>
            <w:vAlign w:val="center"/>
          </w:tcPr>
          <w:p>
            <w:pPr>
              <w:pStyle w:val="Text1"/>
              <w:spacing w:before="0" w:after="0"/>
              <w:ind w:left="0"/>
              <w:jc w:val="center"/>
              <w:rPr>
                <w:noProof/>
                <w:sz w:val="18"/>
                <w:szCs w:val="18"/>
              </w:rPr>
            </w:pPr>
            <w:r>
              <w:rPr>
                <w:noProof/>
                <w:sz w:val="18"/>
                <w:szCs w:val="18"/>
              </w:rPr>
              <w:t>0,10 %</w:t>
            </w:r>
          </w:p>
        </w:tc>
        <w:tc>
          <w:tcPr>
            <w:tcW w:w="850" w:type="dxa"/>
            <w:vAlign w:val="center"/>
          </w:tcPr>
          <w:p>
            <w:pPr>
              <w:pStyle w:val="Text1"/>
              <w:spacing w:before="0" w:after="0"/>
              <w:ind w:left="0"/>
              <w:jc w:val="center"/>
              <w:rPr>
                <w:noProof/>
                <w:sz w:val="18"/>
                <w:szCs w:val="18"/>
              </w:rPr>
            </w:pPr>
            <w:r>
              <w:rPr>
                <w:noProof/>
                <w:sz w:val="18"/>
                <w:szCs w:val="18"/>
              </w:rPr>
              <w:t>0,11 %</w:t>
            </w:r>
          </w:p>
        </w:tc>
        <w:tc>
          <w:tcPr>
            <w:tcW w:w="850" w:type="dxa"/>
            <w:vAlign w:val="center"/>
          </w:tcPr>
          <w:p>
            <w:pPr>
              <w:pStyle w:val="Text1"/>
              <w:spacing w:before="0" w:after="0"/>
              <w:ind w:left="0"/>
              <w:jc w:val="center"/>
              <w:rPr>
                <w:noProof/>
                <w:sz w:val="18"/>
                <w:szCs w:val="18"/>
              </w:rPr>
            </w:pPr>
            <w:r>
              <w:rPr>
                <w:noProof/>
                <w:sz w:val="18"/>
                <w:szCs w:val="18"/>
              </w:rPr>
              <w:t>0,13 %</w:t>
            </w:r>
          </w:p>
        </w:tc>
        <w:tc>
          <w:tcPr>
            <w:tcW w:w="850" w:type="dxa"/>
            <w:vAlign w:val="center"/>
          </w:tcPr>
          <w:p>
            <w:pPr>
              <w:pStyle w:val="Text1"/>
              <w:spacing w:before="0" w:after="0"/>
              <w:ind w:left="0"/>
              <w:jc w:val="center"/>
              <w:rPr>
                <w:noProof/>
                <w:sz w:val="18"/>
                <w:szCs w:val="18"/>
              </w:rPr>
            </w:pPr>
            <w:r>
              <w:rPr>
                <w:noProof/>
                <w:sz w:val="18"/>
                <w:szCs w:val="18"/>
              </w:rPr>
              <w:t>0,14 %</w:t>
            </w:r>
          </w:p>
        </w:tc>
        <w:tc>
          <w:tcPr>
            <w:tcW w:w="850" w:type="dxa"/>
            <w:vAlign w:val="center"/>
          </w:tcPr>
          <w:p>
            <w:pPr>
              <w:pStyle w:val="Text1"/>
              <w:spacing w:before="0" w:after="0"/>
              <w:ind w:left="0"/>
              <w:jc w:val="center"/>
              <w:rPr>
                <w:noProof/>
                <w:sz w:val="18"/>
                <w:szCs w:val="18"/>
              </w:rPr>
            </w:pPr>
            <w:r>
              <w:rPr>
                <w:noProof/>
                <w:sz w:val="18"/>
                <w:szCs w:val="18"/>
              </w:rPr>
              <w:t>0,14 %</w:t>
            </w:r>
          </w:p>
        </w:tc>
        <w:tc>
          <w:tcPr>
            <w:tcW w:w="969" w:type="dxa"/>
            <w:vAlign w:val="center"/>
          </w:tcPr>
          <w:p>
            <w:pPr>
              <w:pStyle w:val="Text1"/>
              <w:spacing w:before="0" w:after="0"/>
              <w:ind w:left="0"/>
              <w:jc w:val="center"/>
              <w:rPr>
                <w:noProof/>
                <w:sz w:val="18"/>
                <w:szCs w:val="18"/>
              </w:rPr>
            </w:pPr>
            <w:r>
              <w:rPr>
                <w:noProof/>
                <w:sz w:val="18"/>
                <w:szCs w:val="18"/>
              </w:rPr>
              <w:t>0,10 %</w:t>
            </w:r>
          </w:p>
        </w:tc>
      </w:tr>
      <w:tr>
        <w:tc>
          <w:tcPr>
            <w:tcW w:w="2721" w:type="dxa"/>
            <w:vAlign w:val="center"/>
          </w:tcPr>
          <w:p>
            <w:pPr>
              <w:pStyle w:val="Text1"/>
              <w:spacing w:before="0" w:after="0"/>
              <w:ind w:left="0"/>
              <w:rPr>
                <w:noProof/>
                <w:sz w:val="16"/>
              </w:rPr>
            </w:pPr>
            <w:r>
              <w:rPr>
                <w:noProof/>
                <w:sz w:val="16"/>
              </w:rPr>
              <w:t>Марж под тавана на собствените ресурси съгласно Решение (ЕС, Евратом) 2020/2053 на Съвета</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0,20 %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0,25 %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0,30 %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0,31 %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0,33 %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0,34 %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0,34 %</w:t>
            </w:r>
          </w:p>
        </w:tc>
        <w:tc>
          <w:tcPr>
            <w:tcW w:w="969"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0,30 %</w:t>
            </w:r>
          </w:p>
        </w:tc>
      </w:tr>
    </w:tbl>
    <w:p>
      <w:pPr>
        <w:pStyle w:val="Text1"/>
        <w:rPr>
          <w:noProof/>
        </w:rPr>
      </w:pPr>
    </w:p>
    <w:p>
      <w:pPr>
        <w:pStyle w:val="ManualHeading2"/>
        <w:numPr>
          <w:ilvl w:val="1"/>
          <w:numId w:val="1"/>
        </w:numPr>
        <w:rPr>
          <w:noProof/>
        </w:rPr>
      </w:pPr>
      <w:r>
        <w:rPr>
          <w:noProof/>
        </w:rPr>
        <w:t>Корекция на подтавана за функция 3</w:t>
      </w:r>
    </w:p>
    <w:p>
      <w:pPr>
        <w:pStyle w:val="Text1"/>
        <w:rPr>
          <w:noProof/>
        </w:rPr>
      </w:pPr>
      <w:r>
        <w:rPr>
          <w:noProof/>
        </w:rPr>
        <w:t>Съгласно член 2, параграф 1 от Регламента за МФР подтаванът за функция 3 за разходите, свързани с пазара, и преките плащания (първи стълб на общата селскостопанска политика — ОСП) през периода 2021—2027 г. се коригира след трансферите между първия и втория стълб на ОСП в съответствие с правния акт за определяне на тези трансфери. Общият размер на тавана за бюджетните кредити за поети задължения за функция 3 не се променя.</w:t>
      </w:r>
    </w:p>
    <w:p>
      <w:pPr>
        <w:pStyle w:val="Text1"/>
        <w:rPr>
          <w:noProof/>
        </w:rPr>
      </w:pPr>
      <w:r>
        <w:rPr>
          <w:noProof/>
        </w:rPr>
        <w:t>Подтаванът за функция 3 се коригира за първи път с техническата корекция на МФР за 2021 г.</w:t>
      </w:r>
    </w:p>
    <w:p>
      <w:pPr>
        <w:pStyle w:val="Text1"/>
        <w:rPr>
          <w:noProof/>
        </w:rPr>
      </w:pPr>
      <w:r>
        <w:rPr>
          <w:noProof/>
        </w:rPr>
        <w:t>Крайният срок за подаване на уведомления от държавите членки до Комисията бе 31 декември 2019 г. и 8 февруари 2020 г. Резултатът бе посочен в Делегиран регламент (ЕС) 2020/756 на Комисията от 1 април 2020 г.</w:t>
      </w:r>
      <w:r>
        <w:rPr>
          <w:rStyle w:val="FootnoteReference"/>
          <w:noProof/>
        </w:rPr>
        <w:footnoteReference w:id="5"/>
      </w:r>
      <w:r>
        <w:rPr>
          <w:noProof/>
        </w:rPr>
        <w:t xml:space="preserve"> Предвид кризата с COVID-19 този делегиран регламент бе допълнително изменен с Делегиран регламент (ЕС) 2020/1314 на Комисията от 10 юли 2020 г.</w:t>
      </w:r>
      <w:r>
        <w:rPr>
          <w:rStyle w:val="FootnoteReference"/>
          <w:noProof/>
        </w:rPr>
        <w:footnoteReference w:id="6"/>
      </w:r>
    </w:p>
    <w:p>
      <w:pPr>
        <w:pStyle w:val="Text1"/>
        <w:rPr>
          <w:noProof/>
        </w:rPr>
      </w:pPr>
      <w:r>
        <w:rPr>
          <w:noProof/>
        </w:rPr>
        <w:t>Промяната на подтавана за функция 3 по текущи цени трябва да бъде превърната в стойност по цени от 2018 г., за да се извърши техническата корекция на таблицата за МФР по цени от 2018 г. За тази цел нетното салдо първо се превръща в стойност по цени от 2018 г. посредством постоянния дефлатор от 2 %. След това тази стойност се закръгля, за да се получи коригираният подтаван, тъй като таваните в МФР се представят само в милиони евро. Само чрез това закръгляне може да се гарантира, че подтаванът в МФР винаги е по-висок от нетното салдо, налично за разходите по Европейския фонд за гарантиране на земеделието (ЕФГЗ). Получаващата се малка разлика не представлява наличен марж, а произтича единствено от закръглянето. За всеки годишен бюджет Комисията ще използва точните суми на нетното салдо, налично за разходите по ЕФГЗ.</w:t>
      </w:r>
    </w:p>
    <w:p>
      <w:pPr>
        <w:pStyle w:val="Text1"/>
        <w:rPr>
          <w:noProof/>
        </w:rPr>
      </w:pPr>
      <w:r>
        <w:rPr>
          <w:noProof/>
        </w:rPr>
        <w:t>В таблицата по-долу са посочени нетният резултат (в милиони евро) от трансфера между двата стълба на ОСП и отражението му върху подтавана за функция 3.</w:t>
      </w:r>
    </w:p>
    <w:p>
      <w:pPr>
        <w:pStyle w:val="Text1"/>
        <w:ind w:left="-567"/>
        <w:rPr>
          <w:noProof/>
        </w:rPr>
      </w:pPr>
      <w:r>
        <w:rPr>
          <w:noProof/>
          <w:lang w:val="en-GB"/>
        </w:rPr>
        <w:drawing>
          <wp:inline distT="0" distB="0" distL="0" distR="0">
            <wp:extent cx="6588000" cy="3207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8000" cy="3207600"/>
                    </a:xfrm>
                    <a:prstGeom prst="rect">
                      <a:avLst/>
                    </a:prstGeom>
                    <a:noFill/>
                    <a:ln>
                      <a:noFill/>
                    </a:ln>
                  </pic:spPr>
                </pic:pic>
              </a:graphicData>
            </a:graphic>
          </wp:inline>
        </w:drawing>
      </w:r>
    </w:p>
    <w:p>
      <w:pPr>
        <w:pStyle w:val="ManualHeading1"/>
        <w:numPr>
          <w:ilvl w:val="0"/>
          <w:numId w:val="1"/>
        </w:numPr>
        <w:rPr>
          <w:noProof/>
        </w:rPr>
      </w:pPr>
      <w:bookmarkStart w:id="4" w:name="_Toc360453132"/>
      <w:r>
        <w:rPr>
          <w:noProof/>
        </w:rPr>
        <w:t>Специални инструменти</w:t>
      </w:r>
      <w:bookmarkEnd w:id="4"/>
    </w:p>
    <w:p>
      <w:pPr>
        <w:pStyle w:val="Text1"/>
        <w:rPr>
          <w:noProof/>
        </w:rPr>
      </w:pPr>
      <w:r>
        <w:rPr>
          <w:noProof/>
        </w:rPr>
        <w:t>Съществуват няколко специални инструмента извън разходните тавани, определени в многогодишната финансова рамка за 2021—2027 г. Тези инструменти имат за цел да осигурят бърза реакция при извънредни или непредвидени събития, както и гъвкавост извън договорените разходни тавани в определени граници.</w:t>
      </w:r>
    </w:p>
    <w:p>
      <w:pPr>
        <w:pStyle w:val="ManualHeading2"/>
        <w:numPr>
          <w:ilvl w:val="1"/>
          <w:numId w:val="1"/>
        </w:numPr>
        <w:rPr>
          <w:noProof/>
        </w:rPr>
      </w:pPr>
      <w:r>
        <w:rPr>
          <w:noProof/>
        </w:rPr>
        <w:t>Тематични специални инструменти</w:t>
      </w:r>
    </w:p>
    <w:p>
      <w:pPr>
        <w:pStyle w:val="ManualHeading2"/>
        <w:numPr>
          <w:ilvl w:val="2"/>
          <w:numId w:val="1"/>
        </w:numPr>
        <w:rPr>
          <w:noProof/>
        </w:rPr>
      </w:pPr>
      <w:r>
        <w:rPr>
          <w:noProof/>
        </w:rPr>
        <w:t>Европейски фонд за приспособяване към глобализацията</w:t>
      </w:r>
    </w:p>
    <w:p>
      <w:pPr>
        <w:pStyle w:val="Text1"/>
        <w:rPr>
          <w:noProof/>
        </w:rPr>
      </w:pPr>
      <w:r>
        <w:rPr>
          <w:noProof/>
        </w:rPr>
        <w:t xml:space="preserve">Съгласно член 8 от Регламента за МФР </w:t>
      </w:r>
      <w:r>
        <w:rPr>
          <w:i/>
          <w:noProof/>
        </w:rPr>
        <w:t>Европейският фонд за приспособяване към глобализацията</w:t>
      </w:r>
      <w:r>
        <w:rPr>
          <w:noProof/>
        </w:rPr>
        <w:t xml:space="preserve"> може да бъде мобилизиран за сума в размер на максимум 186 милиона евро годишно по цени от 2018 г., или 197,4 милиона евро през 2021 г. по текущи цени (1 467,4 милиона евро за целия период по текущи цени</w:t>
      </w:r>
      <w:r>
        <w:rPr>
          <w:rStyle w:val="FootnoteReference"/>
          <w:noProof/>
        </w:rPr>
        <w:footnoteReference w:id="7"/>
      </w:r>
      <w:r>
        <w:rPr>
          <w:noProof/>
        </w:rPr>
        <w:t>). Неусвоените суми от предходната година не могат да се пренасят.</w:t>
      </w:r>
    </w:p>
    <w:p>
      <w:pPr>
        <w:pStyle w:val="ManualHeading2"/>
        <w:numPr>
          <w:ilvl w:val="2"/>
          <w:numId w:val="1"/>
        </w:numPr>
        <w:rPr>
          <w:noProof/>
        </w:rPr>
      </w:pPr>
      <w:bookmarkStart w:id="5" w:name="_Toc360453133"/>
      <w:r>
        <w:rPr>
          <w:noProof/>
        </w:rPr>
        <w:t>Резерв за солидарност и спешна помощ</w:t>
      </w:r>
      <w:bookmarkEnd w:id="5"/>
    </w:p>
    <w:p>
      <w:pPr>
        <w:pStyle w:val="Text1"/>
        <w:rPr>
          <w:noProof/>
        </w:rPr>
      </w:pPr>
      <w:r>
        <w:rPr>
          <w:noProof/>
        </w:rPr>
        <w:t>Съгласно член 9 от Регламента за МФР Резервът за солидарност и спешна помощ може да бъде мобилизиран за сума в размер на максимум 1 200 милиона евро годишно по цени от 2018 г., или 1 273,4 милиона евро през 2021 г. по текущи цени (9 467,2 милиона евро за целия период по текущи цени). Частта от неусвоената сума от предходната година може да се пренася за следващата година.</w:t>
      </w:r>
    </w:p>
    <w:p>
      <w:pPr>
        <w:pStyle w:val="Text1"/>
        <w:rPr>
          <w:noProof/>
        </w:rPr>
      </w:pPr>
      <w:r>
        <w:rPr>
          <w:noProof/>
        </w:rPr>
        <w:t>Към датата на настоящото съобщение 47 981 598 EUR по фонд „Солидарност“ на ЕС не са усвоени и ще бъдат пренесени от 2020 г. за 2021 г.</w:t>
      </w:r>
    </w:p>
    <w:p>
      <w:pPr>
        <w:pStyle w:val="ManualHeading2"/>
        <w:numPr>
          <w:ilvl w:val="2"/>
          <w:numId w:val="1"/>
        </w:numPr>
        <w:rPr>
          <w:noProof/>
        </w:rPr>
      </w:pPr>
      <w:r>
        <w:rPr>
          <w:noProof/>
        </w:rPr>
        <w:t>Резерв за приспособяване във връзка с последиците от Брексит</w:t>
      </w:r>
    </w:p>
    <w:p>
      <w:pPr>
        <w:pStyle w:val="Text1"/>
        <w:rPr>
          <w:noProof/>
        </w:rPr>
      </w:pPr>
      <w:r>
        <w:rPr>
          <w:noProof/>
        </w:rPr>
        <w:t>Съгласно член 10 от Регламента за МФР през периода 2021—2027 г. Резервът за приспособяване във връзка с последиците от Брексит може да бъде мобилизиран за обща сума в размер на 5 000 милиона евро по цени от 2018 г. Сумата се вписва в бюджета като провизия.</w:t>
      </w:r>
    </w:p>
    <w:p>
      <w:pPr>
        <w:pStyle w:val="Text1"/>
        <w:rPr>
          <w:noProof/>
        </w:rPr>
      </w:pPr>
    </w:p>
    <w:p>
      <w:pPr>
        <w:pStyle w:val="ManualHeading2"/>
        <w:numPr>
          <w:ilvl w:val="1"/>
          <w:numId w:val="1"/>
        </w:numPr>
        <w:rPr>
          <w:noProof/>
        </w:rPr>
      </w:pPr>
      <w:r>
        <w:rPr>
          <w:noProof/>
        </w:rPr>
        <w:t>Нетематични специални инструменти</w:t>
      </w:r>
    </w:p>
    <w:p>
      <w:pPr>
        <w:pStyle w:val="ManualHeading2"/>
        <w:numPr>
          <w:ilvl w:val="2"/>
          <w:numId w:val="1"/>
        </w:numPr>
        <w:rPr>
          <w:noProof/>
        </w:rPr>
      </w:pPr>
      <w:bookmarkStart w:id="6" w:name="_Toc360453134"/>
      <w:bookmarkStart w:id="7" w:name="_Toc360453135"/>
      <w:bookmarkEnd w:id="6"/>
      <w:r>
        <w:rPr>
          <w:noProof/>
        </w:rPr>
        <w:t>Единен инструмент за маржовете</w:t>
      </w:r>
    </w:p>
    <w:p>
      <w:pPr>
        <w:pStyle w:val="Text1"/>
        <w:rPr>
          <w:noProof/>
        </w:rPr>
      </w:pPr>
      <w:r>
        <w:rPr>
          <w:noProof/>
        </w:rPr>
        <w:t>В съответствие с член 4, параграф 1, буква в) от Регламента за МФР в техническата корекция се съобщава сумата на бюджетните кредити за поети задължения, налична по Единния инструмент за маржовете, съгласно посоченото в член 11, параграф 1, първа алинея, буква а). За 2021 г. все още няма налична сума.</w:t>
      </w:r>
    </w:p>
    <w:p>
      <w:pPr>
        <w:pStyle w:val="Text1"/>
        <w:rPr>
          <w:noProof/>
        </w:rPr>
      </w:pPr>
      <w:r>
        <w:rPr>
          <w:noProof/>
        </w:rPr>
        <w:t>Общият максимален размер, посочен в член 11, параграф 2, първа алинея, буква а), е 0,04 % от БНД на ЕС-27, което се равнява на 5 558,7 милиона евро през 2021 г.</w:t>
      </w:r>
    </w:p>
    <w:p>
      <w:pPr>
        <w:pStyle w:val="Text1"/>
        <w:rPr>
          <w:noProof/>
        </w:rPr>
      </w:pPr>
      <w:r>
        <w:rPr>
          <w:noProof/>
        </w:rPr>
        <w:t>Общият максимален размер, посочен в член 11, параграф 2, първа алинея, буква б), е 0,03 % от БНД на ЕС-27, което се равнява на 4 169,0 милиона евро през 2021 г.</w:t>
      </w:r>
    </w:p>
    <w:p>
      <w:pPr>
        <w:pStyle w:val="Text1"/>
        <w:rPr>
          <w:noProof/>
        </w:rPr>
      </w:pPr>
      <w:r>
        <w:rPr>
          <w:noProof/>
        </w:rPr>
        <w:t>В съответствие с член 4, параграф 1, буква г) от Регламента за МФР в техническата корекция се съобщава размерът на корекцията на тавана за бюджетните кредити за плащания по Единния инструмент за маржовете съгласно посоченото в член 11, параграф 1, първа алинея, буква б). За 2021 г. все още няма налична сума.</w:t>
      </w:r>
    </w:p>
    <w:p>
      <w:pPr>
        <w:pStyle w:val="ManualHeading2"/>
        <w:numPr>
          <w:ilvl w:val="2"/>
          <w:numId w:val="1"/>
        </w:numPr>
        <w:rPr>
          <w:noProof/>
        </w:rPr>
      </w:pPr>
      <w:r>
        <w:rPr>
          <w:noProof/>
        </w:rPr>
        <w:t>Инструмент за гъвкавост</w:t>
      </w:r>
      <w:bookmarkEnd w:id="7"/>
    </w:p>
    <w:p>
      <w:pPr>
        <w:pStyle w:val="Text1"/>
        <w:rPr>
          <w:noProof/>
        </w:rPr>
      </w:pPr>
      <w:r>
        <w:rPr>
          <w:noProof/>
        </w:rPr>
        <w:t xml:space="preserve">Съгласно член 12 от Регламента за МФР </w:t>
      </w:r>
      <w:r>
        <w:rPr>
          <w:i/>
          <w:noProof/>
        </w:rPr>
        <w:t>Инструментът за гъвкавост</w:t>
      </w:r>
      <w:r>
        <w:rPr>
          <w:noProof/>
        </w:rPr>
        <w:t xml:space="preserve"> може да бъде мобилизиран за сума в размер на максимум 915 милиона евро годишно по цени от 2018 г., или 971,0 милиона евро през 2021 г. по текущи цени (7 218,7 милиона евро за целия период по текущи цени). Частта от неусвоените годишни суми от предходните две години може да се пренася.</w:t>
      </w:r>
    </w:p>
    <w:p>
      <w:pPr>
        <w:pStyle w:val="ManualHeading1"/>
        <w:numPr>
          <w:ilvl w:val="0"/>
          <w:numId w:val="1"/>
        </w:numPr>
        <w:rPr>
          <w:noProof/>
        </w:rPr>
      </w:pPr>
      <w:r>
        <w:rPr>
          <w:noProof/>
        </w:rPr>
        <w:t>Обобщаваща таблица и заключения</w:t>
      </w:r>
    </w:p>
    <w:p>
      <w:pPr>
        <w:pStyle w:val="Text1"/>
        <w:rPr>
          <w:noProof/>
        </w:rPr>
      </w:pPr>
      <w:r>
        <w:rPr>
          <w:noProof/>
        </w:rPr>
        <w:t>В таблиците по-долу са обобщени промените на таваните за бюджетните кредити за поети задължения и за плащания във финансовата рамка, извършени съгласно член 2, параграф 1 и член 4 от Регламента за МФР, по текущи цени и по цени от 2018 г.:</w:t>
      </w:r>
    </w:p>
    <w:p>
      <w:pPr>
        <w:pStyle w:val="Text1"/>
        <w:ind w:left="0"/>
        <w:rPr>
          <w:noProof/>
        </w:rPr>
      </w:pPr>
    </w:p>
    <w:p>
      <w:pPr>
        <w:pStyle w:val="Text1"/>
        <w:ind w:left="0"/>
        <w:rPr>
          <w:noProof/>
        </w:rPr>
      </w:pPr>
      <w:r>
        <w:rPr>
          <w:noProof/>
          <w:lang w:val="en-GB"/>
        </w:rPr>
        <w:drawing>
          <wp:inline distT="0" distB="0" distL="0" distR="0">
            <wp:extent cx="5761355" cy="384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3848100"/>
                    </a:xfrm>
                    <a:prstGeom prst="rect">
                      <a:avLst/>
                    </a:prstGeom>
                    <a:noFill/>
                    <a:ln>
                      <a:noFill/>
                    </a:ln>
                  </pic:spPr>
                </pic:pic>
              </a:graphicData>
            </a:graphic>
          </wp:inline>
        </w:drawing>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rPr>
          <w:lang w:val="en-US"/>
        </w:rPr>
        <w:t xml:space="preserve"> </w:t>
      </w:r>
      <w:r>
        <w:tab/>
        <w:t>Все още непубликуван в Официален вестник.</w:t>
      </w:r>
    </w:p>
  </w:footnote>
  <w:footnote w:id="3">
    <w:p>
      <w:pPr>
        <w:pStyle w:val="FootnoteText"/>
      </w:pPr>
      <w:r>
        <w:rPr>
          <w:rStyle w:val="FootnoteReference"/>
        </w:rPr>
        <w:footnoteRef/>
      </w:r>
      <w:r>
        <w:t xml:space="preserve"> </w:t>
      </w:r>
      <w:r>
        <w:tab/>
        <w:t>Прогноза на Европейската комисия от есента на 2020 г.: https://ec.europa.eu/info/business-economy-euro/economic-performance-and-forecasts/economic-forecasts/autumn-2020-economic-forecast_en</w:t>
      </w:r>
    </w:p>
  </w:footnote>
  <w:footnote w:id="4">
    <w:p>
      <w:pPr>
        <w:pStyle w:val="FootnoteText"/>
      </w:pPr>
      <w:r>
        <w:rPr>
          <w:rStyle w:val="FootnoteReference"/>
        </w:rPr>
        <w:footnoteRef/>
      </w:r>
      <w:r>
        <w:t xml:space="preserve"> </w:t>
      </w:r>
      <w:r>
        <w:tab/>
      </w:r>
      <w:r>
        <w:rPr>
          <w:shd w:val="clear" w:color="auto" w:fill="FFFFFF"/>
        </w:rPr>
        <w:t>Решение на Съвета от 26 май 2014 г. относно системата на собствените ресурси на Европейския съюз (2014/335/EС, Евратом) (ОВ L 168, 7.6.2014 г., стр. 105).</w:t>
      </w:r>
    </w:p>
  </w:footnote>
  <w:footnote w:id="5">
    <w:p>
      <w:pPr>
        <w:pStyle w:val="FootnoteText"/>
      </w:pPr>
      <w:r>
        <w:rPr>
          <w:rStyle w:val="FootnoteReference"/>
        </w:rPr>
        <w:footnoteRef/>
      </w:r>
      <w:r>
        <w:t xml:space="preserve"> </w:t>
      </w:r>
      <w:r>
        <w:tab/>
        <w:t>Делегиран регламент (ЕС) 2020/756 на Комисията от 1 април 2020 г. за изменение на приложения II и III към Регламент (ЕС) № 1307/2013 на Европейския парламент и на Съвета (OВ</w:t>
      </w:r>
      <w:r>
        <w:rPr>
          <w:lang w:val="en-GB"/>
        </w:rPr>
        <w:t> </w:t>
      </w:r>
      <w:r>
        <w:t>L 179, 9.6.2020 г., стр. 1).</w:t>
      </w:r>
    </w:p>
  </w:footnote>
  <w:footnote w:id="6">
    <w:p>
      <w:pPr>
        <w:pStyle w:val="FootnoteText"/>
      </w:pPr>
      <w:r>
        <w:rPr>
          <w:rStyle w:val="FootnoteReference"/>
        </w:rPr>
        <w:footnoteRef/>
      </w:r>
      <w:r>
        <w:t xml:space="preserve"> </w:t>
      </w:r>
      <w:r>
        <w:tab/>
        <w:t>Делегиран регламент (ЕС) 2020/1314 на Комисията от 10 юли 2020 г. за изменение на приложения II и III към Регламент (ЕС) № 1307/2013 на Европейския парламент и на Съвета по отношение на националните и нетните тавани за директни плащания за някои държави членки за календарната 2020 година (OВ L 307, 22.9.2020 г., стр. 1).</w:t>
      </w:r>
    </w:p>
  </w:footnote>
  <w:footnote w:id="7">
    <w:p>
      <w:pPr>
        <w:pStyle w:val="FootnoteText"/>
      </w:pPr>
      <w:r>
        <w:rPr>
          <w:rStyle w:val="FootnoteReference"/>
        </w:rPr>
        <w:footnoteRef/>
      </w:r>
      <w:r>
        <w:t xml:space="preserve"> </w:t>
      </w:r>
      <w:r>
        <w:tab/>
        <w:t>В съответствие с Регламента за МФР преобразуването е извършено посредством постоянен дефлатор от 2 %. Резултатът по текущи цени е изразен в милиони и е закръглен до третия знак след десетичната запетая.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5CAC21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1B3C78B8"/>
    <w:multiLevelType w:val="multilevel"/>
    <w:tmpl w:val="67C675F6"/>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
    <w:nsid w:val="5B8B29F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4DC869-8253-4C97-8725-8831765FA762"/>
    <w:docVar w:name="LW_COVERPAGE_TYPE" w:val="1"/>
    <w:docVar w:name="LW_CROSSREFERENCE" w:val="&lt;UNUSED&gt;"/>
    <w:docVar w:name="LW_DocType" w:val="NORMAL"/>
    <w:docVar w:name="LW_EMISSION" w:val="18.12.2020"/>
    <w:docVar w:name="LW_EMISSION_ISODATE" w:val="2020-12-18"/>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8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8?\u1077?\u1093?\u1085?\u1080?\u1095?\u1077?\u1089?\u1082?\u1072? \u1082?\u1086?\u1088?\u1077?\u1082?\u1094?\u1080?\u1103? \u1085?\u1072? \u1092?\u1080?\u1085?\u1072?\u1085?\u1089?\u1086?\u1074?\u1072?\u1090?\u1072? \u1088?\u1072?\u1084?\u1082?\u1072? \u1079?\u1072? 2021 \u1075?. \u1074? \u1089?\u1098?\u1086?\u1090?\u1074?\u1077?\u1090?\u1089?\u1090?\u1074?\u1080?\u1077? \u1089? \u1095?\u1083?\u1077?\u1085? 4 \u1086?\u1090?&lt;FMT:Font=Calibri&gt; &lt;/FMT&gt;\u1056?\u1077?\u1075?\u1083?\u1072?\u1084?\u1077?\u1085?\u1090? (\u1045?\u1057?, \u1045?\u1074?\u1088?\u1072?\u1090?\u1086?\u1084?) 2020/2093 \u1085?\u1072? \u1057?\u1098?\u1074?\u1077?\u1090?\u1072? \u1079?\u1072? \u1086?\u1087?\u1088?\u1077?\u1076?\u1077?\u1083?\u1103?\u1085?\u1077? \u1085?\u1072? \u1084?\u1085?\u1086?\u1075?\u1086?\u1075?\u1086?\u1076?\u1080?\u1096?\u1085?\u1072?\u1090?\u1072? \u1092?\u1080?\u1085?\u1072?\u1085?\u1089?\u1086?\u1074?\u1072? \u1088?\u1072?\u1084?\u1082?\u1072? \u1079?\u1072? \u1075?\u1086?\u1076?\u1080?\u1085?\u1080?\u1090?\u1077? 2021\u8212?2027"/>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styleId="ListBullet4">
    <w:name w:val="List Bullet 4"/>
    <w:basedOn w:val="Normal"/>
    <w:pPr>
      <w:numPr>
        <w:numId w:val="2"/>
      </w:numPr>
      <w:contextualSpacing/>
    </w:pPr>
    <w:rPr>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szCs w:val="24"/>
      <w:lang w:eastAsia="en-IE"/>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Text1"/>
    <w:pPr>
      <w:ind w:left="850" w:hanging="850"/>
    </w:pPr>
    <w:rPr>
      <w:rFonts w:eastAsiaTheme="minorHAnsi"/>
      <w:lang w:eastAsia="en-US"/>
    </w:rPr>
  </w:style>
  <w:style w:type="paragraph" w:customStyle="1" w:styleId="Point0number">
    <w:name w:val="Point 0 (number)"/>
    <w:basedOn w:val="Normal"/>
    <w:pPr>
      <w:numPr>
        <w:numId w:val="3"/>
      </w:numPr>
    </w:pPr>
    <w:rPr>
      <w:rFonts w:eastAsiaTheme="minorHAnsi"/>
      <w:lang w:eastAsia="en-US"/>
    </w:rPr>
  </w:style>
  <w:style w:type="paragraph" w:customStyle="1" w:styleId="Point1number">
    <w:name w:val="Point 1 (number)"/>
    <w:basedOn w:val="Normal"/>
    <w:pPr>
      <w:numPr>
        <w:ilvl w:val="2"/>
        <w:numId w:val="3"/>
      </w:numPr>
    </w:pPr>
    <w:rPr>
      <w:rFonts w:eastAsiaTheme="minorHAnsi"/>
      <w:lang w:eastAsia="en-US"/>
    </w:rPr>
  </w:style>
  <w:style w:type="paragraph" w:customStyle="1" w:styleId="Point2number">
    <w:name w:val="Point 2 (number)"/>
    <w:basedOn w:val="Normal"/>
    <w:pPr>
      <w:numPr>
        <w:ilvl w:val="4"/>
        <w:numId w:val="3"/>
      </w:numPr>
    </w:pPr>
    <w:rPr>
      <w:rFonts w:eastAsiaTheme="minorHAnsi"/>
      <w:lang w:eastAsia="en-US"/>
    </w:rPr>
  </w:style>
  <w:style w:type="paragraph" w:customStyle="1" w:styleId="Point3number">
    <w:name w:val="Point 3 (number)"/>
    <w:basedOn w:val="Normal"/>
    <w:pPr>
      <w:numPr>
        <w:ilvl w:val="6"/>
        <w:numId w:val="3"/>
      </w:numPr>
    </w:pPr>
    <w:rPr>
      <w:rFonts w:eastAsiaTheme="minorHAnsi"/>
      <w:lang w:eastAsia="en-US"/>
    </w:rPr>
  </w:style>
  <w:style w:type="paragraph" w:customStyle="1" w:styleId="Point0letter">
    <w:name w:val="Point 0 (letter)"/>
    <w:basedOn w:val="Normal"/>
    <w:pPr>
      <w:numPr>
        <w:ilvl w:val="1"/>
        <w:numId w:val="3"/>
      </w:numPr>
    </w:pPr>
    <w:rPr>
      <w:rFonts w:eastAsiaTheme="minorHAnsi"/>
      <w:lang w:eastAsia="en-US"/>
    </w:rPr>
  </w:style>
  <w:style w:type="paragraph" w:customStyle="1" w:styleId="Point1letter">
    <w:name w:val="Point 1 (letter)"/>
    <w:basedOn w:val="Normal"/>
    <w:pPr>
      <w:numPr>
        <w:ilvl w:val="3"/>
        <w:numId w:val="3"/>
      </w:numPr>
    </w:pPr>
    <w:rPr>
      <w:rFonts w:eastAsiaTheme="minorHAnsi"/>
      <w:lang w:eastAsia="en-US"/>
    </w:rPr>
  </w:style>
  <w:style w:type="paragraph" w:customStyle="1" w:styleId="Point2letter">
    <w:name w:val="Point 2 (letter)"/>
    <w:basedOn w:val="Normal"/>
    <w:pPr>
      <w:numPr>
        <w:ilvl w:val="5"/>
        <w:numId w:val="3"/>
      </w:numPr>
    </w:pPr>
    <w:rPr>
      <w:rFonts w:eastAsiaTheme="minorHAnsi"/>
      <w:lang w:eastAsia="en-US"/>
    </w:rPr>
  </w:style>
  <w:style w:type="paragraph" w:customStyle="1" w:styleId="Point3letter">
    <w:name w:val="Point 3 (letter)"/>
    <w:basedOn w:val="Normal"/>
    <w:pPr>
      <w:numPr>
        <w:ilvl w:val="7"/>
        <w:numId w:val="3"/>
      </w:numPr>
    </w:pPr>
    <w:rPr>
      <w:rFonts w:eastAsiaTheme="minorHAnsi"/>
      <w:lang w:eastAsia="en-US"/>
    </w:rPr>
  </w:style>
  <w:style w:type="paragraph" w:customStyle="1" w:styleId="Point4letter">
    <w:name w:val="Point 4 (letter)"/>
    <w:basedOn w:val="Normal"/>
    <w:pPr>
      <w:numPr>
        <w:ilvl w:val="8"/>
        <w:numId w:val="3"/>
      </w:numPr>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styleId="ListBullet4">
    <w:name w:val="List Bullet 4"/>
    <w:basedOn w:val="Normal"/>
    <w:pPr>
      <w:numPr>
        <w:numId w:val="2"/>
      </w:numPr>
      <w:contextualSpacing/>
    </w:pPr>
    <w:rPr>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szCs w:val="24"/>
      <w:lang w:eastAsia="en-IE"/>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Text1"/>
    <w:pPr>
      <w:ind w:left="850" w:hanging="850"/>
    </w:pPr>
    <w:rPr>
      <w:rFonts w:eastAsiaTheme="minorHAnsi"/>
      <w:lang w:eastAsia="en-US"/>
    </w:rPr>
  </w:style>
  <w:style w:type="paragraph" w:customStyle="1" w:styleId="Point0number">
    <w:name w:val="Point 0 (number)"/>
    <w:basedOn w:val="Normal"/>
    <w:pPr>
      <w:numPr>
        <w:numId w:val="3"/>
      </w:numPr>
    </w:pPr>
    <w:rPr>
      <w:rFonts w:eastAsiaTheme="minorHAnsi"/>
      <w:lang w:eastAsia="en-US"/>
    </w:rPr>
  </w:style>
  <w:style w:type="paragraph" w:customStyle="1" w:styleId="Point1number">
    <w:name w:val="Point 1 (number)"/>
    <w:basedOn w:val="Normal"/>
    <w:pPr>
      <w:numPr>
        <w:ilvl w:val="2"/>
        <w:numId w:val="3"/>
      </w:numPr>
    </w:pPr>
    <w:rPr>
      <w:rFonts w:eastAsiaTheme="minorHAnsi"/>
      <w:lang w:eastAsia="en-US"/>
    </w:rPr>
  </w:style>
  <w:style w:type="paragraph" w:customStyle="1" w:styleId="Point2number">
    <w:name w:val="Point 2 (number)"/>
    <w:basedOn w:val="Normal"/>
    <w:pPr>
      <w:numPr>
        <w:ilvl w:val="4"/>
        <w:numId w:val="3"/>
      </w:numPr>
    </w:pPr>
    <w:rPr>
      <w:rFonts w:eastAsiaTheme="minorHAnsi"/>
      <w:lang w:eastAsia="en-US"/>
    </w:rPr>
  </w:style>
  <w:style w:type="paragraph" w:customStyle="1" w:styleId="Point3number">
    <w:name w:val="Point 3 (number)"/>
    <w:basedOn w:val="Normal"/>
    <w:pPr>
      <w:numPr>
        <w:ilvl w:val="6"/>
        <w:numId w:val="3"/>
      </w:numPr>
    </w:pPr>
    <w:rPr>
      <w:rFonts w:eastAsiaTheme="minorHAnsi"/>
      <w:lang w:eastAsia="en-US"/>
    </w:rPr>
  </w:style>
  <w:style w:type="paragraph" w:customStyle="1" w:styleId="Point0letter">
    <w:name w:val="Point 0 (letter)"/>
    <w:basedOn w:val="Normal"/>
    <w:pPr>
      <w:numPr>
        <w:ilvl w:val="1"/>
        <w:numId w:val="3"/>
      </w:numPr>
    </w:pPr>
    <w:rPr>
      <w:rFonts w:eastAsiaTheme="minorHAnsi"/>
      <w:lang w:eastAsia="en-US"/>
    </w:rPr>
  </w:style>
  <w:style w:type="paragraph" w:customStyle="1" w:styleId="Point1letter">
    <w:name w:val="Point 1 (letter)"/>
    <w:basedOn w:val="Normal"/>
    <w:pPr>
      <w:numPr>
        <w:ilvl w:val="3"/>
        <w:numId w:val="3"/>
      </w:numPr>
    </w:pPr>
    <w:rPr>
      <w:rFonts w:eastAsiaTheme="minorHAnsi"/>
      <w:lang w:eastAsia="en-US"/>
    </w:rPr>
  </w:style>
  <w:style w:type="paragraph" w:customStyle="1" w:styleId="Point2letter">
    <w:name w:val="Point 2 (letter)"/>
    <w:basedOn w:val="Normal"/>
    <w:pPr>
      <w:numPr>
        <w:ilvl w:val="5"/>
        <w:numId w:val="3"/>
      </w:numPr>
    </w:pPr>
    <w:rPr>
      <w:rFonts w:eastAsiaTheme="minorHAnsi"/>
      <w:lang w:eastAsia="en-US"/>
    </w:rPr>
  </w:style>
  <w:style w:type="paragraph" w:customStyle="1" w:styleId="Point3letter">
    <w:name w:val="Point 3 (letter)"/>
    <w:basedOn w:val="Normal"/>
    <w:pPr>
      <w:numPr>
        <w:ilvl w:val="7"/>
        <w:numId w:val="3"/>
      </w:numPr>
    </w:pPr>
    <w:rPr>
      <w:rFonts w:eastAsiaTheme="minorHAnsi"/>
      <w:lang w:eastAsia="en-US"/>
    </w:rPr>
  </w:style>
  <w:style w:type="paragraph" w:customStyle="1" w:styleId="Point4letter">
    <w:name w:val="Point 4 (letter)"/>
    <w:basedOn w:val="Normal"/>
    <w:pPr>
      <w:numPr>
        <w:ilvl w:val="8"/>
        <w:numId w:val="3"/>
      </w:numPr>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25">
      <w:bodyDiv w:val="1"/>
      <w:marLeft w:val="0"/>
      <w:marRight w:val="0"/>
      <w:marTop w:val="0"/>
      <w:marBottom w:val="0"/>
      <w:divBdr>
        <w:top w:val="none" w:sz="0" w:space="0" w:color="auto"/>
        <w:left w:val="none" w:sz="0" w:space="0" w:color="auto"/>
        <w:bottom w:val="none" w:sz="0" w:space="0" w:color="auto"/>
        <w:right w:val="none" w:sz="0" w:space="0" w:color="auto"/>
      </w:divBdr>
    </w:div>
    <w:div w:id="1069184694">
      <w:bodyDiv w:val="1"/>
      <w:marLeft w:val="0"/>
      <w:marRight w:val="0"/>
      <w:marTop w:val="0"/>
      <w:marBottom w:val="0"/>
      <w:divBdr>
        <w:top w:val="none" w:sz="0" w:space="0" w:color="auto"/>
        <w:left w:val="none" w:sz="0" w:space="0" w:color="auto"/>
        <w:bottom w:val="none" w:sz="0" w:space="0" w:color="auto"/>
        <w:right w:val="none" w:sz="0" w:space="0" w:color="auto"/>
      </w:divBdr>
    </w:div>
    <w:div w:id="11756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17A028088B2B45866D9EDA770826A9" ma:contentTypeVersion="0" ma:contentTypeDescription="Create a new document." ma:contentTypeScope="" ma:versionID="07285c3953cac2a1a3581c0898c6dfe3">
  <xsd:schema xmlns:xsd="http://www.w3.org/2001/XMLSchema" xmlns:xs="http://www.w3.org/2001/XMLSchema" xmlns:p="http://schemas.microsoft.com/office/2006/metadata/properties" targetNamespace="http://schemas.microsoft.com/office/2006/metadata/properties" ma:root="true" ma:fieldsID="5a9f10bb60c4c2391c9f5c59e6ace22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42E6A3-6DA4-45D9-A111-9C9065477401}">
  <ds:schemaRefs>
    <ds:schemaRef ds:uri="http://schemas.microsoft.com/sharepoint/v3/contenttype/forms"/>
  </ds:schemaRefs>
</ds:datastoreItem>
</file>

<file path=customXml/itemProps2.xml><?xml version="1.0" encoding="utf-8"?>
<ds:datastoreItem xmlns:ds="http://schemas.openxmlformats.org/officeDocument/2006/customXml" ds:itemID="{85CE43E4-8FCD-47AD-9256-23E28830018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F3BBF5DF-F487-472D-8A7D-CC6FB6432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4D80CF-2AC0-4E63-AF23-3D31A0C8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1683</Words>
  <Characters>8319</Characters>
  <Application>Microsoft Office Word</Application>
  <DocSecurity>0</DocSecurity>
  <Lines>218</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24</cp:revision>
  <cp:lastPrinted>2019-04-11T08:28:00Z</cp:lastPrinted>
  <dcterms:created xsi:type="dcterms:W3CDTF">2020-12-17T09:49:00Z</dcterms:created>
  <dcterms:modified xsi:type="dcterms:W3CDTF">2020-12-22T10:29:00Z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CP-012</vt:lpwstr>
  </property>
  <property fmtid="{D5CDD505-2E9C-101B-9397-08002B2CF9AE}" pid="9" name="IsMyDocuments">
    <vt:bool>true</vt:bool>
  </property>
  <property fmtid="{D5CDD505-2E9C-101B-9397-08002B2CF9AE}" pid="10" name="_LW_INVALIDATED__LW_INVALIDATED__LW_INVALIDATED__LW_INVALIDATED__LW_INVALIDATED__LW_INVALIDATED__LW_INVALIDATED__LW_INVALIDATED__LW_INVALIDATED__LW_INVALIDATED__LW_INVALIDATED__LW_INVALIDATED_ContentTypeId">
    <vt:lpwstr>0x010100D417A028088B2B45866D9EDA770826A9</vt:lpwstr>
  </property>
  <property fmtid="{D5CDD505-2E9C-101B-9397-08002B2CF9AE}" pid="11" name="_LW_INVALIDATED__LW_INVALIDATED__LW_INVALIDATED__LW_INVALIDATED__LW_INVALIDATED__LW_INVALIDATED__LW_INVALIDATED__LW_INVALIDATED__LW_INVALIDATED__LW_INVALIDATED__LW_INVALIDATED_ContentTypeId">
    <vt:lpwstr>0x010100D417A028088B2B45866D9EDA770826A9</vt:lpwstr>
  </property>
</Properties>
</file>