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EA7C024-E58D-4711-8DBF-5535F68CF658"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spacing w:after="240" w:line="360" w:lineRule="auto"/>
        <w:jc w:val="center"/>
        <w:rPr>
          <w:rFonts w:eastAsia="Times New Roman"/>
          <w:b/>
          <w:noProof/>
          <w:szCs w:val="20"/>
          <w:u w:val="single"/>
        </w:rPr>
      </w:pPr>
      <w:r>
        <w:rPr>
          <w:b/>
          <w:noProof/>
          <w:szCs w:val="20"/>
          <w:u w:val="single"/>
        </w:rPr>
        <w:t xml:space="preserve">Позиция, която трябва да се заеме от името на Съюза на заседанията на Съвета и Общото събрание на Международния орган за морското дъно </w:t>
      </w:r>
    </w:p>
    <w:p>
      <w:pPr>
        <w:pStyle w:val="ManualHeading1"/>
        <w:rPr>
          <w:noProof/>
        </w:rPr>
      </w:pPr>
      <w:r>
        <w:rPr>
          <w:noProof/>
        </w:rPr>
        <w:t xml:space="preserve">1. </w:t>
      </w:r>
      <w:r>
        <w:rPr>
          <w:noProof/>
        </w:rPr>
        <w:tab/>
        <w:t>ПРИНЦИПИ</w:t>
      </w:r>
    </w:p>
    <w:p>
      <w:pPr>
        <w:spacing w:before="0" w:after="240"/>
        <w:jc w:val="left"/>
        <w:rPr>
          <w:rFonts w:eastAsia="Times New Roman"/>
          <w:noProof/>
          <w:szCs w:val="20"/>
        </w:rPr>
      </w:pPr>
      <w:r>
        <w:rPr>
          <w:noProof/>
        </w:rPr>
        <w:t>На заседанията на Съвета и Общото събрание на Международния орган за морското дъно Съюзът:</w:t>
      </w:r>
    </w:p>
    <w:p>
      <w:pPr>
        <w:pStyle w:val="Point0"/>
        <w:rPr>
          <w:noProof/>
        </w:rPr>
      </w:pPr>
      <w:r>
        <w:rPr>
          <w:noProof/>
        </w:rPr>
        <w:t>а)</w:t>
      </w:r>
      <w:r>
        <w:rPr>
          <w:noProof/>
        </w:rPr>
        <w:tab/>
        <w:t>Действа в съответствие с членове 145 и 192 от Конвенцията на Организацията на обединените нации по морско право (UNCLOS) от 10 декември 1982 г. и задължението за защита и опазване на морската среда. Това всеобхватно задължение включва отговорностите за предотвратяване, намаляване и контрол на замърсяването на морската среда от всякакви източници, за мониторинг на рисковете или последиците от замърсяването и за оценка на потенциалните последици от дейностите под юрисдикцията и контрола на държавите — страни по конвенцията, които могат да причинят значително замърсяване или значителни и вредни изменения на морската среда (членове 194, 204 и 206 от UNCLOS).  По-специално държавите — страни по конвенцията, трябва да предприемат мерки за защита и опазване на редките или уязвими екосистеми.  В съответствие с член 196, параграф 1 и член 209 държавите трябва също така да предотвратяват, намаляват и контролират замърсяването, произтичащо от използването на технологии под тяхна юрисдикция или контрол, включително по отношение на дейностите в района, извършвани от кораби, инсталации, съоръжения и други устройства, плаващи под тяхно знаме или регистрирани в тях, или експлоатирани под тяхно ръководство. В съответствие с член 145 държавите, чрез Международния орган за морското дъно, приемат подходящи норми, правила и процедури за защита и опазване на природните ресурси на района и за предотвратяване на увреждането на флората и фауната на морската среда.</w:t>
      </w:r>
    </w:p>
    <w:p>
      <w:pPr>
        <w:pStyle w:val="Point0"/>
        <w:rPr>
          <w:noProof/>
        </w:rPr>
      </w:pPr>
      <w:r>
        <w:rPr>
          <w:noProof/>
        </w:rPr>
        <w:t>б)</w:t>
      </w:r>
      <w:r>
        <w:rPr>
          <w:noProof/>
        </w:rPr>
        <w:tab/>
        <w:t>Действа в съответствие с член 191 от Договора за функционирането на Европейския съюз, според който политиката на Съюза в областта на околната среда се основава на принципите на предпазните мерки и превантивните действия, на принципа на приоритетното отстраняване още при източника на замърсяване на околната среда и на принципа „замърсителят плаща“. В този контекст и в съответствие с принципа на предпазните мерки ЕС следва да настоява експлоатирането на морските минерали в международната зона на морското дъно да се извършва едва след като бъде проучено в достатъчна степен въздействието на дълбоководния добив на полезни изкопаеми върху морската среда, биологичното разнообразие и човешките дейности, след като се анализират рисковете и се докаже, че технологиите и оперативните практики не нанасят сериозни вреди на околната среда.</w:t>
      </w:r>
    </w:p>
    <w:p>
      <w:pPr>
        <w:pStyle w:val="Point0"/>
        <w:rPr>
          <w:noProof/>
        </w:rPr>
      </w:pPr>
      <w:r>
        <w:rPr>
          <w:noProof/>
        </w:rPr>
        <w:t>в)</w:t>
      </w:r>
      <w:r>
        <w:rPr>
          <w:noProof/>
        </w:rPr>
        <w:tab/>
        <w:t xml:space="preserve">Търси съгласуваност и полезно взаимодействие с екосистемния подход, посочен в член 2, параграф 3 от Регламент (ЕС) № 1380/2013 на Европейския парламент и на Съвета от 11 декември 2013 г. относно общата политика в областта на рибарството; член 3, точки 4 и 5, член 10 от 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както и приложения I и VI към нея; член 5 от Директива 2014/89/ЕС на Европейския парламент и на Съвета от 23 юли 2014 г. за установяване на рамка за морско пространствено планиране. </w:t>
      </w:r>
    </w:p>
    <w:p>
      <w:pPr>
        <w:pStyle w:val="Point0"/>
        <w:rPr>
          <w:noProof/>
        </w:rPr>
      </w:pPr>
      <w:r>
        <w:rPr>
          <w:noProof/>
        </w:rPr>
        <w:t>г)</w:t>
      </w:r>
      <w:r>
        <w:rPr>
          <w:noProof/>
        </w:rPr>
        <w:tab/>
        <w:t>Участва активно в обсъжданията, за да се гарантира, че Кодексът за миннодобивна дейност на Международния орган за морското дъно е стабилен и съобразен с международните принципи и ангажименти и че съдържа стриктни екологични стандарти с изпълнителна сила, които се актуализират редовно в съответствие с най-новите научни данни и технологии, включително с необходимостта от спазване на подхода на предпазните мерки и предприемане на предварителни оценки на въздействието върху околната среда, които са в съответствие с процедурите и насоките на Програмата на ООН за околната среда</w:t>
      </w:r>
      <w:r>
        <w:rPr>
          <w:rStyle w:val="FootnoteReference"/>
          <w:rFonts w:eastAsia="Times New Roman"/>
          <w:noProof/>
          <w:szCs w:val="20"/>
        </w:rPr>
        <w:footnoteReference w:id="1"/>
      </w:r>
      <w:r>
        <w:rPr>
          <w:noProof/>
        </w:rPr>
        <w:t xml:space="preserve">. </w:t>
      </w:r>
    </w:p>
    <w:p>
      <w:pPr>
        <w:pStyle w:val="Point0"/>
        <w:rPr>
          <w:noProof/>
        </w:rPr>
      </w:pPr>
      <w:r>
        <w:rPr>
          <w:noProof/>
        </w:rPr>
        <w:t>д)</w:t>
      </w:r>
      <w:r>
        <w:rPr>
          <w:noProof/>
        </w:rPr>
        <w:tab/>
        <w:t>Осигурява съответствието на правилата относно експлоатацията на минерални ресурси в района с международното право (и по-специално разпоредбите на UNCLOS) и с международното обичайно право.</w:t>
      </w:r>
    </w:p>
    <w:p>
      <w:pPr>
        <w:pStyle w:val="Point0"/>
        <w:rPr>
          <w:noProof/>
        </w:rPr>
      </w:pPr>
      <w:r>
        <w:rPr>
          <w:noProof/>
        </w:rPr>
        <w:t>е)</w:t>
      </w:r>
      <w:r>
        <w:rPr>
          <w:noProof/>
        </w:rPr>
        <w:tab/>
        <w:t>Отстоява своята позиция в подкрепа на целите на Европейския зелен пакт и „зелената клетва“ за ненанасяне на вреди, както и амбицията си да изпълнява водеща роля в световен мащаб за защитата и опазването на околната среда, включително на моретата и океаните.</w:t>
      </w:r>
    </w:p>
    <w:p>
      <w:pPr>
        <w:pStyle w:val="Point0"/>
        <w:rPr>
          <w:noProof/>
        </w:rPr>
      </w:pPr>
      <w:r>
        <w:rPr>
          <w:noProof/>
        </w:rPr>
        <w:t>ж)</w:t>
      </w:r>
      <w:r>
        <w:rPr>
          <w:noProof/>
        </w:rPr>
        <w:tab/>
        <w:t xml:space="preserve">Насърчава напредъка на научните познания относно въздействието върху околната среда и тяхното отчитане в Кодекса за миннодобивна дейност на Международния орган за морското дъно. </w:t>
      </w:r>
    </w:p>
    <w:p>
      <w:pPr>
        <w:pStyle w:val="Point0"/>
        <w:rPr>
          <w:noProof/>
        </w:rPr>
      </w:pPr>
      <w:r>
        <w:rPr>
          <w:noProof/>
        </w:rPr>
        <w:t>з)</w:t>
      </w:r>
      <w:r>
        <w:rPr>
          <w:noProof/>
        </w:rPr>
        <w:tab/>
        <w:t xml:space="preserve">Полага усилия за прилагане на най-високи стандарти при изготвянето на предварителната оценка на риска за околната среда, както и за извършване на надежден анализ на тази оценка.  </w:t>
      </w:r>
    </w:p>
    <w:p>
      <w:pPr>
        <w:pStyle w:val="ManualHeading1"/>
        <w:rPr>
          <w:noProof/>
        </w:rPr>
      </w:pPr>
      <w:r>
        <w:rPr>
          <w:noProof/>
        </w:rPr>
        <w:t>2.</w:t>
      </w:r>
      <w:r>
        <w:rPr>
          <w:noProof/>
        </w:rPr>
        <w:tab/>
        <w:t>НАСОКИ</w:t>
      </w:r>
    </w:p>
    <w:p>
      <w:pPr>
        <w:spacing w:before="0" w:after="240"/>
        <w:rPr>
          <w:rFonts w:eastAsia="Times New Roman"/>
          <w:noProof/>
          <w:szCs w:val="20"/>
        </w:rPr>
      </w:pPr>
      <w:r>
        <w:rPr>
          <w:noProof/>
        </w:rPr>
        <w:t>Предвид ограничените научни познания и опасенията, свързани с неизбежното и по всяка вероятност необратимо въздействие върху биологичното разнообразие и климата, от решаващо значение е да се гарантира, че позицията на Европейския съюз по отношение на дълбоководния добив на полезни изкопаеми е в пълно съответствие с неговия ангажимент към устойчиво развитие и се основава на най-добрите налични научни данни, прилагането на принципа на предпазните мерки и екосистемния подход.</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II</w:t>
      </w:r>
    </w:p>
    <w:p>
      <w:pPr>
        <w:rPr>
          <w:b/>
          <w:noProof/>
        </w:rPr>
      </w:pPr>
      <w:r>
        <w:rPr>
          <w:b/>
          <w:noProof/>
        </w:rPr>
        <w:t xml:space="preserve">Ежегодно уточняване на позицията на Съюза, която трябва да се заеме на заседанията на Съвета и Общото събрание на Международния орган за морското дъно </w:t>
      </w:r>
    </w:p>
    <w:p>
      <w:pPr>
        <w:rPr>
          <w:b/>
          <w:noProof/>
        </w:rPr>
      </w:pPr>
    </w:p>
    <w:p>
      <w:pPr>
        <w:rPr>
          <w:noProof/>
        </w:rPr>
      </w:pPr>
      <w:r>
        <w:rPr>
          <w:noProof/>
        </w:rPr>
        <w:t>Преди всяко заседание на Съвета или на Общото събрание на Международния орган за морското дъно се предприемат необходимите стъпки, така че позицията, която трябва да бъде изразена от името на Съюза, да бъде съобразена с най-актуалната научна и друга налична информация в съответствие с принципите и насоките, изложени в приложение I.</w:t>
      </w:r>
    </w:p>
    <w:p>
      <w:pPr>
        <w:rPr>
          <w:noProof/>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Съвета или Общото събрание на Международния орган за морското дъно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noProof/>
        </w:rPr>
      </w:pPr>
      <w:r>
        <w:rPr>
          <w:noProof/>
        </w:rPr>
        <w:t>Ако по време на заседание на Съвета или Общото събрание на Международния орган за морското дъно не е възможно да се постигне споразумение, включително на място, въпросът трябва да бъде отнесен до Съвета или до подготвителните му органи, за да може новите елементи да бъдат отразени в позицията на Съюза.</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https://elaw.org/system/files/unep.EIA_.guidelines.and_.principles.pdf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1CCA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EE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463B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D825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D4AC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1CA0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4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64C7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23: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6EA7C024-E58D-4711-8DBF-5535F68CF658"/>
    <w:docVar w:name="LW_COVERPAGE_TYPE" w:val="1"/>
    <w:docVar w:name="LW_CROSSREFERENCE" w:val="&lt;UNUSED&gt;"/>
    <w:docVar w:name="LW_DocType" w:val="ANNEX"/>
    <w:docVar w:name="LW_EMISSION" w:val="5.1.2021"/>
    <w:docVar w:name="LW_EMISSION_ISODATE" w:val="2021-01-0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79?\u1072?\u1089?\u1077?\u1076?\u1072?\u1085?\u1080?\u1103?\u1090?\u1072? \u1085?\u1072? \u1057?\u1098?\u1074?\u1077?\u1090?\u1072? \u1080? \u1054?\u1073?\u1097?\u1086?\u1090?\u1086? \u1089?\u1098?\u1073?\u1088?\u1072?\u1085?\u1080?\u1077? \u1085?\u1072? \u1052?\u1077?\u1078?\u1076?\u1091?\u1085?\u1072?\u1088?\u1086?\u1076?\u1085?\u1080?\u1103? \u1086?\u1088?\u1075?\u1072?\u1085? \u1079?\u1072? \u1084?\u1086?\u1088?\u1089?\u1082?\u1086?\u1090?\u1086? \u1076?\u1098?\u1085?\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79?\u1072?\u1089?\u1077?\u1076?\u1072?\u1085?\u1080?\u1103?\u1090?\u1072? \u1085?\u1072? \u1057?\u1098?\u1074?\u1077?\u1090?\u1072? \u1080? \u1054?\u1073?\u1097?\u1086?\u1090?\u1086? \u1089?\u1098?\u1073?\u1088?\u1072?\u1085?\u1080?\u1077? \u1085?\u1072? \u1052?\u1077?\u1078?\u1076?\u1091?\u1085?\u1072?\u1088?\u1086?\u1076?\u1085?\u1080?\u1103? \u1086?\u1088?\u1075?\u1072?\u1085? \u1079?\u1072? \u1084?\u1086?\u1088?\u1089?\u1082?\u1086?\u1090?\u1086? \u1076?\u1098?\u1085?\u1086?"/>
    <w:docVar w:name="LW_PART_NBR" w:val="&lt;UNUSED&gt;"/>
    <w:docVar w:name="LW_PART_NBR_TOTAL" w:val="&lt;UNUSED&gt;"/>
    <w:docVar w:name="LW_REF.INST.NEW" w:val="COM"/>
    <w:docVar w:name="LW_REF.INST.NEW_ADOPTED" w:val="final"/>
    <w:docVar w:name="LW_REF.INST.NEW_TEXT" w:val="(2021)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98B906-0DB5-4647-945B-91F93957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957</Words>
  <Characters>5381</Characters>
  <Application>Microsoft Office Word</Application>
  <DocSecurity>0</DocSecurity>
  <Lines>101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HOUDART Marie (MARE)</dc:creator>
  <cp:keywords/>
  <dc:description/>
  <cp:lastModifiedBy>WES PDFC Administrator</cp:lastModifiedBy>
  <cp:revision>9</cp:revision>
  <dcterms:created xsi:type="dcterms:W3CDTF">2020-12-09T13:32:00Z</dcterms:created>
  <dcterms:modified xsi:type="dcterms:W3CDTF">2020-12-14T12:23:00Z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