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0DAE31FC-44EE-4F6E-AAFD-82EEAE6D0A8E" style="width:451.35pt;height:365.3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rFonts w:eastAsia="Arial Unicode MS"/>
          <w:noProof/>
        </w:rPr>
      </w:pPr>
      <w:r>
        <w:rPr>
          <w:noProof/>
        </w:rPr>
        <w:t>Настоящото предложение се отнася до решението за установяване на позицията, която трябва да се заеме от името на Съюза на заседанията на Съвета и Общото събрание на Международния орган за морското дъно във връзка с предвиденото приемане и прилагане на правилата относно експлоатацията на минерални ресурси в района (ISBA/25/C/WP.1) и свързаните с това стандарти и насоки.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Проект за правила относно експлоатацията на минерални ресурси в района</w:t>
      </w:r>
    </w:p>
    <w:p>
      <w:pPr>
        <w:rPr>
          <w:noProof/>
        </w:rPr>
      </w:pPr>
      <w:r>
        <w:rPr>
          <w:noProof/>
        </w:rPr>
        <w:t>Целта на проекта за правила относно експлоатацията на минерални ресурси в района</w:t>
      </w:r>
      <w:r>
        <w:t xml:space="preserve"> </w:t>
      </w:r>
      <w:r>
        <w:rPr>
          <w:noProof/>
        </w:rPr>
        <w:t xml:space="preserve"> („правилата“) е да се позволи на контрагентите, занимаващи се с проучване на тези ресурси, да пристъпят към тяхната експлоатация. Проектът, който беше изготвен от Комисията по юридическите и техническите въпроси на Международния орган за морското дъно, беше разпространен през март 2019 г. и понастоящем се договаря от Съвета на Международния орган за морското дъно. Той е съобразен с част XI от Конвенцията на Организацията на обединените нации по морско право (UNCLOS) и Споразумението относно прилагането на част ХI на UNCLOS. Съгласно проекта определени въпроси следва да се разглеждат в съответствие със стандартите и насоките, които трябва да бъдат разработени от органите на Международния орган за морското дъно, или при отчитане на тези стандарти и насоки. Стандартите ще бъдат правно обвързващи за контрагентите и Международния орган за морското дъно, а насоките ще имат препоръчителен характер. Европейският съюз е страна по UNCLOS</w:t>
      </w:r>
      <w:r>
        <w:rPr>
          <w:rStyle w:val="FootnoteReference"/>
          <w:rFonts w:eastAsia="Arial Unicode MS"/>
          <w:noProof/>
        </w:rPr>
        <w:footnoteReference w:id="1"/>
      </w:r>
      <w:r>
        <w:rPr>
          <w:noProof/>
        </w:rPr>
        <w:t>. В съответствие с член 2 от Решение 98/392/ЕО на Съвета от 23 март 1998 г. Съюзът и неговите държави членки са длъжни да координират позициите си, които приемат в органите на Международния орган за морското дъно, в съответствие с процедурата, определена в приложение ІІІ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. </w:t>
      </w:r>
    </w:p>
    <w:p>
      <w:pPr>
        <w:rPr>
          <w:rFonts w:eastAsia="Arial Unicode MS"/>
          <w:noProof/>
        </w:rPr>
      </w:pP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Заседания на Съвета на Международния орган за морското дъно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Съветът е изпълнителният орган на Международния орган за морското дъно. В рамките на Съвета се извършват договарянето и последващото приемане на правилата, преди те да бъдат представени за окончателно одобрение на Общото събрание на Международния орган за морското дъно — върховният и политически орган, състоящ се от 167 членове и Европейския съюз. Съветът на Международния орган за морското дъно прилага правилата временно в очакване на одобрението на Общото събрание. Като страна по UNCLOS Европейският съюз автоматично е член на Общото събрание и наблюдател в Съвета на Международния орган за морското дъно, който се състои от 36 членове, избрани от Общото събрание. В общия случай вземането на решения в Съвета </w:t>
      </w:r>
      <w:r>
        <w:rPr>
          <w:noProof/>
        </w:rPr>
        <w:lastRenderedPageBreak/>
        <w:t xml:space="preserve">на Международния орган за морското дъно следва да се извършва с консенсус. Ако всички усилия за постигане на решение с консенсус са били изчерпани, решенията по процедурни въпроси се вземат с мнозинство от присъстващите и гласуващи членове, а решенията по въпроси по същество — с мнозинство от две трети от присъстващите и гласуващи членове. Като наблюдател в Съвета на Международния орган за морското дъно Европейският съюз няма право на глас. Той обаче има право на участие и право на глас в Общото събрание на Международния орган за морското дъно. 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Предвидено временно приемане на правилата от Съвета на Международния орган за морското дъно</w:t>
      </w:r>
    </w:p>
    <w:p>
      <w:pPr>
        <w:rPr>
          <w:rFonts w:eastAsia="Arial Unicode MS"/>
          <w:noProof/>
        </w:rPr>
      </w:pPr>
      <w:r>
        <w:rPr>
          <w:noProof/>
        </w:rPr>
        <w:t>Първият проект за правила беше представен на 23-тата сесия на Съвета на Международния орган за морското дъно през август 2017 г. Въпреки че Комисията по юридическите и техническите въпроси на Международния орган за морското дъно и Съветът бяха договорили график, чиято цел беше преговорите по правилата да приключат до 2020 г., поради пандемията от COVID-19 планираната за юли 2020 г. 26-а сесия на Съвета беше отложена за неопределено време.</w:t>
      </w:r>
    </w:p>
    <w:p>
      <w:pPr>
        <w:rPr>
          <w:noProof/>
        </w:rPr>
      </w:pPr>
      <w:r>
        <w:rPr>
          <w:noProof/>
        </w:rPr>
        <w:t xml:space="preserve">Предвидените правила ще бъдат правно обвързващи за страните в съответствие с UNCLOS и Споразумението от 1994 г. относно прилагането на част XI на UNCLOS. </w:t>
      </w:r>
    </w:p>
    <w:p>
      <w:pPr>
        <w:rPr>
          <w:b/>
          <w:noProof/>
        </w:rPr>
      </w:pPr>
      <w:r>
        <w:rPr>
          <w:b/>
          <w:noProof/>
        </w:rPr>
        <w:t xml:space="preserve">2.4 </w:t>
      </w:r>
      <w:r>
        <w:rPr>
          <w:noProof/>
        </w:rPr>
        <w:tab/>
      </w:r>
      <w:r>
        <w:rPr>
          <w:b/>
          <w:noProof/>
        </w:rPr>
        <w:t>Предвидено одобрение на правилата от Общото събрание на Международния орган за морското дъно</w:t>
      </w:r>
    </w:p>
    <w:p>
      <w:pPr>
        <w:rPr>
          <w:noProof/>
        </w:rPr>
      </w:pPr>
      <w:r>
        <w:rPr>
          <w:noProof/>
        </w:rPr>
        <w:t xml:space="preserve">След като Съветът на Международния орган за морското дъно приключи преговорите по правилата и е в състояние да ги приеме временно, тези правила ще бъдат внесени в Общото събрание за разглеждане и окончателно одобрение. </w:t>
      </w:r>
    </w:p>
    <w:p>
      <w:pPr>
        <w:pStyle w:val="ManualHeading1"/>
        <w:rPr>
          <w:rFonts w:eastAsia="Arial Unicode MS"/>
          <w:noProof/>
        </w:rPr>
      </w:pPr>
      <w:r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b/>
          <w:bCs/>
          <w:smallCaps/>
          <w:noProof/>
        </w:rPr>
      </w:pPr>
      <w:r>
        <w:rPr>
          <w:noProof/>
        </w:rPr>
        <w:t xml:space="preserve">Предвидените правила се отнасят също така до въпроси по същество, по които Съюзът има външна компетентност по силата на член 3, параграф 2 от Договора за функционирането на Европейския съюз (ДФЕС). </w:t>
      </w:r>
    </w:p>
    <w:p>
      <w:pPr>
        <w:rPr>
          <w:b/>
          <w:bCs/>
          <w:smallCaps/>
          <w:noProof/>
        </w:rPr>
      </w:pPr>
      <w:r>
        <w:rPr>
          <w:noProof/>
        </w:rPr>
        <w:t>По-конкретно ЕС има компетентност във връзка с елементите от правилата, които се отнасят до защитата на морската среда. В съответствие с член 3, параграф 2 от ДФЕС той разполага с външна компетентност за всеки отделен случай. На първо място, тази компетентност произтича от факта, че разпоредбите на UNCLOS, свързани с морската среда, са предвидени в законодателния акт за сключване на UNCLOS от името на Съюза</w:t>
      </w:r>
      <w:r>
        <w:rPr>
          <w:rStyle w:val="FootnoteReference"/>
          <w:rFonts w:eastAsia="Arial Unicode MS"/>
          <w:noProof/>
        </w:rPr>
        <w:footnoteReference w:id="3"/>
      </w:r>
      <w:r>
        <w:rPr>
          <w:noProof/>
        </w:rPr>
        <w:t>. На второ място, тя произтича от необходимостта Съюзът да предприеме действия по отношение на правилата, за да може да упражни вътрешната си компетентност (например в случай на придобита компетентност в областта на околната среда). Накрая, ЕС разполага с външна компетентност, тъй като някои разпоредби на правилата могат да засегнат общите норми или да променят техния обхват. В този случай достиженията на правото на ЕС (по-специално във връзка с неговото вторично законодателство в областта на околната среда и други международни споразумения, по които ЕС е пълноправна страна) са обхванати или могат да бъдат засегнати от елементи на проекта за правила (или на свързаните с тях стандарти и насоки), които предоставят на ЕС компетентност по отношение на тези конкретни елементи, като в някои случаи тя е изключителна.</w:t>
      </w:r>
    </w:p>
    <w:p>
      <w:pPr>
        <w:rPr>
          <w:b/>
          <w:bCs/>
          <w:smallCaps/>
          <w:noProof/>
        </w:rPr>
      </w:pPr>
      <w:r>
        <w:rPr>
          <w:noProof/>
        </w:rPr>
        <w:t xml:space="preserve">Вследствие на това ЕС има право да заеме позиция в рамките на Международния орган за морското дъно по отношение на съответните елементи на правилата, които са </w:t>
      </w:r>
      <w:r>
        <w:rPr>
          <w:noProof/>
        </w:rPr>
        <w:lastRenderedPageBreak/>
        <w:t xml:space="preserve">представени в тази декларация, и на свързаните с тях стандарти и насоки. Наред с това в съответствие с принципа на лоялно сътрудничество държавите членки са длъжни да действат по определен начин в рамките на процедурите на Международния орган за морското дъно.  </w:t>
      </w:r>
    </w:p>
    <w:p>
      <w:pPr>
        <w:rPr>
          <w:b/>
          <w:bCs/>
          <w:smallCaps/>
          <w:noProof/>
        </w:rPr>
      </w:pPr>
      <w:r>
        <w:rPr>
          <w:noProof/>
        </w:rPr>
        <w:t>Предлага се позицията, която трябва да се заеме от името на Съюза на заседанията на Съвета и Общото събрание на Международния орган за морското дъно, да бъде установена чрез двустепенен подход. Ръководните принципи и насоки на позицията на Съюза ще бъдат определени в решение на Съвета, което впоследствие ще се адаптира за всяко заседание чрез неофициални документи, изготвени от Комисията и предназначени за обсъждане в работната група на Съвета.</w:t>
      </w:r>
    </w:p>
    <w:p>
      <w:pPr>
        <w:pStyle w:val="Text1"/>
        <w:ind w:left="0"/>
        <w:rPr>
          <w:noProof/>
        </w:rPr>
      </w:pPr>
      <w:r>
        <w:rPr>
          <w:noProof/>
        </w:rPr>
        <w:t>В настоящото решение са включени принципите на UNCLOS и целите на Европейския зелен пакт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и стратегията за биологичното разнообразие</w:t>
      </w:r>
      <w:r>
        <w:rPr>
          <w:rStyle w:val="FootnoteReference"/>
          <w:noProof/>
        </w:rPr>
        <w:footnoteReference w:id="5"/>
      </w:r>
      <w:r>
        <w:rPr>
          <w:noProof/>
        </w:rPr>
        <w:t>, както се призовава в заключенията на Съвета на тема „Подготовка на глобалната рамка за биологичното разнообразие за периода след 2020 г., Конвенция за биологичното разнообразие (КБР)“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. </w:t>
      </w:r>
    </w:p>
    <w:p>
      <w:pPr>
        <w:rPr>
          <w:noProof/>
        </w:rPr>
      </w:pPr>
      <w:r>
        <w:t xml:space="preserve"> </w:t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3.1.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3.1.1.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 218, параграф 9 от ДФЕС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>Понятието „актове с правно действие“ включва актове с правно действие по силата на нормите на международното право, които уреждат съответния орган. То включва и инструменти, които нямат обвързващ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</w:rPr>
        <w:footnoteReference w:id="7"/>
      </w:r>
      <w:r>
        <w:rPr>
          <w:noProof/>
        </w:rPr>
        <w:t>.</w:t>
      </w:r>
    </w:p>
    <w:p>
      <w:pPr>
        <w:rPr>
          <w:noProof/>
        </w:rPr>
      </w:pPr>
    </w:p>
    <w:p>
      <w:pPr>
        <w:pStyle w:val="ManualHeading3"/>
        <w:rPr>
          <w:noProof/>
        </w:rPr>
      </w:pPr>
      <w:r>
        <w:t>3.1.2.</w:t>
      </w:r>
      <w:r>
        <w:tab/>
      </w:r>
      <w:r>
        <w:rPr>
          <w:noProof/>
        </w:rPr>
        <w:t>Прилагане в конкретния случай</w:t>
      </w:r>
    </w:p>
    <w:p>
      <w:pPr>
        <w:rPr>
          <w:noProof/>
        </w:rPr>
      </w:pPr>
      <w:r>
        <w:rPr>
          <w:noProof/>
        </w:rPr>
        <w:t xml:space="preserve">Съветът и Общото събрание на Международния орган за морското дъно са два от трите основни органа на Международния орган за морското дъно, учредени по силата на член 158 от UNCLOS. </w:t>
      </w:r>
    </w:p>
    <w:p>
      <w:r>
        <w:rPr>
          <w:noProof/>
        </w:rPr>
        <w:t>Правилата, които Съветът на Международния орган за морското дъно има за задача да приеме временно, представляват актове с правно действие. Окончателното одобрение на правилата от Общото събрание на Международния орган за морското дъно също представлява акт с правно действие. Предвидените актове ще бъдат обвързващи съгласно международното право в съответствие с членове 145, 153 и 162 от UNCLOS и със Споразумението относно прилагането на част XI на UNCLOS.</w:t>
      </w:r>
    </w:p>
    <w:p>
      <w:pPr>
        <w:rPr>
          <w:noProof/>
        </w:rPr>
      </w:pPr>
      <w:r>
        <w:rPr>
          <w:noProof/>
        </w:rPr>
        <w:lastRenderedPageBreak/>
        <w:t>Предвидените актове не допълват, нито изменят институционалната рамка на споразумението.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t>3.2.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3.2.1.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 xml:space="preserve"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</w:t>
      </w:r>
    </w:p>
    <w:p>
      <w:pPr>
        <w:pStyle w:val="ManualHeading3"/>
        <w:rPr>
          <w:noProof/>
        </w:rPr>
      </w:pPr>
      <w:r>
        <w:t>3.2.2.</w:t>
      </w:r>
      <w:r>
        <w:tab/>
      </w:r>
      <w:r>
        <w:rPr>
          <w:noProof/>
        </w:rPr>
        <w:t>Прилагане в конкретния случай</w:t>
      </w:r>
    </w:p>
    <w:p>
      <w:pPr>
        <w:rPr>
          <w:noProof/>
        </w:rPr>
      </w:pPr>
      <w:r>
        <w:rPr>
          <w:noProof/>
        </w:rPr>
        <w:t>Основната цел и съдържанието на предвидения акт са свързани с политиката в областта на околната среда.</w:t>
      </w:r>
    </w:p>
    <w:p>
      <w:pPr>
        <w:rPr>
          <w:noProof/>
        </w:rPr>
      </w:pPr>
      <w:r>
        <w:rPr>
          <w:noProof/>
        </w:rPr>
        <w:t>Поради това материалноправното основание за предложеното решение е член 191 от ДФЕС.</w:t>
      </w:r>
    </w:p>
    <w:p>
      <w:pPr>
        <w:rPr>
          <w:noProof/>
        </w:rPr>
      </w:pPr>
    </w:p>
    <w:p>
      <w:pPr>
        <w:pStyle w:val="ManualHeading2"/>
        <w:rPr>
          <w:noProof/>
        </w:rPr>
      </w:pPr>
      <w:r>
        <w:t>3.3.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следва да бъде член 191 от ДФЕС във връзка с член 218, параграф 9 от него.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2020/0372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на заседанията на Съвета и Общото събрание на Международния орган за морското дъно</w:t>
      </w:r>
    </w:p>
    <w:p>
      <w:pPr>
        <w:pStyle w:val="Institutionquiagit"/>
        <w:rPr>
          <w:b/>
          <w:noProof/>
        </w:rPr>
      </w:pPr>
      <w:r>
        <w:rPr>
          <w:b/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191 във връзка с член 218, параграф 9 от него,</w:t>
      </w:r>
      <w:r>
        <w:t xml:space="preserve"> 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имат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 xml:space="preserve">Конвенцията на Организацията на обединените нации по морско право (UNCLOS) и Споразумението от 28 юли 1994 г. относно прилагането на част XI от нея („споразумението“) бяха сключени от Съюза с Решение 98/392/ЕО на Съвета от 23 март 1998 г.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Съгласно член 162, параграф 2, буква о), подточка ii) от UNCLOS Съветът на Международния орган за морското дъно може да приема и прилага временно до утвърждаването от Общото събрание нормите, правилата и процедурите на органа и техните изменения, като взема под внимание препоръките на Комисията по юридическите и техническите въпроси или на другите заинтересовани подчинени органи. Тези норми, правила и процедури се отнасят към търсенето, промишленото проучване и експлоатацията в района и финансовото управление и вътрешната администрация на органа.</w:t>
      </w:r>
    </w:p>
    <w:p>
      <w:pPr>
        <w:pStyle w:val="ManualConsidrant"/>
        <w:rPr>
          <w:noProof/>
          <w:szCs w:val="24"/>
        </w:rPr>
      </w:pPr>
      <w:r>
        <w:t>(3)</w:t>
      </w:r>
      <w:r>
        <w:tab/>
      </w:r>
      <w:r>
        <w:rPr>
          <w:noProof/>
        </w:rPr>
        <w:t xml:space="preserve">По време на предстоящите си заседания Съветът на Международния орган за морското дъно трябва да приеме правила относно експлоатацията на минерални ресурси в района. </w:t>
      </w:r>
    </w:p>
    <w:p>
      <w:pPr>
        <w:pStyle w:val="ManualConsidrant"/>
        <w:rPr>
          <w:noProof/>
          <w:szCs w:val="24"/>
        </w:rPr>
      </w:pPr>
      <w:r>
        <w:t>(4)</w:t>
      </w:r>
      <w:r>
        <w:tab/>
      </w:r>
      <w:r>
        <w:rPr>
          <w:noProof/>
        </w:rPr>
        <w:t>Съгласно член 160, параграф 2, буква е), подточка ii) от UNCLOS Общото събрание на Международния орган за морското дъно може да разглежда и утвърждава нормите, правилата и процедурите на органа и всички поправки към тях, приети временно от Съвета съгласно член 162, параграф 2, буква о), подточка ii). Тези норми, правила и процедури се отнасят към търсенето, промишленото проучване и експлоатацията в района и финансовото управление и вътрешната администрация на органа.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Целесъобразно е да се установи позицията, която трябва да се заеме от името на Съюза в рамките на Съвета и Общото събрание на Международния орган за морското дъно, тъй като предвидените правила ще бъдат обвързващи за Съюза като страна по UNCLOS и Споразумението относно прилагането на част XI на UNCLOS.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 xml:space="preserve">Също така е целесъобразно да се определи позицията, която трябва да се заеме от името на Съюза в рамките на Съвета и Общото събрание на Международния орган за морското дъно, тъй като правилата относно експлоатацията на </w:t>
      </w:r>
      <w:r>
        <w:rPr>
          <w:noProof/>
        </w:rPr>
        <w:lastRenderedPageBreak/>
        <w:t xml:space="preserve">минерални ресурси в района ще бъдат обвързващи за Съюза и могат да окажат съществено въздействие върху съдържанието на неговото законодателство — по-специално в областта на опазването на морската среда. 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 xml:space="preserve">По въпросите, свързани с опазването на морската среда, ЕС и неговите държави членки са длъжни да се придържат към принципа на предпазните мерки (член 191 от Договора за функционирането на Европейския съюз) и екосистемния подход (член 3, точки 4 и 5 и член 10 от Директива 2008/56/ЕО, както и приложения I и VI към нея, член 2, параграф 3 от Регламент (ЕС) № 1380/2013 и член 5 от Директива 2014/89/ЕС). Тази правна рамка обуславя съдържанието на предложената позиция, която трябва да се заеме от името на Съюза.   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 xml:space="preserve">Доколкото Съюзът не е в състояние да изразява пълноправно позицията си в рамките на Съвета на Международния орган за морското дъно поради ограничения си статут на наблюдател, тази позиция се изразява от неговите държави членки, които членуват и в Съвета на Международния орган за морското дъно, 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Позицията, която трябва да се заеме от името на Съюза на заседанията на Съвета и Общото събрание на Международния орган за морското дъно, е изложена в приложението.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Посочената в член 1 позиция на Съюза в рамките на Съвета на Международния орган за морското дъно се изразява и поддържа от неговите държави членки, които членуват и в Съвета на Международния орган за морското дъно, винаги когато Съюзът не е в състояние да изрази пълноправно тази позиция поради ограничения си статут на наблюдател.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Адресати на настоящото решение са Комисията и държавите членки.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Съвета 98/392/ЕО от 23 март 1998 г. за сключване от Европейската общност на Конвенция на Организацията на обединените нации по морско право от 10 декември 1982 г. и на Споразумението от 28 юли 1994 г. по отношение прилагането на част ХI от Конвенцията (ОВ L 179, 23.6.1998 г., стр. 1).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 xml:space="preserve">„Нормална“ процедура за позиции по въпроси от компетентността на Общността и процедура съгласно дял V от Договора за Европейския съюз по въпроси, попадащи в обхвата на външната политика на ЕС. 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Решение 98/392/ЕО на Съвета.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COM/2019/640 final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COM/2020/380 final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https://data.consilium.europa.eu/doc/document/ST-15272-2019-INIT/bg/pdf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на Европейския съюз от 7 октомври 2014 г., Германия/Съвет, C-399/12, ECLI:EU:C:2014:2258, т. 61—64.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8161C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7CC62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7180F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D58CC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906453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EB6B7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09652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4508E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en-IE" w:vendorID="64" w:dllVersion="131078" w:nlCheck="1" w:checkStyle="1"/>
  <w:attachedTemplate r:id="rId1"/>
  <w:revisionView w:markup="0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2-14 13:22:2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8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0DAE31FC-44EE-4F6E-AAFD-82EEAE6D0A8E"/>
    <w:docVar w:name="LW_COVERPAGE_TYPE" w:val="1"/>
    <w:docVar w:name="LW_CROSSREFERENCE" w:val="&lt;UNUSED&gt;"/>
    <w:docVar w:name="LW_DocType" w:val="COM"/>
    <w:docVar w:name="LW_EMISSION" w:val="5.1.2021"/>
    <w:docVar w:name="LW_EMISSION_ISODATE" w:val="2021-01-05"/>
    <w:docVar w:name="LW_EMISSION_LOCATION" w:val="BRX"/>
    <w:docVar w:name="LW_EMISSION_PREFIX" w:val="Брюксел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72"/>
    <w:docVar w:name="LW_REF.II.NEW.CP_YEAR" w:val="2020"/>
    <w:docVar w:name="LW_REF.INST.NEW" w:val="COM"/>
    <w:docVar w:name="LW_REF.INST.NEW_ADOPTED" w:val="final"/>
    <w:docVar w:name="LW_REF.INST.NEW_TEXT" w:val="(2021) 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85?\u1072? \u1079?\u1072?\u1089?\u1077?\u1076?\u1072?\u1085?\u1080?\u1103?\u1090?\u1072? \u1085?\u1072? \u1057?\u1098?\u1074?\u1077?\u1090?\u1072? \u1080? \u1054?\u1073?\u1097?\u1086?\u1090?\u1086? \u1089?\u1098?\u1073?\u1088?\u1072?\u1085?\u1080?\u1077? \u1085?\u1072? \u1052?\u1077?\u1078?\u1076?\u1091?\u1085?\u1072?\u1088?\u1086?\u1076?\u1085?\u1080?\u1103? \u1086?\u1088?\u1075?\u1072?\u1085? \u1079?\u1072? \u1084?\u1086?\u1088?\u1089?\u1082?\u1086?\u1090?\u1086? \u1076?\u1098?\u1085?\u1086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before="0" w:after="160"/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 w:cs="Times New Roman"/>
      <w:sz w:val="20"/>
      <w:szCs w:val="20"/>
      <w:lang w:val="bg-BG"/>
    </w:rPr>
  </w:style>
  <w:style w:type="character" w:customStyle="1" w:styleId="Hyperlink1">
    <w:name w:val="Hyperlink1"/>
    <w:basedOn w:val="DefaultParagraphFont"/>
    <w:uiPriority w:val="99"/>
    <w:unhideWhenUsed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before="0" w:after="160"/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 w:cs="Times New Roman"/>
      <w:sz w:val="20"/>
      <w:szCs w:val="20"/>
      <w:lang w:val="bg-BG"/>
    </w:rPr>
  </w:style>
  <w:style w:type="character" w:customStyle="1" w:styleId="Hyperlink1">
    <w:name w:val="Hyperlink1"/>
    <w:basedOn w:val="DefaultParagraphFont"/>
    <w:uiPriority w:val="99"/>
    <w:unhideWhenUsed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040FE-9443-4118-9212-92085DAD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7</Pages>
  <Words>2036</Words>
  <Characters>11198</Characters>
  <Application>Microsoft Office Word</Application>
  <DocSecurity>0</DocSecurity>
  <Lines>219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DIGIT/C6</cp:lastModifiedBy>
  <cp:revision>19</cp:revision>
  <dcterms:created xsi:type="dcterms:W3CDTF">2020-12-09T13:25:00Z</dcterms:created>
  <dcterms:modified xsi:type="dcterms:W3CDTF">2020-12-14T12:22:00Z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