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9F4C91B-A24F-437E-B5F8-C5770EDF1743" style="width:450.8pt;height:348.3pt">
            <v:imagedata r:id="rId9" o:title=""/>
          </v:shape>
        </w:pict>
      </w:r>
    </w:p>
    <w:bookmarkEnd w:id="0"/>
    <w:p>
      <w:pPr>
        <w:spacing w:line="360" w:lineRule="auto"/>
        <w:rPr>
          <w:rFonts w:ascii="Times New Roman" w:hAnsi="Times New Roman" w:cs="Times New Roman"/>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36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w:t>
      </w:r>
    </w:p>
    <w:p>
      <w:pPr>
        <w:spacing w:before="120" w:after="120" w:line="36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относно съвместния преглед на прилагането на 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Въведение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влезе в сила на 1 юни 2012 г. Съгласно член 24, параграф 2 от Споразумението между ЕС и Австралия относно PNR страните извършват съвместен преглед на прилагането на Споразумението и на всички свързани въпроси една година след влизането му в сила и редовно след това.</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Съвместният преглед се основаваше на методиката, разработена между екипите на ЕС и Австралия за първия съвместен преглед на Споразумението, осъществен в Канбера на 29—30 август 2013 г. Резултатът бе докладван от Комисията на Европейския парламент и Съвета през 2014 г.</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Вторият съвместен преглед на Споразумението беше проведен на 14 август 2019 г. в Канбера заедно със съвместната оценка на същото споразумение</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xml:space="preserve">. Процесът на подготовка за съвместния преглед и последващия доклад е очертан в края на настоящия доклад. Работният документ на службите на Комисията, придружаващ настоящия доклад, предоставя по-подробна информация и изчерпателен анализ на всички въпроси, обхванати от този съвместен преглед. </w:t>
      </w:r>
    </w:p>
    <w:p>
      <w:pPr>
        <w:keepNext/>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Процес на подготовка за съвместния преглед и доклада</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Преди извършването на съвместния преглед, на 28 юни 2019 г. Комисията изпрати въпросник на Министерството на вътрешните работи (по-нататък „министерството“) на Австралия. Въпросникът съдържаше конкретни въпроси във връзка с изпълнението на Споразумението от страна на министерството и относно организационните промени в австралийската система. Министерството предостави проект на писмени отговори на въпросника преди съвместния преглед, а след това — окончателна консолидирана версия. </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Екипът на ЕС проведе посещението за съвместния преглед на 14 август 2019 г. и бе допуснат в помещенията на министерството. Екипът на ЕС не получи достъп до система за обработка на PNR данни.</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По искане на министерството всички членове на екипа на ЕС подписаха споразумение за поверителност като условие за участието им в прегледа.</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Отговорите на въпросника бяха обсъдени подробно с министерството. Освен това екипът на ЕС имаше възможността да повдигне допълнителни въпроси пред служителите на министерството и да обсъди различните аспекти на Споразумението.</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Констатациите на екипа на ЕС бяха изложени в придружаващия работен документ на службите на Комисията, който беше също така споделен с министерството, предоставяйки на австралийската страна възможността да коментира неточности и да посочи информацията, която не може да бъде разкрита пред обществеността. </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Изпълнение на препоръките от 2013 г.</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Всички препоръки от прегледа от 2013 г. са или приключени, или работата по тях продължава.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В рамките на съвместния преглед от 2013 г. общата констатация бе, че Австралия е изпълнила изцяло Споразумението, зачитала задълженията си по отношение на гаранциите за защита на данните съгласно Споразумението и обработвала PNR данните при спазване на определените в него строги условия. По-конкретно беше демонстрирано, че Австралия не е обработвала чувствителните данни, съдържащи се в PNR данните, получени по силата на Споразумението, и се е стремила дейно да подобри допълнително автоматизираното установяване и заличаване на чувствителните данни, получени от въздушни превозвачи. Освен това бе показано, че с целенасочения начин, по който Австралия е оценявала PNR данните спрямо показатели за риска, достъпът до лични данни се свежда ефективно до минимум. И накрая, обработката на PNR данни, която се извършва по силата на Споразумението, е подлежала на независим надзор на високо равнище от страна на Службата на комисаря по информацията на Австралия.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Редом с това екипът на ЕС бе приканил Австралия да въведе мерки, с които да се гарантира, че след изтичането на три години всички елементи от данните, които биха могли да послужат за идентифициране на пътника, до когото се отнасят резервационните данни, биват прикривани. Тези мерки са били изпълнени преди прегледа от 2019 г., като всекидневно се извършва автоматизиран процес, за да се открият данните, при които са изминали три години от получаването им.</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При прегледа от 2013 г. бе препоръчано Австралия да създаде механизъм за докладване, с който Австралия ще може да информира държавите членки дали PNR данните, получени по силата на Споразумението, или аналитичната информация, съдържаща такива данни, в крайна сметка се споделят с трета държава. В съответствие с информацията, предоставена по време на прегледа от 2019 г., екипът на ЕС счита, че могат да бъдат направени допълнителни подобрения за разработването на механизми за докладване, като отправи препоръка в това отношение. Освен това при прегледа от 2013 г. бе препоръчано Австралия да обезпечава, че предвидените в Споразумението гаранции обхващат също така и извлечените PNR данни. Съгласно информацията, предоставена по време на прегледа от 2019 г., споделянето на информация с PNR данни трябва да отговаря на конкретни разпоредби за разкриване в допълнение към условията на Споразумението за PNR данните, като за извлечените данни, предавани на партньорски правоприлагащи органи се прилага съответно предупреждение. При прегледа от 2013 г. бе препоръчано също Австралия да засили усилията си за осигуряване на реципрочност и да споделя проактивно с държавите членки аналитична информация, получена от PNR данни, а когато е целесъобразно — с Европол и Евроюст. При все че са направени подобрения и макар че министерството напълно спазва разпоредбите на Споразумението съгласно член 6 относно полицейското и съдебното сътрудничество, екипът на ЕС отбелязва, че все още има възможност за подобрение и сътрудничество с държавите — членки на ЕС, Европол и Евроюст. </w:t>
      </w:r>
    </w:p>
    <w:p>
      <w:pPr>
        <w:spacing w:line="360" w:lineRule="auto"/>
        <w:jc w:val="both"/>
        <w:rPr>
          <w:rFonts w:ascii="Times New Roman" w:hAnsi="Times New Roman" w:cs="Times New Roman"/>
          <w:noProof/>
          <w:sz w:val="24"/>
          <w:szCs w:val="24"/>
          <w:u w:val="single"/>
        </w:rPr>
      </w:pPr>
      <w:r>
        <w:rPr>
          <w:rFonts w:ascii="Times New Roman" w:hAnsi="Times New Roman"/>
          <w:noProof/>
          <w:sz w:val="24"/>
          <w:szCs w:val="24"/>
          <w:u w:val="single"/>
        </w:rPr>
        <w:t>Резултати от съвместния преглед от 2019 г.</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Екипът на ЕС установява за пореден път, че Австралия изпълнява Споразумението в съответствие с посочените в него условия. Министерството зачита своите задължения, що се отнася до гаранциите за защита на данните, и обработва PNR данните при спазване на определените в Споразумението строги условия. Министерството спазва задължението за недискриминация и задължението да не обработва чувствителни данни. Освен това министерството изпълнява задължението си да предоставя право на достъп, поправка, заличаване и защита, а обработката на PNR данните подлежи на независим надзор от страна на Службата на комисаря по информацията на Австралия. </w:t>
      </w:r>
    </w:p>
    <w:p>
      <w:pPr>
        <w:spacing w:line="360" w:lineRule="auto"/>
        <w:jc w:val="both"/>
        <w:rPr>
          <w:rFonts w:ascii="Times New Roman" w:hAnsi="Times New Roman" w:cs="Times New Roman"/>
          <w:noProof/>
          <w:spacing w:val="-4"/>
          <w:sz w:val="24"/>
          <w:szCs w:val="24"/>
        </w:rPr>
      </w:pPr>
      <w:r>
        <w:rPr>
          <w:rFonts w:ascii="Times New Roman" w:hAnsi="Times New Roman"/>
          <w:noProof/>
          <w:spacing w:val="-4"/>
          <w:sz w:val="24"/>
          <w:szCs w:val="24"/>
        </w:rPr>
        <w:t>Независимо от това, Австралия се приканва да вземе под внимание следните препоръки:</w:t>
      </w:r>
    </w:p>
    <w:p>
      <w:pPr>
        <w:pStyle w:val="ListParagraph"/>
        <w:numPr>
          <w:ilvl w:val="0"/>
          <w:numId w:val="6"/>
        </w:num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Да подобри процесът на споделяне на PNR данни и оперативно сътрудничество между Европол, Евроюст, компетентните органи на държавите членки и австралийските компетентни органи. </w:t>
      </w:r>
    </w:p>
    <w:p>
      <w:pPr>
        <w:pStyle w:val="ListParagraph"/>
        <w:numPr>
          <w:ilvl w:val="0"/>
          <w:numId w:val="6"/>
        </w:numPr>
        <w:spacing w:line="360" w:lineRule="auto"/>
        <w:jc w:val="both"/>
        <w:rPr>
          <w:rFonts w:ascii="Times New Roman" w:hAnsi="Times New Roman" w:cs="Times New Roman"/>
          <w:noProof/>
          <w:sz w:val="24"/>
          <w:szCs w:val="24"/>
        </w:rPr>
      </w:pPr>
      <w:r>
        <w:rPr>
          <w:rFonts w:ascii="Times New Roman" w:hAnsi="Times New Roman"/>
          <w:noProof/>
          <w:sz w:val="24"/>
          <w:szCs w:val="24"/>
        </w:rPr>
        <w:t>Да въведе механизми, целящи незабавното заличаване на чувствителни данни, ако такива са предадени от въздушните превозвачи. Екипът на ЕС отчита потвърждението, получено междувременно от министерството, че вече е започнала работа по въвеждането на тези механизми.</w:t>
      </w:r>
    </w:p>
    <w:p>
      <w:pPr>
        <w:pStyle w:val="ListParagraph"/>
        <w:numPr>
          <w:ilvl w:val="0"/>
          <w:numId w:val="6"/>
        </w:numPr>
        <w:spacing w:line="360" w:lineRule="auto"/>
        <w:jc w:val="both"/>
        <w:rPr>
          <w:rFonts w:ascii="Times New Roman" w:hAnsi="Times New Roman" w:cs="Times New Roman"/>
          <w:noProof/>
          <w:sz w:val="24"/>
          <w:szCs w:val="24"/>
        </w:rPr>
      </w:pPr>
      <w:r>
        <w:rPr>
          <w:rFonts w:ascii="Times New Roman" w:hAnsi="Times New Roman"/>
          <w:noProof/>
          <w:sz w:val="24"/>
          <w:szCs w:val="24"/>
        </w:rPr>
        <w:t>Да гарантира ограничаването на правата на достъп на длъжностни лица до PNR данните.</w:t>
      </w:r>
    </w:p>
    <w:p>
      <w:pPr>
        <w:pStyle w:val="ListParagraph"/>
        <w:numPr>
          <w:ilvl w:val="0"/>
          <w:numId w:val="6"/>
        </w:numPr>
        <w:spacing w:after="0" w:line="360" w:lineRule="auto"/>
        <w:jc w:val="both"/>
        <w:rPr>
          <w:rFonts w:ascii="Times New Roman" w:hAnsi="Times New Roman" w:cs="Times New Roman"/>
          <w:noProof/>
          <w:sz w:val="24"/>
          <w:szCs w:val="24"/>
        </w:rPr>
      </w:pPr>
      <w:r>
        <w:rPr>
          <w:rFonts w:ascii="Times New Roman" w:hAnsi="Times New Roman"/>
          <w:noProof/>
          <w:sz w:val="24"/>
          <w:szCs w:val="24"/>
        </w:rPr>
        <w:t>Във връзка с периодичните оценки, извършвани от Службата на комисаря по информацията на Австралия, да включи също спазването на други релевантни принципи в контекста на обработването на PNR данните, като трансграничното разкриване на лични данни или заличаването на чувствителни данни.</w:t>
      </w:r>
    </w:p>
    <w:p>
      <w:pPr>
        <w:numPr>
          <w:ilvl w:val="0"/>
          <w:numId w:val="6"/>
        </w:numPr>
        <w:spacing w:after="0" w:line="360" w:lineRule="auto"/>
        <w:jc w:val="both"/>
        <w:rPr>
          <w:rFonts w:ascii="Times New Roman" w:eastAsia="Times New Roman" w:hAnsi="Times New Roman" w:cs="Times New Roman"/>
          <w:noProof/>
          <w:sz w:val="24"/>
          <w:szCs w:val="24"/>
        </w:rPr>
      </w:pPr>
      <w:r>
        <w:rPr>
          <w:rFonts w:ascii="Times New Roman" w:hAnsi="Times New Roman"/>
          <w:noProof/>
          <w:sz w:val="24"/>
          <w:szCs w:val="24"/>
        </w:rPr>
        <w:t>Да въведе последващи мерки за контрол, за да гарантира, че всички условия по член 18 са изпълнени, по-специално относно специфичните ограничения за достъпа, използването и допълнителното разкриване на информацията.</w:t>
      </w:r>
    </w:p>
    <w:p>
      <w:pPr>
        <w:pStyle w:val="ListParagraph"/>
        <w:numPr>
          <w:ilvl w:val="0"/>
          <w:numId w:val="6"/>
        </w:numPr>
        <w:spacing w:after="0" w:line="360" w:lineRule="auto"/>
        <w:jc w:val="both"/>
        <w:rPr>
          <w:rFonts w:ascii="Times New Roman" w:hAnsi="Times New Roman" w:cs="Times New Roman"/>
          <w:noProof/>
          <w:sz w:val="24"/>
          <w:szCs w:val="24"/>
        </w:rPr>
      </w:pPr>
      <w:r>
        <w:rPr>
          <w:rFonts w:ascii="Times New Roman" w:hAnsi="Times New Roman"/>
          <w:noProof/>
          <w:sz w:val="24"/>
          <w:szCs w:val="24"/>
        </w:rPr>
        <w:t>Да спазва своите ангажименти за създаване на механизъм за докладване с цел предоставяне на информация в съответствие с член 19 и съвместната декларация към Споразумението, включително на държави — членки на ЕС, когато данните на гражданин на Европейския съюз или на лице, пребиваващо в Европейския съюз, се предават на трета държава.</w:t>
      </w:r>
    </w:p>
    <w:p>
      <w:pPr>
        <w:pStyle w:val="ListParagraph"/>
        <w:numPr>
          <w:ilvl w:val="0"/>
          <w:numId w:val="6"/>
        </w:numPr>
        <w:spacing w:line="360" w:lineRule="auto"/>
        <w:jc w:val="both"/>
        <w:rPr>
          <w:rFonts w:ascii="Times New Roman" w:hAnsi="Times New Roman" w:cs="Times New Roman"/>
          <w:noProof/>
          <w:sz w:val="24"/>
        </w:rPr>
      </w:pPr>
      <w:r>
        <w:rPr>
          <w:rFonts w:ascii="Times New Roman" w:hAnsi="Times New Roman"/>
          <w:noProof/>
          <w:sz w:val="24"/>
        </w:rPr>
        <w:t>Да подобри допълнително информацията за пътниците по отношение на обработката на PNR данните и да насърчава въздушните превозвачи да предоставят на пътниците информация във връзка със събирането, обработката и целта на използването на PNR данните.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9172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5" w:hanging="425"/>
        <w:jc w:val="both"/>
        <w:rPr>
          <w:rFonts w:ascii="Times New Roman" w:hAnsi="Times New Roman" w:cs="Times New Roman"/>
        </w:rPr>
      </w:pPr>
      <w:r>
        <w:rPr>
          <w:rStyle w:val="FootnoteReference"/>
        </w:rPr>
        <w:footnoteRef/>
      </w:r>
      <w:r>
        <w:t xml:space="preserve"> </w:t>
      </w:r>
      <w:r>
        <w:rPr>
          <w:sz w:val="22"/>
        </w:rPr>
        <w:tab/>
      </w:r>
      <w:r>
        <w:rPr>
          <w:rFonts w:ascii="Times New Roman" w:hAnsi="Times New Roman"/>
        </w:rPr>
        <w:t>Споразумение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ОВ L 186, 14.7.2012 г., стр. 4.</w:t>
      </w:r>
    </w:p>
  </w:footnote>
  <w:footnote w:id="3">
    <w:p>
      <w:pPr>
        <w:spacing w:after="0"/>
        <w:ind w:left="425" w:hanging="425"/>
        <w:jc w:val="both"/>
        <w:rPr>
          <w:rFonts w:ascii="Times New Roman" w:hAnsi="Times New Roman" w:cs="Times New Roman"/>
          <w:sz w:val="18"/>
          <w:szCs w:val="20"/>
        </w:rPr>
      </w:pPr>
      <w:r>
        <w:rPr>
          <w:rStyle w:val="FootnoteReference"/>
          <w:sz w:val="20"/>
          <w:szCs w:val="20"/>
        </w:rPr>
        <w:footnoteRef/>
      </w:r>
      <w:r>
        <w:rPr>
          <w:rStyle w:val="FootnoteReference"/>
          <w:sz w:val="24"/>
          <w:szCs w:val="20"/>
        </w:rPr>
        <w:t xml:space="preserve"> </w:t>
      </w:r>
      <w:r>
        <w:rPr>
          <w:rStyle w:val="FootnoteReference"/>
          <w:sz w:val="24"/>
          <w:szCs w:val="20"/>
        </w:rPr>
        <w:tab/>
      </w:r>
      <w:r>
        <w:rPr>
          <w:rFonts w:ascii="Times New Roman" w:hAnsi="Times New Roman"/>
          <w:sz w:val="20"/>
          <w:szCs w:val="20"/>
        </w:rPr>
        <w:t>Доклад на Комисията до Европейския парламент и Съвета относно съвместния преглед на изпълнението на 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COM/2014/0458 final.</w:t>
      </w:r>
    </w:p>
  </w:footnote>
  <w:footnote w:id="4">
    <w:p>
      <w:pPr>
        <w:pStyle w:val="FootnoteText"/>
        <w:ind w:left="425" w:hanging="425"/>
        <w:jc w:val="both"/>
        <w:rPr>
          <w:rFonts w:ascii="Times New Roman" w:hAnsi="Times New Roman" w:cs="Times New Roman"/>
          <w:sz w:val="18"/>
        </w:rPr>
      </w:pPr>
      <w:r>
        <w:rPr>
          <w:rStyle w:val="FootnoteReference"/>
          <w:sz w:val="18"/>
        </w:rPr>
        <w:footnoteRef/>
      </w:r>
      <w:r>
        <w:rPr>
          <w:rStyle w:val="FootnoteReference"/>
          <w:sz w:val="18"/>
        </w:rPr>
        <w:t xml:space="preserve"> </w:t>
      </w:r>
      <w:r>
        <w:rPr>
          <w:rStyle w:val="FootnoteReference"/>
          <w:sz w:val="18"/>
        </w:rPr>
        <w:tab/>
      </w:r>
      <w:r>
        <w:rPr>
          <w:rFonts w:ascii="Times New Roman" w:hAnsi="Times New Roman"/>
        </w:rPr>
        <w:t>Доклад на Комисията до Европейския парламент и Съвета относно съвместния преглед на изпълнението на 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COM(2020)702.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6B"/>
    <w:multiLevelType w:val="hybridMultilevel"/>
    <w:tmpl w:val="0DC2170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996715"/>
    <w:multiLevelType w:val="hybridMultilevel"/>
    <w:tmpl w:val="B26C52AE"/>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EA250C"/>
    <w:multiLevelType w:val="hybridMultilevel"/>
    <w:tmpl w:val="0164C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7510842"/>
    <w:multiLevelType w:val="hybridMultilevel"/>
    <w:tmpl w:val="FEEE992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DB7573A"/>
    <w:multiLevelType w:val="hybridMultilevel"/>
    <w:tmpl w:val="3800B408"/>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F696BF4"/>
    <w:multiLevelType w:val="hybridMultilevel"/>
    <w:tmpl w:val="5BF8A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0E12C5B"/>
    <w:multiLevelType w:val="hybridMultilevel"/>
    <w:tmpl w:val="BFD4CEF2"/>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466248"/>
    <w:multiLevelType w:val="hybridMultilevel"/>
    <w:tmpl w:val="FF72618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F4C91B-A24F-437E-B5F8-C5770EDF1743"/>
    <w:docVar w:name="LW_COVERPAGE_TYPE" w:val="1"/>
    <w:docVar w:name="LW_CROSSREFERENCE" w:val="{SWD(2021) 5 final}"/>
    <w:docVar w:name="LW_DocType" w:val="NORMAL"/>
    <w:docVar w:name="LW_EMISSION" w:val="12.1.2021"/>
    <w:docVar w:name="LW_EMISSION_ISODATE" w:val="2021-01-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9?\u1098?\u1074?\u1084?\u1077?\u1089?\u1090?\u1085?\u1080?\u1103? \u1087?\u1088?\u1077?\u1075?\u1083?\u1077?\u1076? \u1085?\u1072? \u1087?\u1088?\u1080?\u1083?\u1072?\u1075?\u1072?\u1085?\u1077?\u1090?\u1086? \u1085?\u1072? \u1057?\u1087?\u1086?\u1088?\u1072?\u1079?\u1091?\u1084?\u1077?\u1085?\u1080?\u1077?\u1090?\u1086? \u1084?\u1077?\u1078?\u1076?\u1091? \u1045?\u1074?\u1088?\u1086?\u1087?\u1077?\u1081?\u1089?\u1082?\u1080?\u1103? \u1089?\u1098?\u1102?\u1079? \u1080? \u1040?\u1074?\u1089?\u1090?\u1088?\u1072?\u1083?\u1080?\u1103? \u1086?\u1090?\u1085?\u1086?\u1089?\u1085?\u1086? \u1086?\u1073?\u1088?\u1072?\u1073?\u1086?\u1090?\u1082?\u1072?\u1090?\u1072? \u1080? \u1087?\u1088?\u1077?\u1076?\u1072?\u1074?\u1072?\u1085?\u1077?\u1090?\u1086? \u1085?\u1072? \u1088?\u1077?\u1079?\u1077?\u1088?\u1074?\u1072?\u1094?\u1080?\u1086?\u1085?\u1085?\u1080? \u1076?\u1072?\u1085?\u1085?\u1080? \u1079?\u1072? \u1087?\u1098?\u1090?\u1085?\u1080?\u1094?\u1080?\u1090?\u1077? (PNR) \u1086?\u1090? \u1074?\u1098?\u1079?\u1076?\u1091?\u1096?\u1085?\u1080? \u1087?\u1088?\u1077?\u1074?\u1086?\u1079?\u1074?\u1072?\u1095?\u1080? \u1085?\u1072? \u1040?\u1074?\u1089?\u1090?\u1088?\u1072?\u1083?\u1080?\u1081?\u1089?\u1082?\u1072?\u1090?\u1072? \u1084?\u1080?\u1090?\u1085?\u1080?\u1095?\u1077?\u1089?\u1082?\u1072? \u1080? \u1075?\u1088?\u1072?\u1085?\u1080?\u1095?\u1085?\u1072? \u1089?\u1083?\u1091?\u1078?\u1073?\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F091-0110-48FF-9D4D-ADDAF58C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1212</Words>
  <Characters>7164</Characters>
  <Application>Microsoft Office Word</Application>
  <DocSecurity>0</DocSecurity>
  <Lines>123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2020-01-20T07:40:00Z</cp:lastPrinted>
  <dcterms:created xsi:type="dcterms:W3CDTF">2021-01-12T07:32:00Z</dcterms:created>
  <dcterms:modified xsi:type="dcterms:W3CDTF">2021-01-13T07:12:00Z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