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E738ECCE-B3B1-4168-B9E7-EEF67FC7529E" style="width:450.75pt;height:410.2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ПРОЕКТ НА </w:t>
      </w:r>
      <w:r>
        <w:rPr>
          <w:noProof/>
        </w:rPr>
        <w:br/>
        <w:t xml:space="preserve">РЕШЕНИЕ №      /2021 на Съвместния комитет ЕС – ДОТР, създаден по силата на Конвенцията от 20 май 1987 г. за общ транзитен режим </w:t>
      </w:r>
      <w:r>
        <w:rPr>
          <w:noProof/>
        </w:rPr>
        <w:br/>
        <w:t xml:space="preserve">от ……2021 г. </w:t>
      </w:r>
      <w:r>
        <w:rPr>
          <w:noProof/>
        </w:rPr>
        <w:br/>
        <w:t xml:space="preserve">за изменение на допълнения І и ІІІ към посочената конвенция </w:t>
      </w:r>
    </w:p>
    <w:p>
      <w:pPr>
        <w:rPr>
          <w:noProof/>
        </w:rPr>
      </w:pPr>
    </w:p>
    <w:p>
      <w:pPr>
        <w:rPr>
          <w:noProof/>
        </w:rPr>
      </w:pPr>
    </w:p>
    <w:p>
      <w:pPr>
        <w:keepNext/>
        <w:spacing w:before="600"/>
        <w:rPr>
          <w:noProof/>
        </w:rPr>
      </w:pPr>
      <w:r>
        <w:rPr>
          <w:noProof/>
        </w:rPr>
        <w:t>СЪВМЕСТНИЯТ КОМИТЕТ ЕС – ДОТР,</w:t>
      </w:r>
    </w:p>
    <w:p>
      <w:pPr>
        <w:rPr>
          <w:noProof/>
        </w:rPr>
      </w:pPr>
      <w:r>
        <w:rPr>
          <w:noProof/>
        </w:rPr>
        <w:t>като взе предвид Конвенцията от 20 май 1987 г. за общ транзитен режим, и по-специално член 15, параграф 3, буква а) от нея,</w:t>
      </w:r>
    </w:p>
    <w:p>
      <w:pPr>
        <w:rPr>
          <w:noProof/>
        </w:rPr>
      </w:pPr>
    </w:p>
    <w:p>
      <w:pPr>
        <w:rPr>
          <w:noProof/>
        </w:rPr>
      </w:pPr>
      <w:r>
        <w:rPr>
          <w:noProof/>
        </w:rPr>
        <w:t>като има предвид, че:</w:t>
      </w:r>
    </w:p>
    <w:p>
      <w:pPr>
        <w:pStyle w:val="Considrant"/>
        <w:numPr>
          <w:ilvl w:val="0"/>
          <w:numId w:val="4"/>
        </w:numPr>
        <w:rPr>
          <w:noProof/>
        </w:rPr>
      </w:pPr>
      <w:r>
        <w:rPr>
          <w:noProof/>
        </w:rPr>
        <w:t>Съгласно член 15, параграф 3, буква а) от Конвенцията от 20 май 1987 г. за общ транзитен режим</w:t>
      </w:r>
      <w:r>
        <w:rPr>
          <w:rStyle w:val="FootnoteReference"/>
          <w:noProof/>
        </w:rPr>
        <w:footnoteReference w:id="1"/>
      </w:r>
      <w:r>
        <w:rPr>
          <w:noProof/>
        </w:rPr>
        <w:t xml:space="preserve"> (наричана по-нататък „Конвенцията“) създаденият по силата на същата конвенция Съвместен комитет чрез решения приема изменения на допълненията към нея.</w:t>
      </w:r>
    </w:p>
    <w:p>
      <w:pPr>
        <w:pStyle w:val="Considrant"/>
        <w:rPr>
          <w:noProof/>
        </w:rPr>
      </w:pPr>
      <w:r>
        <w:rPr>
          <w:noProof/>
        </w:rPr>
        <w:t>Член 311 от Регламент за изпълнение (ЕС) 2015/2447 на Комисията</w:t>
      </w:r>
      <w:r>
        <w:rPr>
          <w:rStyle w:val="FootnoteReference"/>
          <w:noProof/>
        </w:rPr>
        <w:footnoteReference w:id="2"/>
      </w:r>
      <w:r>
        <w:rPr>
          <w:noProof/>
        </w:rPr>
        <w:t>, в който се урежда искането за прехвърляне на събирането на митническото задължение, беше изменен</w:t>
      </w:r>
      <w:r>
        <w:rPr>
          <w:rStyle w:val="FootnoteReference"/>
          <w:noProof/>
        </w:rPr>
        <w:footnoteReference w:id="3"/>
      </w:r>
      <w:r>
        <w:rPr>
          <w:noProof/>
        </w:rPr>
        <w:t>. Съгласно новите параграфи 3 и 4, когато митническият орган на държава, свързана с транзитна операция, получи доказателства, че събитията, довели до възникване на задължението, са настъпили на територията на неговата държава, този орган трябва да поиска от отправната държава да му прехвърли отговорността за започване на събирането. Отправната държава трябва да потвърди в определен срок дали прехвърля на отправилия искането митнически орган правомощието за започване на събирането. Затова член 50 от допълнение I към Конвенцията, който отразява разпоредбите на член 311 от Регламент за изпълнение (ЕС) 2015/2447 на Комисията, следва да бъде съответно изменен.</w:t>
      </w:r>
    </w:p>
    <w:p>
      <w:pPr>
        <w:pStyle w:val="Considrant"/>
        <w:rPr>
          <w:noProof/>
        </w:rPr>
      </w:pPr>
      <w:r>
        <w:rPr>
          <w:noProof/>
        </w:rPr>
        <w:t>Приложение 72-04 към Регламент за изпълнение (ЕС) 2015/2447 на Комисията, в което се описва процедурата за непрекъснатост на дейността при съюзен транзит, беше изменено</w:t>
      </w:r>
      <w:r>
        <w:rPr>
          <w:rStyle w:val="FootnoteReference"/>
          <w:noProof/>
        </w:rPr>
        <w:footnoteReference w:id="4"/>
      </w:r>
      <w:r>
        <w:rPr>
          <w:noProof/>
        </w:rPr>
        <w:t xml:space="preserve"> и се прилага от 30 юни 2020 г. Съгласно изменената точка 19.3 от глава ІІІ бе удължен срокът на действие на сертификатите за общо обезпечение и на сертификатите за освобождаване от обезпечение на хартиен носител, предвидени в приложение 72-04 към Регламент за изпълнение (ЕС) 2015/2447, за да се осигури повече гъвкавост в процедурата за непрекъснатост на дейността при транзит и да се намалят формалностите и разходите за митническите органи. Затова член 79 от допълнение І към Конвенцията и точка 19.3 от глава ІІІ от приложение ІІ към допълнение І към Конвенцията, отразяваща точка 19.3 от глава ІІІ от част І от приложение 72-04 към горепосочения регламент за изпълнение, следва да бъдат съответно изменени. Настоящото изменение следва също да се прилага от 30 юни 2020 г., така че за поръчителите да се осигурят еднакви условия съгласно митническото законодателство на Съюза и Конвенцията. </w:t>
      </w:r>
    </w:p>
    <w:p>
      <w:pPr>
        <w:pStyle w:val="Considrant"/>
        <w:rPr>
          <w:noProof/>
        </w:rPr>
      </w:pPr>
      <w:r>
        <w:rPr>
          <w:noProof/>
        </w:rPr>
        <w:t>Формулярите за поръчителство се съдържат в приложения В1, В2, В4, В5 и В6 от допълнение ІІІ към Конвенцията. В посочените формуляри се изреждат държавите – членки на Съюза, и другите договарящи страни по Конвенцията. По силата на Решение № 2/2018</w:t>
      </w:r>
      <w:r>
        <w:rPr>
          <w:rStyle w:val="FootnoteReference"/>
          <w:noProof/>
        </w:rPr>
        <w:footnoteReference w:id="5"/>
      </w:r>
      <w:r>
        <w:rPr>
          <w:noProof/>
        </w:rPr>
        <w:t xml:space="preserve"> на Съвместния комитет ЕС – ДОТР наименованието на Обединеното кралство се заличава като държава – членка на Съюза, и се добавя като държава с общ транзитен режим от датата, на която присъединяването на Обединеното кралство като отделна договаряща страна ще породи действие. Освен това обаче вследствие на прилагането на Протокола за Ирландия/Северна Ирландия</w:t>
      </w:r>
      <w:r>
        <w:rPr>
          <w:rStyle w:val="FootnoteReference"/>
          <w:noProof/>
        </w:rPr>
        <w:footnoteReference w:id="6"/>
      </w:r>
      <w:r>
        <w:rPr>
          <w:noProof/>
        </w:rPr>
        <w:t>, за операциите по съюзен транзит по отношение на Северна Ирландия следва да бъде посочено, че всяко обезпечение, което e действително в държавите – членки на ЕС, трябва да бъде действително и в Северна Ирландия.</w:t>
      </w:r>
    </w:p>
    <w:p>
      <w:pPr>
        <w:pStyle w:val="Considrant"/>
        <w:rPr>
          <w:noProof/>
        </w:rPr>
      </w:pPr>
      <w:r>
        <w:rPr>
          <w:noProof/>
        </w:rPr>
        <w:t>Вследствие на прилагането на Протокола за Ирландия/Северна Ирландия и в съответствие с член 5, параграф 2 от Регламент (ЕО) № 471/2009</w:t>
      </w:r>
      <w:r>
        <w:rPr>
          <w:rStyle w:val="FootnoteReference"/>
          <w:noProof/>
        </w:rPr>
        <w:footnoteReference w:id="7"/>
      </w:r>
      <w:r>
        <w:rPr>
          <w:noProof/>
        </w:rPr>
        <w:t xml:space="preserve"> бе добавен нов код „ХІ“</w:t>
      </w:r>
      <w:r>
        <w:rPr>
          <w:rStyle w:val="FootnoteReference"/>
          <w:noProof/>
        </w:rPr>
        <w:footnoteReference w:id="8"/>
      </w:r>
      <w:r>
        <w:rPr>
          <w:noProof/>
        </w:rPr>
        <w:t>, така че да се разграничава Обединеното кралство по отношение на Северна Ирландия. Използваните кодове на държавите, определени в приложения А2 и Б1 към допълнение ІІІ към Конвенцията, следва да бъдат съответно изменени.</w:t>
      </w:r>
    </w:p>
    <w:p>
      <w:pPr>
        <w:pStyle w:val="Considrant"/>
        <w:rPr>
          <w:noProof/>
        </w:rPr>
      </w:pPr>
      <w:r>
        <w:rPr>
          <w:noProof/>
        </w:rPr>
        <w:t>За да се осигури правилното използване на новия код „ХІ“, във всички текстове на Конвенцията, отнасящи се до използването на кодовете на държавите, следва да има препратка към приложение А2 или приложение Б1 от допълнение ІІІ към Конвенцията.</w:t>
      </w:r>
    </w:p>
    <w:p>
      <w:pPr>
        <w:pStyle w:val="Considrant"/>
        <w:rPr>
          <w:noProof/>
        </w:rPr>
      </w:pPr>
      <w:r>
        <w:rPr>
          <w:noProof/>
        </w:rPr>
        <w:t>Решение № 2/2018 на Съвместния комитет ЕС – ДОТР влиза в сила на 1 януари 2021 г., след като Решение № 1/2019 на Съвместния комитет ЕС – ДОТР</w:t>
      </w:r>
      <w:r>
        <w:rPr>
          <w:rStyle w:val="FootnoteReference"/>
          <w:noProof/>
        </w:rPr>
        <w:footnoteReference w:id="9"/>
      </w:r>
      <w:r>
        <w:rPr>
          <w:noProof/>
        </w:rPr>
        <w:t xml:space="preserve"> влезе в сила на 4 декември 2019 г. С Решение № 1/2019 във формулярите за поръчителство, които се съдържат в приложения В1, В2, В4, В5 и В6 от допълнение ІІІ към Конвенцията, бе въведено новото наименование „Република Северна Македония“, докато с Решение № 2/2018 в приложения В1, В2 и В4 по грешка отново бе въведено старото наименование „бивша югославска република Македония“. Затова в посочените формуляри следва отново да бъде въведено новото наименование „Република Северна Македония“.</w:t>
      </w:r>
    </w:p>
    <w:p>
      <w:pPr>
        <w:pStyle w:val="Formuledadoption"/>
        <w:rPr>
          <w:noProof/>
        </w:rPr>
      </w:pPr>
      <w:r>
        <w:rPr>
          <w:noProof/>
        </w:rPr>
        <w:t>Поради това Конвенцията следва да бъде съответно изменена,</w:t>
      </w:r>
    </w:p>
    <w:p>
      <w:pPr>
        <w:keepNext/>
        <w:spacing w:before="600"/>
        <w:rPr>
          <w:noProof/>
        </w:rPr>
      </w:pPr>
      <w:r>
        <w:rPr>
          <w:noProof/>
        </w:rPr>
        <w:t>ПРИЕ НАСТОЯЩОТО РЕШЕНИЕ:</w:t>
      </w:r>
    </w:p>
    <w:p>
      <w:pPr>
        <w:pStyle w:val="Titrearticle"/>
        <w:rPr>
          <w:noProof/>
        </w:rPr>
      </w:pPr>
      <w:r>
        <w:rPr>
          <w:noProof/>
        </w:rPr>
        <w:t>Член 1</w:t>
      </w:r>
    </w:p>
    <w:p>
      <w:pPr>
        <w:pStyle w:val="Point0number"/>
        <w:numPr>
          <w:ilvl w:val="0"/>
          <w:numId w:val="5"/>
        </w:numPr>
        <w:rPr>
          <w:noProof/>
        </w:rPr>
      </w:pPr>
      <w:r>
        <w:rPr>
          <w:noProof/>
        </w:rPr>
        <w:t>Допълнение I към Конвенцията се изменя съгласно приложение А към настоящото решение.</w:t>
      </w:r>
    </w:p>
    <w:p>
      <w:pPr>
        <w:pStyle w:val="Point0number"/>
        <w:rPr>
          <w:noProof/>
        </w:rPr>
      </w:pPr>
      <w:r>
        <w:rPr>
          <w:noProof/>
        </w:rPr>
        <w:t>Допълнение IIІ към Конвенцията се изменя съгласно приложение Б към настоящото решение.</w:t>
      </w:r>
    </w:p>
    <w:p>
      <w:pPr>
        <w:pStyle w:val="Titrearticle"/>
        <w:rPr>
          <w:noProof/>
        </w:rPr>
      </w:pPr>
      <w:r>
        <w:rPr>
          <w:noProof/>
        </w:rPr>
        <w:t>Член 2</w:t>
      </w:r>
    </w:p>
    <w:p>
      <w:pPr>
        <w:rPr>
          <w:noProof/>
        </w:rPr>
      </w:pPr>
      <w:r>
        <w:rPr>
          <w:noProof/>
        </w:rPr>
        <w:t>Настоящото решение влиза в сила в деня на приемането му.</w:t>
      </w:r>
    </w:p>
    <w:p>
      <w:pPr>
        <w:rPr>
          <w:noProof/>
        </w:rPr>
      </w:pPr>
      <w:r>
        <w:rPr>
          <w:noProof/>
        </w:rPr>
        <w:t>Точки 2 и 3 от приложение А се прилагат от 30 юни 2020 г.</w:t>
      </w:r>
    </w:p>
    <w:p>
      <w:pPr>
        <w:rPr>
          <w:noProof/>
        </w:rPr>
      </w:pPr>
      <w:r>
        <w:rPr>
          <w:noProof/>
        </w:rPr>
        <w:t>Точки 1 – 4 от приложение Б се прилагат от деня на присъединяване на Обединеното кралство към Конвенцията като договаряща страна.</w:t>
      </w:r>
    </w:p>
    <w:p>
      <w:pPr>
        <w:rPr>
          <w:noProof/>
        </w:rPr>
      </w:pPr>
    </w:p>
    <w:p>
      <w:pPr>
        <w:pStyle w:val="Fait"/>
        <w:rPr>
          <w:noProof/>
        </w:rPr>
      </w:pPr>
      <w:r>
        <w:rPr>
          <w:noProof/>
        </w:rPr>
        <w:t>Съставено в .........</w:t>
      </w:r>
    </w:p>
    <w:p>
      <w:pPr>
        <w:pStyle w:val="Institutionquisigne"/>
        <w:rPr>
          <w:noProof/>
        </w:rPr>
      </w:pPr>
      <w:r>
        <w:rPr>
          <w:noProof/>
        </w:rPr>
        <w:tab/>
        <w:t>За Съвместния комитет</w:t>
      </w:r>
    </w:p>
    <w:p>
      <w:pPr>
        <w:pStyle w:val="Personnequisigne"/>
        <w:rPr>
          <w:noProof/>
        </w:rPr>
      </w:pPr>
      <w:r>
        <w:rPr>
          <w:noProof/>
        </w:rPr>
        <w:tab/>
        <w:t>Председател</w:t>
      </w:r>
    </w:p>
    <w:p>
      <w:pPr>
        <w:spacing w:before="0" w:after="200" w:line="276" w:lineRule="auto"/>
        <w:jc w:val="left"/>
        <w:rPr>
          <w:b/>
          <w:noProof/>
          <w:u w:val="single"/>
        </w:rPr>
      </w:pPr>
      <w:r>
        <w:rPr>
          <w:noProof/>
        </w:rPr>
        <w:br w:type="page"/>
      </w:r>
    </w:p>
    <w:p>
      <w:pPr>
        <w:pStyle w:val="Annexetitreexpos"/>
        <w:rPr>
          <w:noProof/>
        </w:rPr>
      </w:pPr>
      <w:r>
        <w:rPr>
          <w:noProof/>
        </w:rPr>
        <w:t>Приложение А</w:t>
      </w:r>
    </w:p>
    <w:p>
      <w:pPr>
        <w:rPr>
          <w:noProof/>
        </w:rPr>
      </w:pPr>
      <w:r>
        <w:rPr>
          <w:noProof/>
        </w:rPr>
        <w:t>Допълнение I към Конвенцията се изменя, както следва:</w:t>
      </w:r>
    </w:p>
    <w:p>
      <w:pPr>
        <w:pStyle w:val="Point0number"/>
        <w:numPr>
          <w:ilvl w:val="0"/>
          <w:numId w:val="3"/>
        </w:numPr>
        <w:rPr>
          <w:noProof/>
        </w:rPr>
      </w:pPr>
      <w:r>
        <w:rPr>
          <w:noProof/>
        </w:rPr>
        <w:t>В член 50 се добавят следните параграфи 3 и 4:</w:t>
      </w:r>
    </w:p>
    <w:p>
      <w:pPr>
        <w:pStyle w:val="Text1"/>
        <w:rPr>
          <w:noProof/>
        </w:rPr>
      </w:pPr>
      <w:r>
        <w:rPr>
          <w:noProof/>
        </w:rPr>
        <w:t>„3. Когато преди изтичане на срока по член 114, параграф 2, буква а) митническият орган на държава, свързана с операция по общ транзит, получи доказателства, че мястото, на което са настъпили събитията, довели до възникване на задължението, е на територията на неговата държава, този орган незабавно и при всички случаи в рамките на посочения срок изпраща надлежно обосновано искане до митническия орган на отправната държава да прехвърли отговорността за започване на събирането на митническия орган, отправил искането.</w:t>
      </w:r>
    </w:p>
    <w:p>
      <w:pPr>
        <w:pStyle w:val="Text1"/>
        <w:rPr>
          <w:noProof/>
        </w:rPr>
      </w:pPr>
      <w:r>
        <w:rPr>
          <w:noProof/>
        </w:rPr>
        <w:t>4. Митническият орган на отправната държава потвърждава получаването на искането, отправено в съответствие с параграф 3, и в срок от 28 дни от датата на изпращане на искането уведомява митническия орган, отправил искането, дали е съгласен да удовлетвори искането и да прехвърли на органа, отправил искането, отговорността за започване на събирането.“.</w:t>
      </w:r>
    </w:p>
    <w:p>
      <w:pPr>
        <w:pStyle w:val="Point0number"/>
        <w:numPr>
          <w:ilvl w:val="0"/>
          <w:numId w:val="3"/>
        </w:numPr>
        <w:rPr>
          <w:noProof/>
        </w:rPr>
      </w:pPr>
      <w:r>
        <w:rPr>
          <w:noProof/>
        </w:rPr>
        <w:t>В член 79:</w:t>
      </w:r>
    </w:p>
    <w:p>
      <w:pPr>
        <w:pStyle w:val="Point1"/>
        <w:rPr>
          <w:noProof/>
        </w:rPr>
      </w:pPr>
      <w:r>
        <w:rPr>
          <w:noProof/>
        </w:rPr>
        <w:t>а)</w:t>
      </w:r>
      <w:r>
        <w:rPr>
          <w:noProof/>
        </w:rPr>
        <w:tab/>
        <w:t>параграф 2 се заменя със следното:</w:t>
      </w:r>
    </w:p>
    <w:p>
      <w:pPr>
        <w:pStyle w:val="Text2"/>
        <w:rPr>
          <w:noProof/>
        </w:rPr>
      </w:pPr>
      <w:r>
        <w:rPr>
          <w:noProof/>
        </w:rPr>
        <w:t>„2. Срокът на действие на сертификата за общо обезпечение или на сертификата за освобождаване от обезпечение не може да надвишава пет години. Този срок обаче може да бъде удължен еднократно от митническото учреждение по обезпечението с не повече от пет години.“;</w:t>
      </w:r>
    </w:p>
    <w:p>
      <w:pPr>
        <w:pStyle w:val="Point1"/>
        <w:rPr>
          <w:noProof/>
        </w:rPr>
      </w:pPr>
      <w:r>
        <w:rPr>
          <w:noProof/>
        </w:rPr>
        <w:t>б)</w:t>
      </w:r>
      <w:r>
        <w:rPr>
          <w:noProof/>
        </w:rPr>
        <w:tab/>
        <w:t>след параграф 2 се добавят следните параграфи 3 и 4:</w:t>
      </w:r>
    </w:p>
    <w:p>
      <w:pPr>
        <w:pStyle w:val="Text2"/>
        <w:rPr>
          <w:noProof/>
        </w:rPr>
      </w:pPr>
      <w:r>
        <w:rPr>
          <w:noProof/>
        </w:rPr>
        <w:t xml:space="preserve">„3. Когато по време на срока на действие на сертификата митническото учреждение по обезпечението бъде информирано, че вследствие на многобройни промени сертификатът не е достатъчно четлив и може да бъде отхвърлен от отправното митническо учреждение, митническото учреждение по обезпечението анулира този сертификат и по целесъобразност издава нов. </w:t>
      </w:r>
    </w:p>
    <w:p>
      <w:pPr>
        <w:pStyle w:val="Text2"/>
        <w:rPr>
          <w:noProof/>
        </w:rPr>
      </w:pPr>
      <w:r>
        <w:rPr>
          <w:noProof/>
        </w:rPr>
        <w:t>4. Сертификатите, чийто срок на действие е две години, остават в действие. Техният срок на действие може да бъде удължен за втори път от митническото учреждение по обезпечението с не повече от пет години.“.</w:t>
      </w:r>
    </w:p>
    <w:p>
      <w:pPr>
        <w:pStyle w:val="Point0number"/>
        <w:numPr>
          <w:ilvl w:val="0"/>
          <w:numId w:val="3"/>
        </w:numPr>
        <w:rPr>
          <w:noProof/>
        </w:rPr>
      </w:pPr>
      <w:r>
        <w:rPr>
          <w:noProof/>
        </w:rPr>
        <w:t>В приложение II, глава ІII точка 19.3 се заменя със следното:</w:t>
      </w:r>
    </w:p>
    <w:p>
      <w:pPr>
        <w:pStyle w:val="Text1"/>
        <w:rPr>
          <w:noProof/>
        </w:rPr>
      </w:pPr>
      <w:r>
        <w:rPr>
          <w:noProof/>
        </w:rPr>
        <w:t xml:space="preserve">„19.3 Срокът на действие на сертификата за общо обезпечение или на сертификата за освобождаване от обезпечение не може да надвишава пет години. Този срок обаче може да бъде удължен еднократно от митническото учреждение по обезпечението с не повече от пет години. </w:t>
      </w:r>
    </w:p>
    <w:p>
      <w:pPr>
        <w:pStyle w:val="Text1"/>
        <w:rPr>
          <w:noProof/>
        </w:rPr>
      </w:pPr>
      <w:r>
        <w:rPr>
          <w:noProof/>
        </w:rPr>
        <w:t xml:space="preserve">Когато по време на срока на действие на сертификата митническото учреждение по обезпечението бъде информирано, че вследствие на многобройни промени сертификатът не е достатъчно четлив и може да бъде отхвърлен от отправното митническо учреждение, митническото учреждение по обезпечението анулира този сертификат и по целесъобразност издава нов. </w:t>
      </w:r>
    </w:p>
    <w:p>
      <w:pPr>
        <w:pStyle w:val="Text1"/>
        <w:rPr>
          <w:noProof/>
        </w:rPr>
      </w:pPr>
      <w:r>
        <w:rPr>
          <w:noProof/>
        </w:rPr>
        <w:t>Сертификатите, чийто срок на действие е две години, остават в действие. Техният срок на действие може да бъде удължен за втори път от митническото учреждение по обезпечението с не повече от пет години.“.</w:t>
      </w:r>
    </w:p>
    <w:p>
      <w:pPr>
        <w:spacing w:before="0" w:after="200" w:line="276" w:lineRule="auto"/>
        <w:jc w:val="left"/>
        <w:rPr>
          <w:noProof/>
        </w:rPr>
      </w:pPr>
      <w:r>
        <w:rPr>
          <w:noProof/>
        </w:rPr>
        <w:br w:type="page"/>
      </w:r>
    </w:p>
    <w:p>
      <w:pPr>
        <w:pStyle w:val="Annexetitreexpos"/>
        <w:rPr>
          <w:noProof/>
        </w:rPr>
      </w:pPr>
      <w:r>
        <w:rPr>
          <w:noProof/>
        </w:rPr>
        <w:t>Приложение Б</w:t>
      </w:r>
    </w:p>
    <w:p>
      <w:pPr>
        <w:rPr>
          <w:noProof/>
        </w:rPr>
      </w:pPr>
      <w:r>
        <w:rPr>
          <w:noProof/>
        </w:rPr>
        <w:t>Допълнение III към Конвенцията се изменя, както следва:</w:t>
      </w:r>
    </w:p>
    <w:p>
      <w:pPr>
        <w:pStyle w:val="Point0number"/>
        <w:numPr>
          <w:ilvl w:val="0"/>
          <w:numId w:val="2"/>
        </w:numPr>
        <w:rPr>
          <w:noProof/>
        </w:rPr>
      </w:pPr>
      <w:r>
        <w:rPr>
          <w:noProof/>
        </w:rPr>
        <w:t>В приложение А1, дял ІІ, глава ІІ, буква Б „Данни, включени в транзитната декларация“, точка в получер шрифт „РЕФЕРЕНТНИ ДАННИ ЗА ОБЕЗПЕЧЕНИЕТО“ текстът „(двубуквен код на страната — ISO)“ в съдържанието на поле 2 се заменя със следния текст:</w:t>
      </w:r>
    </w:p>
    <w:p>
      <w:pPr>
        <w:pStyle w:val="Text1"/>
        <w:rPr>
          <w:noProof/>
        </w:rPr>
      </w:pPr>
      <w:r>
        <w:rPr>
          <w:noProof/>
        </w:rPr>
        <w:t>„(код на държавата, представен в приложение А2)“.</w:t>
      </w:r>
    </w:p>
    <w:p>
      <w:pPr>
        <w:pStyle w:val="Point0number"/>
        <w:numPr>
          <w:ilvl w:val="0"/>
          <w:numId w:val="1"/>
        </w:numPr>
        <w:rPr>
          <w:noProof/>
        </w:rPr>
      </w:pPr>
      <w:r>
        <w:rPr>
          <w:noProof/>
        </w:rPr>
        <w:t>В приложение А2, точка 1 се добавя следното изречение:</w:t>
      </w:r>
    </w:p>
    <w:p>
      <w:pPr>
        <w:pStyle w:val="Text1"/>
        <w:rPr>
          <w:noProof/>
        </w:rPr>
      </w:pPr>
      <w:r>
        <w:rPr>
          <w:noProof/>
        </w:rPr>
        <w:t>„За Северна Ирландия се използва кодът XI.“.</w:t>
      </w:r>
    </w:p>
    <w:p>
      <w:pPr>
        <w:pStyle w:val="Point0number"/>
        <w:numPr>
          <w:ilvl w:val="0"/>
          <w:numId w:val="1"/>
        </w:numPr>
        <w:rPr>
          <w:noProof/>
        </w:rPr>
      </w:pPr>
      <w:r>
        <w:rPr>
          <w:noProof/>
        </w:rPr>
        <w:t>В приложение А4, точка 1 текстът „(двубуквен код на страната — ISO)“ в съдържанието на поле 2 се заменя със следния текст:</w:t>
      </w:r>
    </w:p>
    <w:p>
      <w:pPr>
        <w:pStyle w:val="Text1"/>
        <w:rPr>
          <w:noProof/>
        </w:rPr>
      </w:pPr>
      <w:r>
        <w:rPr>
          <w:noProof/>
        </w:rPr>
        <w:t>„(код на държавата, представен в приложение А2)“.</w:t>
      </w:r>
    </w:p>
    <w:p>
      <w:pPr>
        <w:pStyle w:val="Point0number"/>
        <w:numPr>
          <w:ilvl w:val="0"/>
          <w:numId w:val="14"/>
        </w:numPr>
        <w:rPr>
          <w:noProof/>
        </w:rPr>
      </w:pPr>
      <w:r>
        <w:rPr>
          <w:noProof/>
        </w:rPr>
        <w:t>В приложение Б1 клетка 51 се изменя, както следва:</w:t>
      </w:r>
    </w:p>
    <w:p>
      <w:pPr>
        <w:pStyle w:val="Point1"/>
        <w:rPr>
          <w:noProof/>
        </w:rPr>
      </w:pPr>
      <w:r>
        <w:rPr>
          <w:noProof/>
        </w:rPr>
        <w:t>а)</w:t>
      </w:r>
      <w:r>
        <w:rPr>
          <w:noProof/>
        </w:rPr>
        <w:tab/>
        <w:t>текстът „GB</w:t>
      </w:r>
      <w:r>
        <w:rPr>
          <w:noProof/>
        </w:rPr>
        <w:tab/>
        <w:t>Обединеното кралство“ се заменя със следния текст:</w:t>
      </w:r>
    </w:p>
    <w:p>
      <w:pPr>
        <w:pStyle w:val="Text2"/>
        <w:rPr>
          <w:noProof/>
        </w:rPr>
      </w:pPr>
      <w:r>
        <w:rPr>
          <w:noProof/>
        </w:rPr>
        <w:t>„GB</w:t>
      </w:r>
      <w:r>
        <w:rPr>
          <w:noProof/>
        </w:rPr>
        <w:tab/>
        <w:t>Обединено кралство (без Северна Ирландия)“;</w:t>
      </w:r>
    </w:p>
    <w:p>
      <w:pPr>
        <w:pStyle w:val="Point1"/>
        <w:rPr>
          <w:noProof/>
        </w:rPr>
      </w:pPr>
      <w:r>
        <w:rPr>
          <w:noProof/>
        </w:rPr>
        <w:t>б)</w:t>
      </w:r>
      <w:r>
        <w:rPr>
          <w:noProof/>
        </w:rPr>
        <w:tab/>
        <w:t>в списъка се добавя следната точка:</w:t>
      </w:r>
    </w:p>
    <w:p>
      <w:pPr>
        <w:pStyle w:val="Text2"/>
        <w:rPr>
          <w:noProof/>
        </w:rPr>
      </w:pPr>
      <w:r>
        <w:rPr>
          <w:noProof/>
        </w:rPr>
        <w:t>„XI</w:t>
      </w:r>
      <w:r>
        <w:rPr>
          <w:noProof/>
        </w:rPr>
        <w:tab/>
        <w:t>Северна Ирландия“.</w:t>
      </w:r>
    </w:p>
    <w:p>
      <w:pPr>
        <w:pStyle w:val="Point0number"/>
        <w:numPr>
          <w:ilvl w:val="0"/>
          <w:numId w:val="14"/>
        </w:numPr>
        <w:rPr>
          <w:noProof/>
        </w:rPr>
      </w:pPr>
      <w:r>
        <w:rPr>
          <w:noProof/>
        </w:rPr>
        <w:t>В приложение В1 точка 1 се изменя, както следва:</w:t>
      </w:r>
    </w:p>
    <w:p>
      <w:pPr>
        <w:pStyle w:val="Point1"/>
        <w:rPr>
          <w:noProof/>
        </w:rPr>
      </w:pPr>
      <w:r>
        <w:rPr>
          <w:noProof/>
        </w:rPr>
        <w:t>а)</w:t>
      </w:r>
      <w:r>
        <w:rPr>
          <w:noProof/>
        </w:rPr>
        <w:tab/>
        <w:t>текстът „бивша югославска република Македония“ се заменя с текста „Република Северна Македония“;</w:t>
      </w:r>
    </w:p>
    <w:p>
      <w:pPr>
        <w:pStyle w:val="Point1"/>
        <w:rPr>
          <w:noProof/>
        </w:rPr>
      </w:pPr>
      <w:r>
        <w:rPr>
          <w:noProof/>
        </w:rPr>
        <w:t>б)</w:t>
      </w:r>
      <w:r>
        <w:rPr>
          <w:noProof/>
        </w:rPr>
        <w:tab/>
        <w:t>към текста „Обединеното кралство Великобритания и Северна Ирландия</w:t>
      </w:r>
      <w:r>
        <w:rPr>
          <w:noProof/>
          <w:vertAlign w:val="superscript"/>
        </w:rPr>
        <w:t>3“</w:t>
      </w:r>
      <w:r>
        <w:rPr>
          <w:noProof/>
        </w:rPr>
        <w:t xml:space="preserve"> преди заключителна бележка 3 се добавя заключителна бележка 3а със следното съдържание: </w:t>
      </w:r>
    </w:p>
    <w:p>
      <w:pPr>
        <w:pStyle w:val="Text2"/>
        <w:rPr>
          <w:noProof/>
          <w:sz w:val="20"/>
          <w:szCs w:val="20"/>
        </w:rPr>
      </w:pPr>
      <w:r>
        <w:rPr>
          <w:noProof/>
          <w:sz w:val="20"/>
          <w:szCs w:val="20"/>
        </w:rPr>
        <w:t xml:space="preserve">„По силата на </w:t>
      </w:r>
      <w:r>
        <w:rPr>
          <w:i/>
          <w:noProof/>
          <w:sz w:val="20"/>
          <w:szCs w:val="20"/>
        </w:rPr>
        <w:t>Протокола за Ирландия/Северна Ирландия към Споразумението за оттеглянето на Обединеното кралство Великобритания и Северна Ирландия от Европейския съюз и Европейската общност за атомна енергия</w:t>
      </w:r>
      <w:r>
        <w:rPr>
          <w:noProof/>
          <w:sz w:val="20"/>
          <w:szCs w:val="20"/>
        </w:rPr>
        <w:t xml:space="preserve"> Северна Ирландия се смята за част от Европейския съюз за целите на настоящото обезпечение. Затова всеки поръчител, установен на митническата територия на Европейския съюз, посочва адрес за кореспонденция или определя свой представител в Северна Ирландия, ако обезпечението може да се използва там. Въпреки това, ако в рамките на общ транзит дадено обезпечение е обявено за действително в Европейския съюз и в Обединеното кралство, един адрес за кореспонденция или един определен представител в Обединеното кралство може да покрие всички части на Обединеното кралство, включително Северна Ирландия.“.</w:t>
      </w:r>
    </w:p>
    <w:p>
      <w:pPr>
        <w:pStyle w:val="Point0number"/>
        <w:numPr>
          <w:ilvl w:val="0"/>
          <w:numId w:val="14"/>
        </w:numPr>
        <w:rPr>
          <w:noProof/>
        </w:rPr>
      </w:pPr>
      <w:r>
        <w:rPr>
          <w:noProof/>
        </w:rPr>
        <w:t>В приложение В2 точка 1 се изменя, както следва:</w:t>
      </w:r>
    </w:p>
    <w:p>
      <w:pPr>
        <w:pStyle w:val="Point1"/>
        <w:rPr>
          <w:noProof/>
        </w:rPr>
      </w:pPr>
      <w:r>
        <w:rPr>
          <w:noProof/>
        </w:rPr>
        <w:t>а)</w:t>
      </w:r>
      <w:r>
        <w:rPr>
          <w:noProof/>
        </w:rPr>
        <w:tab/>
        <w:t>текстът „бивша югославска република Македония“ се заменя с текста „Република Северна Македония“;</w:t>
      </w:r>
    </w:p>
    <w:p>
      <w:pPr>
        <w:pStyle w:val="Point1"/>
        <w:rPr>
          <w:noProof/>
        </w:rPr>
      </w:pPr>
      <w:r>
        <w:rPr>
          <w:noProof/>
        </w:rPr>
        <w:t>б)</w:t>
      </w:r>
      <w:r>
        <w:rPr>
          <w:noProof/>
        </w:rPr>
        <w:tab/>
        <w:t xml:space="preserve">към текста „Обединеното кралство Великобритания и Северна Ирландия“ се добавя заключителна бележка 2а със следното съдържание: </w:t>
      </w:r>
    </w:p>
    <w:p>
      <w:pPr>
        <w:pStyle w:val="Text2"/>
        <w:rPr>
          <w:noProof/>
          <w:sz w:val="20"/>
          <w:szCs w:val="20"/>
        </w:rPr>
      </w:pPr>
      <w:r>
        <w:rPr>
          <w:noProof/>
          <w:sz w:val="20"/>
          <w:szCs w:val="20"/>
        </w:rPr>
        <w:t xml:space="preserve">„По силата на </w:t>
      </w:r>
      <w:r>
        <w:rPr>
          <w:i/>
          <w:noProof/>
          <w:sz w:val="20"/>
          <w:szCs w:val="20"/>
        </w:rPr>
        <w:t>Протокола за Ирландия/Северна Ирландия към Споразумението за оттеглянето на Обединеното кралство Великобритания и Северна Ирландия от Европейския съюз и Европейската общност за атомна енергия</w:t>
      </w:r>
      <w:r>
        <w:rPr>
          <w:noProof/>
          <w:sz w:val="20"/>
          <w:szCs w:val="20"/>
        </w:rPr>
        <w:t xml:space="preserve"> Северна Ирландия се смята за част от Европейския съюз за целите на настоящото обезпечение. Затова всеки поръчител, установен на митническата територия на Европейския съюз, посочва адрес за кореспонденция или определя свой представител в Северна Ирландия, ако обезпечението може да се използва там. Въпреки това, ако в рамките на общ транзит дадено обезпечение е обявено за действително в Европейския съюз и в Обединеното кралство, един адрес за кореспонденция или един определен представител в Обединеното кралство може да покрие всички части на Обединеното кралство, включително Северна Ирландия.“.</w:t>
      </w:r>
    </w:p>
    <w:p>
      <w:pPr>
        <w:pStyle w:val="Point0number"/>
        <w:numPr>
          <w:ilvl w:val="0"/>
          <w:numId w:val="14"/>
        </w:numPr>
        <w:rPr>
          <w:noProof/>
        </w:rPr>
      </w:pPr>
      <w:r>
        <w:rPr>
          <w:noProof/>
        </w:rPr>
        <w:t>В приложение В4 точка 1 се изменя, както следва:</w:t>
      </w:r>
    </w:p>
    <w:p>
      <w:pPr>
        <w:pStyle w:val="Point1"/>
        <w:rPr>
          <w:noProof/>
        </w:rPr>
      </w:pPr>
      <w:r>
        <w:rPr>
          <w:noProof/>
        </w:rPr>
        <w:t>а)</w:t>
      </w:r>
      <w:r>
        <w:rPr>
          <w:noProof/>
        </w:rPr>
        <w:tab/>
        <w:t>текстът „бивша югославска република Македония“ се заменя с текста „Република Северна Македония“;</w:t>
      </w:r>
    </w:p>
    <w:p>
      <w:pPr>
        <w:pStyle w:val="Point1"/>
        <w:rPr>
          <w:noProof/>
        </w:rPr>
      </w:pPr>
      <w:r>
        <w:rPr>
          <w:noProof/>
        </w:rPr>
        <w:t>б)</w:t>
      </w:r>
      <w:r>
        <w:rPr>
          <w:noProof/>
        </w:rPr>
        <w:tab/>
        <w:t>към текста „Обединеното кралство Великобритания и Северна Ирландия</w:t>
      </w:r>
      <w:r>
        <w:rPr>
          <w:noProof/>
          <w:vertAlign w:val="superscript"/>
        </w:rPr>
        <w:t>3“</w:t>
      </w:r>
      <w:r>
        <w:rPr>
          <w:noProof/>
        </w:rPr>
        <w:t xml:space="preserve"> преди заключителна бележка 3 се добавя заключителна бележка 3а със следното съдържание: </w:t>
      </w:r>
    </w:p>
    <w:p>
      <w:pPr>
        <w:pStyle w:val="Text2"/>
        <w:rPr>
          <w:noProof/>
          <w:sz w:val="20"/>
          <w:szCs w:val="20"/>
        </w:rPr>
      </w:pPr>
      <w:r>
        <w:rPr>
          <w:noProof/>
          <w:sz w:val="20"/>
          <w:szCs w:val="20"/>
        </w:rPr>
        <w:t xml:space="preserve">„По силата на </w:t>
      </w:r>
      <w:r>
        <w:rPr>
          <w:i/>
          <w:noProof/>
          <w:sz w:val="20"/>
          <w:szCs w:val="20"/>
        </w:rPr>
        <w:t>Протокола за Ирландия/Северна Ирландия към Споразумението за оттеглянето на Обединеното кралство Великобритания и Северна Ирландия от Европейския съюз и Европейската общност за атомна енергия</w:t>
      </w:r>
      <w:r>
        <w:rPr>
          <w:noProof/>
          <w:sz w:val="20"/>
          <w:szCs w:val="20"/>
        </w:rPr>
        <w:t xml:space="preserve"> Северна Ирландия се смята за част от Европейския съюз за целите на настоящото обезпечение. Затова всеки поръчител, установен на митническата територия на Европейския съюз, посочва адрес за кореспонденция или определя свой представител в Северна Ирландия, ако обезпечението може да се използва там. Въпреки това, ако в рамките на общ транзит дадено обезпечение е обявено за действително в Европейския съюз и в Обединеното кралство, един адрес за кореспонденция или един определен представител в Обединеното кралство може да покрие всички части на Обединеното кралство, включително Северна Ирландия.“.</w:t>
      </w:r>
    </w:p>
    <w:p>
      <w:pPr>
        <w:pStyle w:val="Point0number"/>
        <w:numPr>
          <w:ilvl w:val="0"/>
          <w:numId w:val="14"/>
        </w:numPr>
        <w:rPr>
          <w:noProof/>
        </w:rPr>
      </w:pPr>
      <w:r>
        <w:rPr>
          <w:noProof/>
        </w:rPr>
        <w:t xml:space="preserve">В приложение В5 ред 7 се изменя, както следва: </w:t>
      </w:r>
    </w:p>
    <w:p>
      <w:pPr>
        <w:pStyle w:val="Point1number"/>
        <w:numPr>
          <w:ilvl w:val="2"/>
          <w:numId w:val="14"/>
        </w:numPr>
        <w:rPr>
          <w:noProof/>
        </w:rPr>
      </w:pPr>
      <w:r>
        <w:rPr>
          <w:noProof/>
        </w:rPr>
        <w:t>към текста „Обединеното кралство“ се добавя заключителна бележка (**) със следното съдържание:</w:t>
      </w:r>
    </w:p>
    <w:p>
      <w:pPr>
        <w:pStyle w:val="Point1number"/>
        <w:numPr>
          <w:ilvl w:val="2"/>
          <w:numId w:val="14"/>
        </w:numPr>
        <w:rPr>
          <w:noProof/>
          <w:sz w:val="20"/>
          <w:szCs w:val="20"/>
        </w:rPr>
      </w:pPr>
      <w:r>
        <w:rPr>
          <w:noProof/>
          <w:sz w:val="20"/>
          <w:szCs w:val="20"/>
        </w:rPr>
        <w:t xml:space="preserve">„(**) По силата на </w:t>
      </w:r>
      <w:r>
        <w:rPr>
          <w:i/>
          <w:noProof/>
          <w:sz w:val="20"/>
          <w:szCs w:val="20"/>
        </w:rPr>
        <w:t>Протокола за Ирландия/Северна Ирландия към Споразумението за оттеглянето на Обединеното кралство Великобритания и Северна Ирландия от Европейския съюз и Европейската общност за атомна енергия</w:t>
      </w:r>
      <w:r>
        <w:rPr>
          <w:noProof/>
          <w:sz w:val="20"/>
          <w:szCs w:val="20"/>
        </w:rPr>
        <w:t xml:space="preserve"> Северна Ирландия следва да се смята за част от Европейския съюз за целите на настоящото обезпечение.“.</w:t>
      </w:r>
    </w:p>
    <w:p>
      <w:pPr>
        <w:pStyle w:val="Point0number"/>
        <w:numPr>
          <w:ilvl w:val="0"/>
          <w:numId w:val="14"/>
        </w:numPr>
        <w:rPr>
          <w:noProof/>
        </w:rPr>
      </w:pPr>
      <w:r>
        <w:rPr>
          <w:noProof/>
        </w:rPr>
        <w:t xml:space="preserve">В приложение В6 ред 6 се изменя, както следва: </w:t>
      </w:r>
    </w:p>
    <w:p>
      <w:pPr>
        <w:pStyle w:val="Point1number"/>
        <w:numPr>
          <w:ilvl w:val="2"/>
          <w:numId w:val="14"/>
        </w:numPr>
        <w:rPr>
          <w:noProof/>
        </w:rPr>
      </w:pPr>
      <w:r>
        <w:rPr>
          <w:noProof/>
        </w:rPr>
        <w:t>към текста „Обединеното кралство“ се добавя заключителна бележка (**) със следното съдържание:</w:t>
      </w:r>
    </w:p>
    <w:p>
      <w:pPr>
        <w:pStyle w:val="Point1number"/>
        <w:numPr>
          <w:ilvl w:val="2"/>
          <w:numId w:val="14"/>
        </w:numPr>
        <w:rPr>
          <w:noProof/>
          <w:sz w:val="20"/>
          <w:szCs w:val="20"/>
        </w:rPr>
      </w:pPr>
      <w:r>
        <w:rPr>
          <w:noProof/>
          <w:sz w:val="20"/>
          <w:szCs w:val="20"/>
        </w:rPr>
        <w:t xml:space="preserve">„ (**) По силата на </w:t>
      </w:r>
      <w:r>
        <w:rPr>
          <w:i/>
          <w:noProof/>
          <w:sz w:val="20"/>
          <w:szCs w:val="20"/>
        </w:rPr>
        <w:t>Протокола за Ирландия/Северна Ирландия към Споразумението за оттеглянето на Обединеното кралство Великобритания и Северна Ирландия от Европейския съюз и Европейската общност за атомна енергия</w:t>
      </w:r>
      <w:r>
        <w:rPr>
          <w:noProof/>
          <w:sz w:val="20"/>
          <w:szCs w:val="20"/>
        </w:rPr>
        <w:t xml:space="preserve"> Северна Ирландия следва да се смята за част от Европейския съюз за целите на настоящото обезпечение. “.</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ru-RU"/>
        </w:rPr>
      </w:pPr>
      <w:r>
        <w:rPr>
          <w:rStyle w:val="FootnoteReference"/>
        </w:rPr>
        <w:footnoteRef/>
      </w:r>
      <w:r>
        <w:rPr>
          <w:lang w:val="ru-RU"/>
        </w:rPr>
        <w:tab/>
        <w:t>ОВ</w:t>
      </w:r>
      <w:r>
        <w:t> L </w:t>
      </w:r>
      <w:r>
        <w:rPr>
          <w:lang w:val="ru-RU"/>
        </w:rPr>
        <w:t>226, 13.8.1987</w:t>
      </w:r>
      <w:r>
        <w:t> </w:t>
      </w:r>
      <w:r>
        <w:rPr>
          <w:lang w:val="ru-RU"/>
        </w:rPr>
        <w:t>г., стр.</w:t>
      </w:r>
      <w:r>
        <w:t> </w:t>
      </w:r>
      <w:r>
        <w:rPr>
          <w:lang w:val="ru-RU"/>
        </w:rPr>
        <w:t>2.</w:t>
      </w:r>
    </w:p>
  </w:footnote>
  <w:footnote w:id="2">
    <w:p>
      <w:pPr>
        <w:pStyle w:val="FootnoteText"/>
        <w:rPr>
          <w:lang w:val="ru-RU"/>
        </w:rPr>
      </w:pPr>
      <w:r>
        <w:rPr>
          <w:rStyle w:val="FootnoteReference"/>
        </w:rPr>
        <w:footnoteRef/>
      </w:r>
      <w:r>
        <w:rPr>
          <w:lang w:val="ru-RU"/>
        </w:rPr>
        <w:tab/>
        <w:t xml:space="preserve">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(ОВ </w:t>
      </w:r>
      <w:r>
        <w:t>L</w:t>
      </w:r>
      <w:r>
        <w:rPr>
          <w:lang w:val="ru-RU"/>
        </w:rPr>
        <w:t xml:space="preserve"> 343, 29.12.2015 г., стр. 558).</w:t>
      </w:r>
    </w:p>
  </w:footnote>
  <w:footnote w:id="3">
    <w:p>
      <w:pPr>
        <w:pStyle w:val="FootnoteText"/>
        <w:rPr>
          <w:lang w:val="ru-RU"/>
        </w:rPr>
      </w:pPr>
      <w:r>
        <w:rPr>
          <w:rStyle w:val="FootnoteReference"/>
        </w:rPr>
        <w:footnoteRef/>
      </w:r>
      <w:r>
        <w:rPr>
          <w:lang w:val="ru-RU"/>
        </w:rPr>
        <w:tab/>
        <w:t>Регламент за изпълнение (ЕС) 2019/1394 на Комисията от 10 септември 2019 г. за изменение и поправка на Регламент за изпълнение (ЕС) 2015/2447 по отношение на някои правила за наблюдението на допускането за свободно обращение и за напускането на митническата територия на Съюза (</w:t>
      </w:r>
      <w:r>
        <w:t>O</w:t>
      </w:r>
      <w:r>
        <w:rPr>
          <w:lang w:val="ru-RU"/>
        </w:rPr>
        <w:t xml:space="preserve">В </w:t>
      </w:r>
      <w:r>
        <w:t>L</w:t>
      </w:r>
      <w:r>
        <w:rPr>
          <w:lang w:val="ru-RU"/>
        </w:rPr>
        <w:t xml:space="preserve"> 234, 11.9.2019 г., стр. 1).</w:t>
      </w:r>
    </w:p>
  </w:footnote>
  <w:footnote w:id="4">
    <w:p>
      <w:pPr>
        <w:pStyle w:val="FootnoteText"/>
        <w:rPr>
          <w:lang w:val="ru-RU"/>
        </w:rPr>
      </w:pPr>
      <w:r>
        <w:rPr>
          <w:rStyle w:val="FootnoteReference"/>
        </w:rPr>
        <w:footnoteRef/>
      </w:r>
      <w:r>
        <w:rPr>
          <w:lang w:val="ru-RU"/>
        </w:rPr>
        <w:tab/>
        <w:t>Регламент за изпълнение</w:t>
      </w:r>
      <w:r>
        <w:t> </w:t>
      </w:r>
      <w:r>
        <w:rPr>
          <w:lang w:val="ru-RU"/>
        </w:rPr>
        <w:t>(ЕС) 2020/893 на Комисията от 29 юни 2020</w:t>
      </w:r>
      <w:r>
        <w:t> </w:t>
      </w:r>
      <w:r>
        <w:rPr>
          <w:lang w:val="ru-RU"/>
        </w:rPr>
        <w:t>г. за изменение на Регламент за изпълнение</w:t>
      </w:r>
      <w:r>
        <w:t> </w:t>
      </w:r>
      <w:r>
        <w:rPr>
          <w:lang w:val="ru-RU"/>
        </w:rPr>
        <w:t>(ЕС) 2015/2447 за определяне на подробни правила за прилагането на някои разпоредби на Регламент</w:t>
      </w:r>
      <w:r>
        <w:t> </w:t>
      </w:r>
      <w:r>
        <w:rPr>
          <w:lang w:val="ru-RU"/>
        </w:rPr>
        <w:t>(ЕС) №</w:t>
      </w:r>
      <w:r>
        <w:t> </w:t>
      </w:r>
      <w:r>
        <w:rPr>
          <w:lang w:val="ru-RU"/>
        </w:rPr>
        <w:t>952/2013 на Европейския парламент и на Съвета за създаване на Митнически кодекс на Съюза (</w:t>
      </w:r>
      <w:r>
        <w:t>O</w:t>
      </w:r>
      <w:r>
        <w:rPr>
          <w:lang w:val="ru-RU"/>
        </w:rPr>
        <w:t xml:space="preserve">В </w:t>
      </w:r>
      <w:r>
        <w:t>L </w:t>
      </w:r>
      <w:r>
        <w:rPr>
          <w:lang w:val="ru-RU"/>
        </w:rPr>
        <w:t>206, 30.6.2020</w:t>
      </w:r>
      <w:r>
        <w:t> </w:t>
      </w:r>
      <w:r>
        <w:rPr>
          <w:lang w:val="ru-RU"/>
        </w:rPr>
        <w:t>г., стр.</w:t>
      </w:r>
      <w:r>
        <w:t> </w:t>
      </w:r>
      <w:r>
        <w:rPr>
          <w:lang w:val="ru-RU"/>
        </w:rPr>
        <w:t>8).</w:t>
      </w:r>
    </w:p>
  </w:footnote>
  <w:footnote w:id="5">
    <w:p>
      <w:pPr>
        <w:pStyle w:val="FootnoteText"/>
        <w:rPr>
          <w:lang w:val="ru-RU"/>
        </w:rPr>
      </w:pPr>
      <w:r>
        <w:rPr>
          <w:rStyle w:val="FootnoteReference"/>
        </w:rPr>
        <w:footnoteRef/>
      </w:r>
      <w:r>
        <w:rPr>
          <w:lang w:val="ru-RU"/>
        </w:rPr>
        <w:tab/>
        <w:t>ОВ</w:t>
      </w:r>
      <w:r>
        <w:t> L </w:t>
      </w:r>
      <w:r>
        <w:rPr>
          <w:lang w:val="ru-RU"/>
        </w:rPr>
        <w:t>317, 14.12.2018</w:t>
      </w:r>
      <w:r>
        <w:t> </w:t>
      </w:r>
      <w:r>
        <w:rPr>
          <w:lang w:val="ru-RU"/>
        </w:rPr>
        <w:t>г., стр.</w:t>
      </w:r>
      <w:r>
        <w:t> </w:t>
      </w:r>
      <w:r>
        <w:rPr>
          <w:lang w:val="ru-RU"/>
        </w:rPr>
        <w:t>48.</w:t>
      </w:r>
    </w:p>
  </w:footnote>
  <w:footnote w:id="6">
    <w:p>
      <w:pPr>
        <w:pStyle w:val="FootnoteText"/>
        <w:rPr>
          <w:lang w:val="ru-RU"/>
        </w:rPr>
      </w:pPr>
      <w:r>
        <w:rPr>
          <w:rStyle w:val="FootnoteReference"/>
        </w:rPr>
        <w:footnoteRef/>
      </w:r>
      <w:r>
        <w:rPr>
          <w:lang w:val="ru-RU"/>
        </w:rPr>
        <w:tab/>
        <w:t>Протокол за Ирландия/Северна Ирландия към Споразумението за оттеглянето на Обединеното кралство Великобритания и Северна Ирландия от Европейския съюз и Европейската общност за атомна енергия (</w:t>
      </w:r>
      <w:r>
        <w:t>O</w:t>
      </w:r>
      <w:r>
        <w:rPr>
          <w:lang w:val="ru-RU"/>
        </w:rPr>
        <w:t xml:space="preserve">В </w:t>
      </w:r>
      <w:r>
        <w:t>L</w:t>
      </w:r>
      <w:r>
        <w:rPr>
          <w:lang w:val="ru-RU"/>
        </w:rPr>
        <w:t xml:space="preserve"> 29, 31.1.2020 г., стр. 102).</w:t>
      </w:r>
    </w:p>
  </w:footnote>
  <w:footnote w:id="7">
    <w:p>
      <w:pPr>
        <w:pStyle w:val="FootnoteText"/>
        <w:rPr>
          <w:lang w:val="ru-RU"/>
        </w:rPr>
      </w:pPr>
      <w:r>
        <w:rPr>
          <w:rStyle w:val="FootnoteReference"/>
        </w:rPr>
        <w:footnoteRef/>
      </w:r>
      <w:r>
        <w:rPr>
          <w:lang w:val="ru-RU"/>
        </w:rPr>
        <w:tab/>
        <w:t xml:space="preserve">Регламент (ЕО) № 471/2009 на Европейския парламент и на Съвета от 6 май 2009 г. относно статистиката на Общността за външната търговия с трети страни и за отмяна на Регламент (ЕО) № 1172/95 на Съвета (ОВ </w:t>
      </w:r>
      <w:r>
        <w:t>L</w:t>
      </w:r>
      <w:r>
        <w:rPr>
          <w:lang w:val="ru-RU"/>
        </w:rPr>
        <w:t xml:space="preserve"> 152, 16.6.2009 г., стр.</w:t>
      </w:r>
      <w:r>
        <w:t> </w:t>
      </w:r>
      <w:r>
        <w:rPr>
          <w:lang w:val="ru-RU"/>
        </w:rPr>
        <w:t>23).</w:t>
      </w:r>
    </w:p>
  </w:footnote>
  <w:footnote w:id="8">
    <w:p>
      <w:pPr>
        <w:pStyle w:val="FootnoteText"/>
        <w:rPr>
          <w:lang w:val="ru-RU"/>
        </w:rPr>
      </w:pPr>
      <w:r>
        <w:rPr>
          <w:rStyle w:val="FootnoteReference"/>
        </w:rPr>
        <w:footnoteRef/>
      </w:r>
      <w:r>
        <w:rPr>
          <w:lang w:val="ru-RU"/>
        </w:rPr>
        <w:tab/>
        <w:t xml:space="preserve">Регламент за изпълнение (ЕС) 2020/1470 на Комисията от 12 октомври 2020 г. относно номенклатурата на държавите и териториите за целите на европейската статистика за международната търговия със стоки и относно географската разбивка за целите на други видове бизнес статистика (ОВ </w:t>
      </w:r>
      <w:r>
        <w:t>L</w:t>
      </w:r>
      <w:r>
        <w:rPr>
          <w:lang w:val="ru-RU"/>
        </w:rPr>
        <w:t xml:space="preserve"> 334, 13.10.2020 г., стр. 2).</w:t>
      </w:r>
    </w:p>
  </w:footnote>
  <w:footnote w:id="9">
    <w:p>
      <w:pPr>
        <w:pStyle w:val="FootnoteText"/>
      </w:pPr>
      <w:r>
        <w:rPr>
          <w:rStyle w:val="FootnoteReference"/>
        </w:rPr>
        <w:footnoteRef/>
      </w:r>
      <w:r>
        <w:tab/>
        <w:t>ОВ L 103, 3.4.2020 г., стр.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FEAAA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A3EBBAA"/>
    <w:lvl w:ilvl="0">
      <w:start w:val="1"/>
      <w:numFmt w:val="decimal"/>
      <w:pStyle w:val="ListNumber3"/>
      <w:lvlText w:val="%1."/>
      <w:lvlJc w:val="left"/>
      <w:pPr>
        <w:tabs>
          <w:tab w:val="num" w:pos="926"/>
        </w:tabs>
        <w:ind w:left="926" w:hanging="360"/>
      </w:pPr>
    </w:lvl>
  </w:abstractNum>
  <w:abstractNum w:abstractNumId="2">
    <w:nsid w:val="FFFFFF7F"/>
    <w:multiLevelType w:val="singleLevel"/>
    <w:tmpl w:val="377AA7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33E272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A866A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83665E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CEC0146"/>
    <w:lvl w:ilvl="0">
      <w:start w:val="1"/>
      <w:numFmt w:val="decimal"/>
      <w:pStyle w:val="ListNumber"/>
      <w:lvlText w:val="%1."/>
      <w:lvlJc w:val="left"/>
      <w:pPr>
        <w:tabs>
          <w:tab w:val="num" w:pos="360"/>
        </w:tabs>
        <w:ind w:left="360" w:hanging="360"/>
      </w:pPr>
    </w:lvl>
  </w:abstractNum>
  <w:abstractNum w:abstractNumId="7">
    <w:nsid w:val="FFFFFF89"/>
    <w:multiLevelType w:val="singleLevel"/>
    <w:tmpl w:val="36F4A9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8"/>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oNotTrackMoves/>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R_RefLast" w:val="0"/>
    <w:docVar w:name="DQCDateTime" w:val="2021-01-12 10:28:3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E738ECCE-B3B1-4168-B9E7-EEF67FC7529E"/>
    <w:docVar w:name="LW_COVERPAGE_TYPE" w:val="1"/>
    <w:docVar w:name="LW_CROSSREFERENCE" w:val="&lt;UNUSED&gt;"/>
    <w:docVar w:name="LW_DocType" w:val="ANNEX"/>
    <w:docVar w:name="LW_EMISSION" w:val="13.1.2021"/>
    <w:docVar w:name="LW_EMISSION_ISODATE" w:val="2021-01-13"/>
    <w:docVar w:name="LW_EMISSION_LOCATION" w:val="BRX"/>
    <w:docVar w:name="LW_EMISSION_PREFIX" w:val="Брюксел, "/>
    <w:docVar w:name="LW_EMISSION_SUFFIX" w:val=" \u1075?."/>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45?\u1057? \u8211? \u1044?\u1054?\u1058?\u1056?, \u1089?\u1098?\u1079?\u1076?\u1072?\u1076?\u1077?\u1085? \u1087?\u1086? \u1089?\u1080?\u1083?\u1072?\u1090?\u1072? \u1085?\u1072? \u1050?\u1086?\u1085?\u1074?\u1077?\u1085?\u1094?\u1080?\u1103?\u1090?\u1072? \u1086?\u1090? 20 \u1084?\u1072?\u1081? 1987 \u1075?. \u1079?\u1072? \u1086?\u1073?\u1097? \u1090?\u1088?\u1072?\u1085?\u1079?\u1080?\u1090?\u1077?\u1085? \u1088?\u1077?\u1078?\u1080?\u1084?, \u1087?\u1086? \u1086?\u1090?\u1085?\u1086?\u1096?\u1077?\u1085?\u1080?\u1077? \u1085?\u1072? \u1080?\u1079?\u1084?\u1077?\u1085?\u1077?\u1085?\u1080?\u1103?\u1090?\u1072? \u1085?\u1072? \u1087?\u1086?\u1089?\u1086?\u1095?\u1077?\u1085?\u1072?\u1090?\u1072? \u1082?\u1086?\u1085?\u1074?\u1077?\u1085?\u1094?\u1080?\u1103?"/>
    <w:docVar w:name="LW_OBJETACTEPRINCIPAL.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45?\u1057? \u8211? \u1044?\u1054?\u1058?\u1056?, \u1089?\u1098?\u1079?\u1076?\u1072?\u1076?\u1077?\u1085? \u1087?\u1086? \u1089?\u1080?\u1083?\u1072?\u1090?\u1072? \u1085?\u1072? \u1050?\u1086?\u1085?\u1074?\u1077?\u1085?\u1094?\u1080?\u1103?\u1090?\u1072? \u1086?\u1090? 20 \u1084?\u1072?\u1081? 1987 \u1075?. \u1079?\u1072? \u1086?\u1073?\u1097? \u1090?\u1088?\u1072?\u1085?\u1079?\u1080?\u1090?\u1077?\u1085? \u1088?\u1077?\u1078?\u1080?\u1084?, \u1087?\u1086? \u1086?\u1090?\u1085?\u1086?\u1096?\u1077?\u1085?\u1080?\u1077? \u1085?\u1072? \u1080?\u1079?\u1084?\u1077?\u1085?\u1077?\u1085?\u1080?\u1103?\u1090?\u1072? \u1085?\u1072? \u1087?\u1086?\u1089?\u1086?\u1095?\u1077?\u1085?\u1072?\u1090?\u1072? \u1082?\u1086?\u1085?\u1074?\u1077?\u1085?\u1094?\u1080?\u1103?"/>
    <w:docVar w:name="LW_PART_NBR" w:val="1"/>
    <w:docVar w:name="LW_PART_NBR_TOTAL" w:val="1"/>
    <w:docVar w:name="LW_REF.INST.NEW" w:val="COM"/>
    <w:docVar w:name="LW_REF.INST.NEW_ADOPTED" w:val="final"/>
    <w:docVar w:name="LW_REF.INST.NEW_TEXT" w:val="(2021) 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u1090?\u1086? \u1079?\u1072? \u1088?\u1077?\u1096?\u1077?\u1085?\u1080?\u1077? \u1085?\u1072? \u1057?\u1098?\u1074?\u1077?\u1090?\u1072?"/>
    <w:docVar w:name="LW_TYPEACTEPRINCIPAL.CP" w:val="\u1055?\u1088?\u1077?\u1076?\u1083?\u1086?\u1078?\u1077?\u1085?\u1080?\u1077?\u1090?\u1086? \u1079?\u1072? \u1088?\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bg-BG"/>
    </w:r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styleId="Caption">
    <w:name w:val="caption"/>
    <w:basedOn w:val="Normal"/>
    <w:next w:val="Normal"/>
    <w:uiPriority w:val="35"/>
    <w:semiHidden/>
    <w:unhideWhenUsed/>
    <w:qFormat/>
    <w:pPr>
      <w:spacing w:before="0" w:after="200"/>
    </w:pPr>
    <w:rPr>
      <w:i/>
      <w:iCs/>
      <w:color w:val="1F497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bg-BG"/>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0"/>
      </w:numPr>
    </w:pPr>
  </w:style>
  <w:style w:type="paragraph" w:customStyle="1" w:styleId="NumPar2">
    <w:name w:val="NumPar 2"/>
    <w:basedOn w:val="Normal"/>
    <w:next w:val="Text1"/>
    <w:pPr>
      <w:numPr>
        <w:ilvl w:val="1"/>
        <w:numId w:val="20"/>
      </w:numPr>
    </w:pPr>
  </w:style>
  <w:style w:type="paragraph" w:customStyle="1" w:styleId="NumPar3">
    <w:name w:val="NumPar 3"/>
    <w:basedOn w:val="Normal"/>
    <w:next w:val="Text1"/>
    <w:pPr>
      <w:numPr>
        <w:ilvl w:val="2"/>
        <w:numId w:val="20"/>
      </w:numPr>
    </w:pPr>
  </w:style>
  <w:style w:type="paragraph" w:customStyle="1" w:styleId="NumPar4">
    <w:name w:val="NumPar 4"/>
    <w:basedOn w:val="Normal"/>
    <w:next w:val="Text1"/>
    <w:pPr>
      <w:numPr>
        <w:ilvl w:val="3"/>
        <w:numId w:val="2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2"/>
      </w:numPr>
    </w:pPr>
  </w:style>
  <w:style w:type="paragraph" w:customStyle="1" w:styleId="Point1number">
    <w:name w:val="Point 1 (number)"/>
    <w:basedOn w:val="Normal"/>
    <w:pPr>
      <w:numPr>
        <w:ilvl w:val="2"/>
        <w:numId w:val="22"/>
      </w:numPr>
    </w:pPr>
  </w:style>
  <w:style w:type="paragraph" w:customStyle="1" w:styleId="Point2number">
    <w:name w:val="Point 2 (number)"/>
    <w:basedOn w:val="Normal"/>
    <w:pPr>
      <w:numPr>
        <w:ilvl w:val="4"/>
        <w:numId w:val="22"/>
      </w:numPr>
    </w:pPr>
  </w:style>
  <w:style w:type="paragraph" w:customStyle="1" w:styleId="Point3number">
    <w:name w:val="Point 3 (number)"/>
    <w:basedOn w:val="Normal"/>
    <w:pPr>
      <w:numPr>
        <w:ilvl w:val="6"/>
        <w:numId w:val="22"/>
      </w:numPr>
    </w:pPr>
  </w:style>
  <w:style w:type="paragraph" w:customStyle="1" w:styleId="Point0letter">
    <w:name w:val="Point 0 (letter)"/>
    <w:basedOn w:val="Normal"/>
    <w:pPr>
      <w:numPr>
        <w:ilvl w:val="1"/>
        <w:numId w:val="22"/>
      </w:numPr>
    </w:pPr>
  </w:style>
  <w:style w:type="paragraph" w:customStyle="1" w:styleId="Point1letter">
    <w:name w:val="Point 1 (letter)"/>
    <w:basedOn w:val="Normal"/>
    <w:pPr>
      <w:numPr>
        <w:ilvl w:val="3"/>
        <w:numId w:val="22"/>
      </w:numPr>
    </w:pPr>
  </w:style>
  <w:style w:type="paragraph" w:customStyle="1" w:styleId="Point2letter">
    <w:name w:val="Point 2 (letter)"/>
    <w:basedOn w:val="Normal"/>
    <w:pPr>
      <w:numPr>
        <w:ilvl w:val="5"/>
        <w:numId w:val="22"/>
      </w:numPr>
    </w:pPr>
  </w:style>
  <w:style w:type="paragraph" w:customStyle="1" w:styleId="Point3letter">
    <w:name w:val="Point 3 (letter)"/>
    <w:basedOn w:val="Normal"/>
    <w:pPr>
      <w:numPr>
        <w:ilvl w:val="7"/>
        <w:numId w:val="22"/>
      </w:numPr>
    </w:pPr>
  </w:style>
  <w:style w:type="paragraph" w:customStyle="1" w:styleId="Point4letter">
    <w:name w:val="Point 4 (letter)"/>
    <w:basedOn w:val="Normal"/>
    <w:pPr>
      <w:numPr>
        <w:ilvl w:val="8"/>
        <w:numId w:val="22"/>
      </w:numPr>
    </w:pPr>
  </w:style>
  <w:style w:type="paragraph" w:customStyle="1" w:styleId="Bullet0">
    <w:name w:val="Bullet 0"/>
    <w:basedOn w:val="Normal"/>
    <w:pPr>
      <w:numPr>
        <w:numId w:val="23"/>
      </w:numPr>
    </w:pPr>
  </w:style>
  <w:style w:type="paragraph" w:customStyle="1" w:styleId="Bullet1">
    <w:name w:val="Bullet 1"/>
    <w:basedOn w:val="Normal"/>
    <w:pPr>
      <w:numPr>
        <w:numId w:val="24"/>
      </w:numPr>
    </w:pPr>
  </w:style>
  <w:style w:type="paragraph" w:customStyle="1" w:styleId="Bullet2">
    <w:name w:val="Bullet 2"/>
    <w:basedOn w:val="Normal"/>
    <w:pPr>
      <w:numPr>
        <w:numId w:val="25"/>
      </w:numPr>
    </w:pPr>
  </w:style>
  <w:style w:type="paragraph" w:customStyle="1" w:styleId="Bullet3">
    <w:name w:val="Bullet 3"/>
    <w:basedOn w:val="Normal"/>
    <w:pPr>
      <w:numPr>
        <w:numId w:val="26"/>
      </w:numPr>
    </w:pPr>
  </w:style>
  <w:style w:type="paragraph" w:customStyle="1" w:styleId="Bullet4">
    <w:name w:val="Bullet 4"/>
    <w:basedOn w:val="Normal"/>
    <w:pPr>
      <w:numPr>
        <w:numId w:val="2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5534FF8-D828-4C6F-91D8-1BD7D9AC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8</Pages>
  <Words>1969</Words>
  <Characters>11108</Characters>
  <Application>Microsoft Office Word</Application>
  <DocSecurity>0</DocSecurity>
  <Lines>222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Ann (TAXUD)</dc:creator>
  <cp:keywords/>
  <dc:description/>
  <cp:lastModifiedBy>DIGIT/C6</cp:lastModifiedBy>
  <cp:revision>9</cp:revision>
  <cp:lastPrinted>2020-12-07T09:13:00Z</cp:lastPrinted>
  <dcterms:created xsi:type="dcterms:W3CDTF">2021-01-06T08:40:00Z</dcterms:created>
  <dcterms:modified xsi:type="dcterms:W3CDTF">2021-01-12T09:28:00Z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