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71E8B0B-129A-4C61-938D-0633D6B13B08" style="width:450.7pt;height:379.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noProof/>
        </w:rPr>
      </w:pPr>
      <w:r>
        <w:rPr>
          <w:noProof/>
        </w:rPr>
        <w:t>Настоящото предложение се отнася до решението за установяване на позицията, която трябва да се заеме от името на Европейския съюз в рамките на Съвместния комитет ЕС – ДОТР</w:t>
      </w:r>
      <w:r>
        <w:rPr>
          <w:rStyle w:val="FootnoteReference"/>
          <w:rFonts w:eastAsia="Arial Unicode MS"/>
          <w:noProof/>
        </w:rPr>
        <w:footnoteReference w:id="1"/>
      </w:r>
      <w:r>
        <w:rPr>
          <w:noProof/>
        </w:rPr>
        <w:t xml:space="preserve"> (наричан по-нататък „Съвместният комитет“) във връзка с предвиденото приемане на решение за изменение на допълненията към Конвенцията от 20 май 1987 г. за общ транзитен режим</w:t>
      </w:r>
      <w:r>
        <w:rPr>
          <w:rStyle w:val="FootnoteReference"/>
          <w:rFonts w:eastAsia="Arial Unicode MS"/>
          <w:noProof/>
        </w:rPr>
        <w:footnoteReference w:id="2"/>
      </w:r>
      <w:r>
        <w:rPr>
          <w:noProof/>
        </w:rPr>
        <w:t xml:space="preserve"> (наричана по-нататък „Конвенцията“).</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Конвенцията</w:t>
      </w:r>
    </w:p>
    <w:p>
      <w:pPr>
        <w:rPr>
          <w:rFonts w:eastAsia="Arial Unicode MS"/>
          <w:noProof/>
        </w:rPr>
      </w:pPr>
      <w:r>
        <w:rPr>
          <w:noProof/>
        </w:rPr>
        <w:t>Целта на Конвенцията е да се улесни движението на стоки между Европейския съюз и други държави, които са договарящи страни по Конвенцията. С нея се разширява обхватът на митническия режим съюзен транзит</w:t>
      </w:r>
      <w:r>
        <w:rPr>
          <w:rStyle w:val="FootnoteReference"/>
          <w:noProof/>
        </w:rPr>
        <w:footnoteReference w:id="3"/>
      </w:r>
      <w:r>
        <w:rPr>
          <w:noProof/>
        </w:rPr>
        <w:t>, като в него се включват договарящите страни по Конвенцията, различни от Европейския съюз, и се установяват задълженията за търговците и митническите органи във връзка със стоките, превозвани под този режим от една договаряща страна до друга. Тя влезе в сила на 1 януари 1988 г.</w:t>
      </w:r>
    </w:p>
    <w:p>
      <w:pPr>
        <w:rPr>
          <w:rFonts w:eastAsia="Arial Unicode MS"/>
          <w:noProof/>
        </w:rPr>
      </w:pPr>
      <w:r>
        <w:rPr>
          <w:noProof/>
        </w:rPr>
        <w:t>Европейският съюз е договаряща страна по Конвенцията. Другите договарящи страни са Република Исландия, Република Северна Македония, Кралство Норвегия, Република Сърбия, Конфедерация Швейцария и Република Турция. Тези държави са посочени в Конвенцията като държави с общ транзитен режим.</w:t>
      </w:r>
    </w:p>
    <w:p>
      <w:pPr>
        <w:pStyle w:val="ManualHeading2"/>
        <w:rPr>
          <w:noProof/>
        </w:rPr>
      </w:pPr>
      <w:r>
        <w:t>2.2.</w:t>
      </w:r>
      <w:r>
        <w:tab/>
      </w:r>
      <w:r>
        <w:rPr>
          <w:noProof/>
        </w:rPr>
        <w:t>Съвместният комитет</w:t>
      </w:r>
    </w:p>
    <w:p>
      <w:pPr>
        <w:rPr>
          <w:rFonts w:eastAsia="Arial Unicode MS"/>
          <w:noProof/>
        </w:rPr>
      </w:pPr>
      <w:r>
        <w:rPr>
          <w:noProof/>
        </w:rPr>
        <w:t xml:space="preserve">Съвместният комитет отговаря за администрирането и за осигуряване на правилното прилагане на Конвенцията. Посредством решения Съвместният комитет приема изменения на допълненията към Конвенцията. </w:t>
      </w:r>
    </w:p>
    <w:p>
      <w:pPr>
        <w:rPr>
          <w:rFonts w:eastAsia="Arial Unicode MS"/>
          <w:noProof/>
        </w:rPr>
      </w:pPr>
      <w:r>
        <w:rPr>
          <w:noProof/>
        </w:rPr>
        <w:t>Решенията на Съвместния комитет се приемат по общо съгласие</w:t>
      </w:r>
      <w:r>
        <w:rPr>
          <w:rStyle w:val="FootnoteReference"/>
          <w:noProof/>
        </w:rPr>
        <w:footnoteReference w:id="4"/>
      </w:r>
      <w:r>
        <w:rPr>
          <w:noProof/>
        </w:rPr>
        <w:t xml:space="preserve"> между договарящите страни, както е предвидено в член 14, параграф 2 от Конвенцията.</w:t>
      </w:r>
    </w:p>
    <w:p>
      <w:pPr>
        <w:pStyle w:val="ManualHeading2"/>
        <w:rPr>
          <w:noProof/>
        </w:rPr>
      </w:pPr>
      <w:r>
        <w:t>2.3.</w:t>
      </w:r>
      <w:r>
        <w:tab/>
      </w:r>
      <w:r>
        <w:rPr>
          <w:noProof/>
        </w:rPr>
        <w:t>Предвиденият акт на Съвместния комитет</w:t>
      </w:r>
    </w:p>
    <w:p>
      <w:pPr>
        <w:rPr>
          <w:rFonts w:eastAsia="Arial Unicode MS"/>
          <w:noProof/>
        </w:rPr>
      </w:pPr>
      <w:r>
        <w:rPr>
          <w:noProof/>
        </w:rPr>
        <w:t>В началото на 2021 г. Съвместният комитет трябва да приеме по писмената процедура решение за изменение на допълнения І и ІІІ към Конвенцията (наричано по-нататък „предвиденият акт“).</w:t>
      </w:r>
    </w:p>
    <w:p>
      <w:pPr>
        <w:rPr>
          <w:rFonts w:eastAsia="Arial Unicode MS"/>
          <w:noProof/>
        </w:rPr>
      </w:pPr>
      <w:r>
        <w:rPr>
          <w:noProof/>
        </w:rPr>
        <w:t>Предназначението на предвидения акт е Конвенцията да бъде съобразена с разпоредбите на Митническия кодекс на Съюза (МКС)</w:t>
      </w:r>
      <w:r>
        <w:rPr>
          <w:rStyle w:val="FootnoteReference"/>
          <w:noProof/>
        </w:rPr>
        <w:footnoteReference w:id="5"/>
      </w:r>
      <w:r>
        <w:rPr>
          <w:noProof/>
        </w:rPr>
        <w:t xml:space="preserve"> и с делегирания акт и акта за изпълнение към МКС във връзка с режима транзит и митническия статус на съюзни стоки, както и да се внесат необходимите изменения в допълненията към Конвенцията вследствие на оттеглянето на Обединеното кралство от Съюза</w:t>
      </w:r>
      <w:r>
        <w:rPr>
          <w:rStyle w:val="FootnoteReference"/>
          <w:rFonts w:eastAsia="Arial Unicode MS"/>
          <w:noProof/>
        </w:rPr>
        <w:footnoteReference w:id="6"/>
      </w:r>
      <w:r>
        <w:rPr>
          <w:noProof/>
        </w:rPr>
        <w:t xml:space="preserve"> и присъединяването на тази държава към Конвенцията. Те са следните:</w:t>
      </w:r>
    </w:p>
    <w:p>
      <w:pPr>
        <w:rPr>
          <w:rFonts w:eastAsia="Arial Unicode MS"/>
          <w:noProof/>
        </w:rPr>
      </w:pPr>
      <w:r>
        <w:rPr>
          <w:noProof/>
        </w:rPr>
        <w:lastRenderedPageBreak/>
        <w:t>Член 311 от Регламент за изпълнение (ЕС) 2015/2447 на Комисията</w:t>
      </w:r>
      <w:r>
        <w:rPr>
          <w:rStyle w:val="FootnoteReference"/>
          <w:noProof/>
        </w:rPr>
        <w:footnoteReference w:id="7"/>
      </w:r>
      <w:r>
        <w:rPr>
          <w:noProof/>
        </w:rPr>
        <w:t xml:space="preserve"> (наричан по-нататък „Актът за изпълнение“), в който се урежда искането за прехвърляне на събирането на митническото задължение, бе изменен през септември 2019 г.</w:t>
      </w:r>
      <w:r>
        <w:rPr>
          <w:rStyle w:val="FootnoteReference"/>
          <w:noProof/>
        </w:rPr>
        <w:footnoteReference w:id="8"/>
      </w:r>
      <w:r>
        <w:rPr>
          <w:noProof/>
        </w:rPr>
        <w:t xml:space="preserve"> С изменението се определят правилата за искането за прехвърляне на събирането, когато митническият орган на държава, свързана с транзитна операция, получи доказателства, че събитията, довели до възникване на задължението, са настъпили на територията на неговата държава. В тези случаи съответният орган следва да поиска от отправната държава да му прехвърли отговорността за започване на събирането. Отправната държава следва да потвърди в определен срок дали прехвърля на отправилия искането митнически орган правомощието за започване на събирането. Затова член 50 от допълнение І към Конвенцията, който възпроизвежда член 311 от Акта за изпълнение, следва да бъде съответно изменен.</w:t>
      </w:r>
    </w:p>
    <w:p>
      <w:pPr>
        <w:rPr>
          <w:rFonts w:eastAsia="Arial Unicode MS"/>
          <w:noProof/>
        </w:rPr>
      </w:pPr>
      <w:r>
        <w:rPr>
          <w:noProof/>
        </w:rPr>
        <w:t>Приложение 72-04 към Акта за изпълнение, в което се описва процедурата за непрекъснатост на дейността при съюзен транзит, бе изменено, считано от 30 юни 2020 г.</w:t>
      </w:r>
      <w:r>
        <w:rPr>
          <w:rStyle w:val="FootnoteReference"/>
          <w:noProof/>
        </w:rPr>
        <w:footnoteReference w:id="9"/>
      </w:r>
      <w:r>
        <w:rPr>
          <w:noProof/>
        </w:rPr>
        <w:t xml:space="preserve"> С цел да се предвиди повече гъвкавост в процедурата за непрекъснатост на дейността при съюзен транзит и да се намалят формалностите и разходите за митническите органи, бе удължен срокът на действие на сертификатите за общо обезпечение и на сертификатите за освобождаване от обезпечение на хартиен носител. Член 79 от допълнение І към Конвенцията и точка 19.3 от глава ІІІ от приложение ІІ към допълнение І към Конвенцията, отразяваща точка 19.3 от глава ІІІ от част І от приложение 72-04 към Акта за изпълнение, следва да бъдат съответно изменени.</w:t>
      </w:r>
    </w:p>
    <w:p>
      <w:pPr>
        <w:rPr>
          <w:rFonts w:eastAsia="Arial Unicode MS"/>
          <w:noProof/>
        </w:rPr>
      </w:pPr>
      <w:r>
        <w:rPr>
          <w:noProof/>
        </w:rPr>
        <w:t>Когато МКС престане да се прилага спрямо и във Обединеното кралство, с изключение на Северна Ирландия, Обединеното кралство ще се присъедини към Конвенцията като отделна договаряща страна</w:t>
      </w:r>
      <w:r>
        <w:rPr>
          <w:rStyle w:val="FootnoteReference"/>
          <w:rFonts w:eastAsia="Arial Unicode MS"/>
          <w:noProof/>
        </w:rPr>
        <w:footnoteReference w:id="10"/>
      </w:r>
      <w:r>
        <w:rPr>
          <w:noProof/>
        </w:rPr>
        <w:t xml:space="preserve"> и ще се прилага Протоколът за Ирландия/Северна Ирландия, приложен към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11"/>
      </w:r>
      <w:r>
        <w:rPr>
          <w:noProof/>
        </w:rPr>
        <w:t xml:space="preserve">. В Конвенцията се съдържат наименованията на държавите – членки на ЕС, държавите с общ транзитен режим и съответните им кодове. Затова е необходимо да се внесат подходящи изменения в допълнение ІІІ към Конвенцията, така че да се направи разграничение за Обединеното кралство по отношение на Северна Ирландия и да се посочи, че МКС се прилага в Северна Ирландия, в частност по отношение на разпоредбите за обезпеченията. </w:t>
      </w:r>
    </w:p>
    <w:p>
      <w:pPr>
        <w:rPr>
          <w:rFonts w:eastAsia="Arial Unicode MS"/>
          <w:noProof/>
        </w:rPr>
      </w:pPr>
      <w:r>
        <w:rPr>
          <w:noProof/>
        </w:rPr>
        <w:t xml:space="preserve">Позицията на ЕС по проекторешението на Съвместния комитет във връзка с предстоящите изменения на Конвенцията се основава на вече одобрени от Съвета правила на ЕС (в частност в разпоредбите на Делегирания акт и Акта за изпълнение </w:t>
      </w:r>
      <w:r>
        <w:rPr>
          <w:noProof/>
        </w:rPr>
        <w:lastRenderedPageBreak/>
        <w:t>към МКС). Съдържанието, свързано с прилагането на Протокола за Ирландия/Северна Ирландия, е съобразено с посочения протокол.</w:t>
      </w:r>
    </w:p>
    <w:p>
      <w:pPr>
        <w:rPr>
          <w:noProof/>
        </w:rPr>
      </w:pPr>
      <w:r>
        <w:rPr>
          <w:noProof/>
        </w:rPr>
        <w:t>Предвиденият акт ще стане обвързващ за договарящите страни в съответствие с член 2 от посоченото решение, в който се предвижда влизането му в сила в деня на приемането му.</w:t>
      </w:r>
    </w:p>
    <w:p>
      <w:pPr>
        <w:rPr>
          <w:noProof/>
        </w:rPr>
      </w:pPr>
      <w:r>
        <w:rPr>
          <w:noProof/>
        </w:rPr>
        <w:t xml:space="preserve">Разпоредбите, отнасящи се до срока на действие на сертификатите за общо обезпечение и на сертификатите за освобождаване от обезпечение на хартиен носител, следва да се прилагат с обратна сила от 30 юни 2020 г. За поръчителите следва да се осигурят еднакви условия по силата на съюзното право и по силата на Конвенцията. Съгласно митническото законодателство на Съюза удълженият срок на действие на сертификатите вече е в сила от 30 юни 2020 г. </w:t>
      </w:r>
    </w:p>
    <w:p>
      <w:r>
        <w:rPr>
          <w:noProof/>
        </w:rPr>
        <w:t>Разпоредбите, отнасящи се до прилагането на Протокола за Ирландия/Северна Ирландия, ще се прилагат от момента, в който МКС престане да се прилага спрямо и във Обединеното кралство, с изключение на Северна Ирландия, където МКС ще продължи да се прилага и след тази дата, и в който Обединеното кралство се присъедини към Конвенцията като отделна договаряща страна.</w:t>
      </w:r>
    </w:p>
    <w:p>
      <w:pPr>
        <w:rPr>
          <w:rFonts w:eastAsia="Arial Unicode MS"/>
          <w:noProof/>
        </w:rPr>
      </w:pPr>
      <w:r>
        <w:rPr>
          <w:noProof/>
        </w:rPr>
        <w:t>В съответствие с член 15, параграф 3 от Конвенцията решенията за изменението ѝ се привеждат в действие от договарящите страни в съответствие с тяхното законодателство.</w:t>
      </w:r>
    </w:p>
    <w:p>
      <w:pPr>
        <w:pStyle w:val="ManualHeading1"/>
        <w:rPr>
          <w:rFonts w:eastAsia="Arial Unicode MS"/>
          <w:noProof/>
        </w:rPr>
      </w:pPr>
      <w:r>
        <w:t>3.</w:t>
      </w:r>
      <w:r>
        <w:tab/>
      </w:r>
      <w:r>
        <w:rPr>
          <w:noProof/>
        </w:rPr>
        <w:t>Позиция, която трябва да се заеме от името на Съюза</w:t>
      </w:r>
    </w:p>
    <w:p>
      <w:pPr>
        <w:pBdr>
          <w:top w:val="nil"/>
          <w:left w:val="nil"/>
          <w:bottom w:val="nil"/>
          <w:right w:val="nil"/>
          <w:between w:val="nil"/>
          <w:bar w:val="nil"/>
        </w:pBdr>
        <w:spacing w:before="0" w:after="240"/>
        <w:rPr>
          <w:rFonts w:eastAsia="Arial Unicode MS"/>
          <w:noProof/>
        </w:rPr>
      </w:pPr>
      <w:r>
        <w:rPr>
          <w:noProof/>
        </w:rPr>
        <w:t>Предложената позиция, която трябва да се заеме от името на Съюза, е да се изменят допълнения І и ІІІ към Конвенцията с цел съобразяването им със следното:</w:t>
      </w:r>
    </w:p>
    <w:p>
      <w:pPr>
        <w:pStyle w:val="Bullet0"/>
        <w:numPr>
          <w:ilvl w:val="0"/>
          <w:numId w:val="11"/>
        </w:numPr>
        <w:pBdr>
          <w:top w:val="nil"/>
          <w:left w:val="nil"/>
          <w:bottom w:val="nil"/>
          <w:right w:val="nil"/>
          <w:between w:val="nil"/>
          <w:bar w:val="nil"/>
        </w:pBdr>
        <w:spacing w:before="0" w:after="240"/>
        <w:rPr>
          <w:rFonts w:eastAsia="Arial Unicode MS"/>
          <w:noProof/>
        </w:rPr>
      </w:pPr>
      <w:r>
        <w:rPr>
          <w:noProof/>
        </w:rPr>
        <w:t>митническото законодателство на Съюза, уреждащо механизмите за съюзния транзит, и в частност изменения член 311 от Акта за изпълнение, в който се урежда искането за прехвърляне на събирането на митническото задължение, и приложение 72-04 към Акта за изпълнение по отношение на срока на действие на сертификатите за общо обезпечение и на сертификатите за освобождаване от обезпечение на хартиен носител, използвани при процедурата за непрекъснатост на дейността;</w:t>
      </w:r>
    </w:p>
    <w:p>
      <w:pPr>
        <w:pStyle w:val="Bullet0"/>
        <w:pBdr>
          <w:top w:val="nil"/>
          <w:left w:val="nil"/>
          <w:bottom w:val="nil"/>
          <w:right w:val="nil"/>
          <w:between w:val="nil"/>
          <w:bar w:val="nil"/>
        </w:pBdr>
        <w:spacing w:before="0" w:after="240"/>
        <w:rPr>
          <w:rFonts w:eastAsia="Arial Unicode MS"/>
          <w:noProof/>
        </w:rPr>
      </w:pPr>
      <w:r>
        <w:rPr>
          <w:noProof/>
        </w:rPr>
        <w:t>прилагането на Протокола за Ирландия/Северна Ирландия, в частност с цел разграничаване на Обединеното кралство по отношение на Северна Ирландия в съответните случаи.</w:t>
      </w:r>
    </w:p>
    <w:p>
      <w:pPr>
        <w:rPr>
          <w:rFonts w:eastAsia="Arial Unicode MS"/>
          <w:noProof/>
        </w:rPr>
      </w:pPr>
      <w:r>
        <w:rPr>
          <w:noProof/>
        </w:rPr>
        <w:t>Предложената позиция е съгласувана с общата търговска политика.</w:t>
      </w:r>
    </w:p>
    <w:p>
      <w:pPr>
        <w:rPr>
          <w:noProof/>
        </w:rPr>
      </w:pPr>
      <w:r>
        <w:rPr>
          <w:noProof/>
        </w:rPr>
        <w:t>Чрез осигуряване на пълното съобразяване на Конвенцията с действащото законодателство на Съюза и съответно чрез създаване на еднакви условия за съгласувано прилагане на разпоредбите относно съюзния транзит и общия транзитен режим, предложените изменения на Конвенцията биха довели до съществени и осезаеми ползи както за търговците, така и за митническите администрации.</w:t>
      </w:r>
    </w:p>
    <w:p>
      <w:pPr>
        <w:pStyle w:val="ManualHeading1"/>
        <w:rPr>
          <w:noProof/>
        </w:rPr>
      </w:pPr>
      <w:r>
        <w:lastRenderedPageBreak/>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В член 15, параграф 3 от Конвенцията се предвижда, че Съвместният комитет ЕС – ДОТР чрез решения приема изменения на допълненията към Конвенцията.</w:t>
      </w:r>
    </w:p>
    <w:p>
      <w:pPr>
        <w:pStyle w:val="ManualHeading3"/>
        <w:rPr>
          <w:noProof/>
        </w:rPr>
      </w:pPr>
      <w:r>
        <w:t>4.1.2.</w:t>
      </w:r>
      <w:r>
        <w:tab/>
      </w:r>
      <w:r>
        <w:rPr>
          <w:noProof/>
        </w:rPr>
        <w:t>Приложение в настоящия случай</w:t>
      </w:r>
    </w:p>
    <w:p>
      <w:pPr>
        <w:rPr>
          <w:noProof/>
        </w:rPr>
      </w:pPr>
      <w:r>
        <w:rPr>
          <w:noProof/>
        </w:rPr>
        <w:t>Съвместният комитет е орган, създаден по силата на споразумение, а именно Конвенцията за общ транзитен режим.</w:t>
      </w:r>
    </w:p>
    <w:p>
      <w:r>
        <w:rPr>
          <w:noProof/>
        </w:rPr>
        <w:t>Решението, което Съвместният комитет има за задача да приеме, представлява акт с правно действие. Предвиденият акт ще бъде обвързващ по силата на международното право в съответствие с член 15, параграф 3 и член 20 от Конвенцията.</w:t>
      </w:r>
      <w:r>
        <w:t xml:space="preserve"> </w:t>
      </w:r>
    </w:p>
    <w:p>
      <w:pPr>
        <w:rPr>
          <w:noProof/>
        </w:rPr>
      </w:pPr>
      <w:r>
        <w:rPr>
          <w:noProof/>
        </w:rPr>
        <w:t>С предвидения акт не се допълва и не се изменя институционалната рамка на Конвенцията.</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настоящия случай</w:t>
      </w:r>
    </w:p>
    <w:p>
      <w:pPr>
        <w:rPr>
          <w:noProof/>
        </w:rPr>
      </w:pPr>
      <w:r>
        <w:rPr>
          <w:noProof/>
        </w:rPr>
        <w:t>Основната цел и съдържанието на предвидения акт се отнасят до осигуряването на ефикасни процедури за стоките при преминаването на границите. Следователно 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от ДФЕС във връзка с член 218, параграф 9 от ДФЕС.</w:t>
      </w:r>
    </w:p>
    <w:p>
      <w:pPr>
        <w:pStyle w:val="ManualHeading1"/>
        <w:rPr>
          <w:noProof/>
        </w:rPr>
      </w:pPr>
      <w:r>
        <w:lastRenderedPageBreak/>
        <w:t>5.</w:t>
      </w:r>
      <w:r>
        <w:tab/>
      </w:r>
      <w:r>
        <w:rPr>
          <w:noProof/>
        </w:rPr>
        <w:t>Публикуване на предвидения акт</w:t>
      </w:r>
    </w:p>
    <w:p>
      <w:pPr>
        <w:rPr>
          <w:noProof/>
        </w:rPr>
      </w:pPr>
      <w:r>
        <w:rPr>
          <w:noProof/>
        </w:rPr>
        <w:t xml:space="preserve">Тъй като с решението на Съвместния комитет Конвенцията и допълненията към нея ще бъдат изменени, е целесъобразно след приемането му то да бъде публикувано в </w:t>
      </w:r>
      <w:r>
        <w:rPr>
          <w:i/>
          <w:noProof/>
        </w:rPr>
        <w:t>Официален вестник на Европейския съюз</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2021/0002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ЕС – ДОТР, създаден по силата на Конвенцията от 20 май 1987 г. за общ транзитен режим, по отношение на измененията на посочената конвенция</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Конвенцията за общ транзитен режим</w:t>
      </w:r>
      <w:r>
        <w:rPr>
          <w:rStyle w:val="FootnoteReference"/>
          <w:noProof/>
        </w:rPr>
        <w:footnoteReference w:id="12"/>
      </w:r>
      <w:r>
        <w:rPr>
          <w:noProof/>
        </w:rPr>
        <w:t xml:space="preserve"> (наричана по-нататък „Конвенцията“) беше сключена между Европейската икономическа общност, Република Австрия, Република Финландия, Република Исландия, Кралство Норвегия, Кралство Швеция и Конфедерация Швейцария на 20 май 1987 г. и влезе в сила на 1 януари 1988 г.</w:t>
      </w:r>
    </w:p>
    <w:p>
      <w:pPr>
        <w:pStyle w:val="ManualConsidrant"/>
        <w:rPr>
          <w:noProof/>
        </w:rPr>
      </w:pPr>
      <w:r>
        <w:t>(2)</w:t>
      </w:r>
      <w:r>
        <w:tab/>
      </w:r>
      <w:r>
        <w:rPr>
          <w:noProof/>
        </w:rPr>
        <w:t>Съгласно член 15, параграф 3, буква а) от Конвенцията създаденият по силата на нейните разпоредби Съвместен комитет може чрез решения да приема изменения на допълненията към нея.</w:t>
      </w:r>
    </w:p>
    <w:p>
      <w:pPr>
        <w:pStyle w:val="ManualConsidrant"/>
        <w:rPr>
          <w:noProof/>
        </w:rPr>
      </w:pPr>
      <w:r>
        <w:t>(3)</w:t>
      </w:r>
      <w:r>
        <w:tab/>
      </w:r>
      <w:r>
        <w:rPr>
          <w:noProof/>
        </w:rPr>
        <w:t>В началото на 2021 г. Съвместният комитет трябва да приеме решение за изменение на допълнения І и ІІІ към Конвенцията.</w:t>
      </w:r>
    </w:p>
    <w:p>
      <w:pPr>
        <w:pStyle w:val="ManualConsidrant"/>
        <w:rPr>
          <w:noProof/>
        </w:rPr>
      </w:pPr>
      <w:r>
        <w:t>(4)</w:t>
      </w:r>
      <w:r>
        <w:tab/>
      </w:r>
      <w:r>
        <w:rPr>
          <w:noProof/>
        </w:rPr>
        <w:t>Целесъобразно е да се установи позицията, която трябва да се заеме от името на Съюза в рамките на Съвместния комитет, тъй като решението за изменение на допълнения І и ІІІ към Конвенцията ще бъде обвързващо за Съюза.</w:t>
      </w:r>
    </w:p>
    <w:p>
      <w:pPr>
        <w:pStyle w:val="ManualConsidrant"/>
        <w:rPr>
          <w:noProof/>
        </w:rPr>
      </w:pPr>
      <w:r>
        <w:t>(5)</w:t>
      </w:r>
      <w:r>
        <w:tab/>
      </w:r>
      <w:r>
        <w:rPr>
          <w:noProof/>
        </w:rPr>
        <w:t>Член 311 от Регламент за изпълнение (ЕС) 2015/2447 на Комисията</w:t>
      </w:r>
      <w:r>
        <w:rPr>
          <w:rStyle w:val="FootnoteReference"/>
          <w:noProof/>
        </w:rPr>
        <w:footnoteReference w:id="13"/>
      </w:r>
      <w:r>
        <w:rPr>
          <w:noProof/>
        </w:rPr>
        <w:t xml:space="preserve"> (наричан по-нататък „Актът за изпълнение“), в който се урежда искането за прехвърляне на събирането на митническото задължение, беше изменен</w:t>
      </w:r>
      <w:r>
        <w:rPr>
          <w:rStyle w:val="FootnoteReference"/>
          <w:noProof/>
        </w:rPr>
        <w:footnoteReference w:id="14"/>
      </w:r>
      <w:r>
        <w:rPr>
          <w:noProof/>
        </w:rPr>
        <w:t xml:space="preserve">. Съгласно новите параграфи 3 и 4, когато митническият орган на държава, свързана с транзитна операция, получи доказателства, че събитията, довели до възникване на задължението, са настъпили на територията на неговата държава, този орган трябва да поиска от отправната държава да му прехвърли отговорността за </w:t>
      </w:r>
      <w:r>
        <w:rPr>
          <w:noProof/>
        </w:rPr>
        <w:lastRenderedPageBreak/>
        <w:t>започване на събирането. Отправната държава трябва да потвърди в определен срок дали прехвърля на отправилия искането митнически орган правомощието за започване на събирането. Затова член 50 от допълнение I към Конвенцията, който отразява разпоредбите на член 311 от Акта за изпълнение, следва да бъде съответно изменен.</w:t>
      </w:r>
    </w:p>
    <w:p>
      <w:pPr>
        <w:pStyle w:val="ManualConsidrant"/>
        <w:rPr>
          <w:noProof/>
        </w:rPr>
      </w:pPr>
      <w:r>
        <w:t>(6)</w:t>
      </w:r>
      <w:r>
        <w:tab/>
      </w:r>
      <w:r>
        <w:rPr>
          <w:noProof/>
        </w:rPr>
        <w:t>Приложение 72-04 към Акта за изпълнение, в което се описва процедурата за непрекъснатост на дейността при съюзен транзит, беше изменено</w:t>
      </w:r>
      <w:r>
        <w:rPr>
          <w:rStyle w:val="FootnoteReference"/>
          <w:noProof/>
        </w:rPr>
        <w:footnoteReference w:id="15"/>
      </w:r>
      <w:r>
        <w:rPr>
          <w:noProof/>
        </w:rPr>
        <w:t>. С цел да се предвиди повече гъвкавост в процедурата за непрекъснатост на дейността при съюзен транзит и да се намалят формалностите и разходите за митническите органи, бе удължен срокът на действие на сертификатите за общо обезпечение и на сертификатите за освобождаване от обезпечение на хартиен носител. Затова член 79 от допълнение І към Конвенцията и точка 19.3 от глава ІІІ от приложение ІІ към допълнение І към Конвенцията, отразяваща точка 19.3 от глава ІІІ от част І от приложение 72-04 към Акта за изпълнение, следва да бъдат съответно изменени.</w:t>
      </w:r>
    </w:p>
    <w:p>
      <w:pPr>
        <w:pStyle w:val="ManualConsidrant"/>
        <w:rPr>
          <w:noProof/>
        </w:rPr>
      </w:pPr>
      <w:r>
        <w:t>(7)</w:t>
      </w:r>
      <w:r>
        <w:tab/>
      </w:r>
      <w:r>
        <w:rPr>
          <w:noProof/>
        </w:rPr>
        <w:t>Когато МКС престане да се прилага спрямо и във Обединеното кралство, с изключение на Северна Ирландия, Обединеното кралство ще се присъедини към Конвенцията като отделна договаряща страна</w:t>
      </w:r>
      <w:r>
        <w:rPr>
          <w:rStyle w:val="FootnoteReference"/>
          <w:rFonts w:eastAsia="Arial Unicode MS"/>
          <w:noProof/>
        </w:rPr>
        <w:footnoteReference w:id="16"/>
      </w:r>
      <w:r>
        <w:rPr>
          <w:noProof/>
        </w:rPr>
        <w:t xml:space="preserve"> и ще се прилага Протоколът за Ирландия/Северна Ирландия към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17"/>
      </w:r>
      <w:r>
        <w:rPr>
          <w:noProof/>
        </w:rPr>
        <w:t>. В Конвенцията се съдържат наименованията на държавите – членки на ЕС, държавите с общ транзитен режим и съответните им кодове. Затова е необходимо да се внесат подходящи изменения в допълнение ІІІ към Конвенцията, за да се посочи, че Обединеното кралство е държава с общ транзитен режим и че МКС се прилага в Северна Ирландия, в частност по отношение на разпоредбите за обезпеченията,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33-ото заседание на Съвместния комитет, на негово следващо заседание или по писмената процедура по отношение на измененията на допълненията към Конвенцията, се основава на проекторешението на Съвместния комитет, съдържащо се в приложението към настоящото решение.</w:t>
      </w:r>
    </w:p>
    <w:p>
      <w:pPr>
        <w:rPr>
          <w:noProof/>
        </w:rPr>
      </w:pPr>
      <w:r>
        <w:rPr>
          <w:noProof/>
        </w:rPr>
        <w:t>Несъществени промени в проекторешението на Съвместния комитет може да бъдат одобрени от представителите на Съюза в Съвместния комитет без допълнително решение на Съвета.</w:t>
      </w:r>
    </w:p>
    <w:p>
      <w:pPr>
        <w:pStyle w:val="Titrearticle"/>
        <w:rPr>
          <w:noProof/>
        </w:rPr>
      </w:pPr>
      <w:r>
        <w:rPr>
          <w:noProof/>
        </w:rPr>
        <w:lastRenderedPageBreak/>
        <w:t>Член 2</w:t>
      </w:r>
    </w:p>
    <w:p>
      <w:pPr>
        <w:keepNext/>
        <w:keepLines/>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Държавите с общ транзитен режим.</w:t>
      </w:r>
    </w:p>
  </w:footnote>
  <w:footnote w:id="2">
    <w:p>
      <w:pPr>
        <w:pStyle w:val="FootnoteText"/>
      </w:pPr>
      <w:r>
        <w:rPr>
          <w:rStyle w:val="FootnoteReference"/>
        </w:rPr>
        <w:footnoteRef/>
      </w:r>
      <w:r>
        <w:tab/>
        <w:t>ОВ L 226, 13.8.1987 г., стр. 2.</w:t>
      </w:r>
    </w:p>
  </w:footnote>
  <w:footnote w:id="3">
    <w:p>
      <w:pPr>
        <w:pStyle w:val="FootnoteText"/>
      </w:pPr>
      <w:r>
        <w:rPr>
          <w:rStyle w:val="FootnoteReference"/>
        </w:rPr>
        <w:footnoteRef/>
      </w:r>
      <w:r>
        <w:tab/>
        <w:t>Членове 226 и 227 от Регламент (ЕС) № 952/2013 на Европейския парламент и на Съвета от 9 октомври 2013 г. за създаване на Митнически кодекс на Съюза (ОВ L 269, 10.10.2013 г., стр. 1).</w:t>
      </w:r>
    </w:p>
  </w:footnote>
  <w:footnote w:id="4">
    <w:p>
      <w:pPr>
        <w:pStyle w:val="FootnoteText"/>
      </w:pPr>
      <w:r>
        <w:rPr>
          <w:rStyle w:val="FootnoteReference"/>
        </w:rPr>
        <w:footnoteRef/>
      </w:r>
      <w:r>
        <w:tab/>
        <w:t>Т.е. без възражения от която и да било от договарящите страни.</w:t>
      </w:r>
    </w:p>
  </w:footnote>
  <w:footnote w:id="5">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 w:id="6">
    <w:p>
      <w:pPr>
        <w:pStyle w:val="FootnoteText"/>
      </w:pPr>
      <w:r>
        <w:rPr>
          <w:rStyle w:val="FootnoteReference"/>
        </w:rPr>
        <w:footnoteRef/>
      </w:r>
      <w:r>
        <w:tab/>
        <w:t>ОВ L 29, 31.1.2020 г., стр. 7.</w:t>
      </w:r>
    </w:p>
  </w:footnote>
  <w:footnote w:id="7">
    <w:p>
      <w:pPr>
        <w:pStyle w:val="FootnoteText"/>
      </w:pPr>
      <w:r>
        <w:rPr>
          <w:rStyle w:val="FootnoteReference"/>
        </w:rPr>
        <w:footnoteRef/>
      </w:r>
      <w:r>
        <w:tab/>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footnote>
  <w:footnote w:id="8">
    <w:p>
      <w:pPr>
        <w:pStyle w:val="FootnoteText"/>
      </w:pPr>
      <w:r>
        <w:rPr>
          <w:rStyle w:val="FootnoteReference"/>
        </w:rPr>
        <w:footnoteRef/>
      </w:r>
      <w:r>
        <w:tab/>
        <w:t>Регламент за изпълнение (ЕС) 2019/1394 на Комисията от 10 септември 2019 г. за изменение и поправка на Регламент за изпълнение (ЕС) 2015/2447 по отношение на някои правила за наблюдението на допускането за свободно обращение и за напускането на митническата територия на Съюза (OВ L 234, 11.9.2019 г., стр. 1).</w:t>
      </w:r>
    </w:p>
  </w:footnote>
  <w:footnote w:id="9">
    <w:p>
      <w:pPr>
        <w:pStyle w:val="FootnoteText"/>
      </w:pPr>
      <w:r>
        <w:rPr>
          <w:rStyle w:val="FootnoteReference"/>
        </w:rPr>
        <w:footnoteRef/>
      </w:r>
      <w:r>
        <w:tab/>
        <w:t>Регламент за изпълнение (ЕС) 2020/893 на Комисията от 29 юни 2020 г. за изменение на Регламент за изпълнение (ЕС) 2015/2447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(OВ L 206, 30.6.2020 г., стр. 8).</w:t>
      </w:r>
    </w:p>
  </w:footnote>
  <w:footnote w:id="10">
    <w:p>
      <w:pPr>
        <w:pStyle w:val="FootnoteText"/>
      </w:pPr>
      <w:r>
        <w:rPr>
          <w:rStyle w:val="FootnoteReference"/>
        </w:rPr>
        <w:footnoteRef/>
      </w:r>
      <w:r>
        <w:tab/>
        <w:t>Решение № 1/2018 на Съвместния комитет ЕС – ДОТР от 4 декември 2018 г. относно поканата към Обединеното кралство да се присъедини към Конвенцията за общ транзитен режим [2018/1987] (OВ L 317, 14.12.2018 г., стр. 47).</w:t>
      </w:r>
    </w:p>
  </w:footnote>
  <w:footnote w:id="11">
    <w:p>
      <w:pPr>
        <w:pStyle w:val="FootnoteText"/>
      </w:pPr>
      <w:r>
        <w:rPr>
          <w:rStyle w:val="FootnoteReference"/>
        </w:rPr>
        <w:footnoteRef/>
      </w:r>
      <w:r>
        <w:tab/>
        <w:t>ОВ L 29, 31.1.2020 г., стр. 102.</w:t>
      </w:r>
    </w:p>
  </w:footnote>
  <w:footnote w:id="12">
    <w:p>
      <w:pPr>
        <w:pStyle w:val="FootnoteText"/>
      </w:pPr>
      <w:r>
        <w:rPr>
          <w:rStyle w:val="FootnoteReference"/>
        </w:rPr>
        <w:footnoteRef/>
      </w:r>
      <w:r>
        <w:tab/>
        <w:t>ОВ L 226, 13.8.1987 г., стр. 2.</w:t>
      </w:r>
    </w:p>
  </w:footnote>
  <w:footnote w:id="13">
    <w:p>
      <w:pPr>
        <w:pStyle w:val="FootnoteText"/>
      </w:pPr>
      <w:r>
        <w:rPr>
          <w:rStyle w:val="FootnoteReference"/>
        </w:rPr>
        <w:footnoteRef/>
      </w:r>
      <w:r>
        <w:tab/>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footnote>
  <w:footnote w:id="14">
    <w:p>
      <w:pPr>
        <w:pStyle w:val="FootnoteText"/>
      </w:pPr>
      <w:r>
        <w:rPr>
          <w:rStyle w:val="FootnoteReference"/>
        </w:rPr>
        <w:footnoteRef/>
      </w:r>
      <w:r>
        <w:tab/>
        <w:t>Регламент за изпълнение (ЕС) 2019/1394 на Комисията от 10 септември 2019 г. за изменение и поправка на Регламент за изпълнение (ЕС) 2015/2447 по отношение на някои правила за наблюдението на допускането за свободно обращение и за напускането на митническата територия на Съюза (OВ L 234, 11.9.2019 г., стр. 1).</w:t>
      </w:r>
    </w:p>
  </w:footnote>
  <w:footnote w:id="15">
    <w:p>
      <w:pPr>
        <w:pStyle w:val="FootnoteText"/>
      </w:pPr>
      <w:r>
        <w:rPr>
          <w:rStyle w:val="FootnoteReference"/>
        </w:rPr>
        <w:footnoteRef/>
      </w:r>
      <w:r>
        <w:tab/>
        <w:t>Регламент за изпълнение (ЕС) 2020/893 на Комисията от 29 юни 2020 г. за изменение на Регламент за изпълнение (ЕС) 2015/2447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(OВ L 206, 30.6.2020 г., стр. 8).</w:t>
      </w:r>
    </w:p>
  </w:footnote>
  <w:footnote w:id="16">
    <w:p>
      <w:pPr>
        <w:pStyle w:val="FootnoteText"/>
      </w:pPr>
      <w:r>
        <w:rPr>
          <w:rStyle w:val="FootnoteReference"/>
        </w:rPr>
        <w:footnoteRef/>
      </w:r>
      <w:r>
        <w:tab/>
        <w:t>Решение № 1/2018 на Съвместния комитет ЕС – ДОТР от 4 декември 2018 г. относно поканата към Обединеното кралство да се присъедини към Конвенцията за общ транзитен режим [2018/1987] (OВ L 317, 14.12.2018 г., стр. 47).</w:t>
      </w:r>
    </w:p>
  </w:footnote>
  <w:footnote w:id="17">
    <w:p>
      <w:pPr>
        <w:pStyle w:val="FootnoteText"/>
      </w:pPr>
      <w:r>
        <w:rPr>
          <w:rStyle w:val="FootnoteReference"/>
        </w:rPr>
        <w:footnoteRef/>
      </w:r>
      <w:r>
        <w:tab/>
        <w:t>ОВ L 29, 31.1.2020 г., стр. 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9CB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32B8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A47F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2C5C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02C92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BC3F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BE9FB0"/>
    <w:lvl w:ilvl="0">
      <w:start w:val="1"/>
      <w:numFmt w:val="decimal"/>
      <w:pStyle w:val="ListNumber"/>
      <w:lvlText w:val="%1."/>
      <w:lvlJc w:val="left"/>
      <w:pPr>
        <w:tabs>
          <w:tab w:val="num" w:pos="360"/>
        </w:tabs>
        <w:ind w:left="360" w:hanging="360"/>
      </w:pPr>
    </w:lvl>
  </w:abstractNum>
  <w:abstractNum w:abstractNumId="7">
    <w:nsid w:val="FFFFFF89"/>
    <w:multiLevelType w:val="singleLevel"/>
    <w:tmpl w:val="7D8E43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2 10:27: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71E8B0B-129A-4C61-938D-0633D6B13B08"/>
    <w:docVar w:name="LW_COVERPAGE_TYPE" w:val="1"/>
    <w:docVar w:name="LW_CROSSREFERENCE" w:val="&lt;UNUSED&gt;"/>
    <w:docVar w:name="LW_DocType" w:val="COM"/>
    <w:docVar w:name="LW_EMISSION" w:val="13.1.2021"/>
    <w:docVar w:name="LW_EMISSION_ISODATE" w:val="2021-01-13"/>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02"/>
    <w:docVar w:name="LW_REF.II.NEW.CP_YEAR" w:val="2021"/>
    <w:docVar w:name="LW_REF.INST.NEW" w:val="COM"/>
    <w:docVar w:name="LW_REF.INST.NEW_ADOPTED" w:val="final"/>
    <w:docVar w:name="LW_REF.INST.NEW_TEXT" w:val="(2021)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45?\u1057? \u8211? \u1044?\u1054?\u1058?\u1056?, \u1089?\u1098?\u1079?\u1076?\u1072?\u1076?\u1077?\u1085? \u1087?\u1086? \u1089?\u1080?\u1083?\u1072?\u1090?\u1072? \u1085?\u1072? \u1050?\u1086?\u1085?\u1074?\u1077?\u1085?\u1094?\u1080?\u1103?\u1090?\u1072? \u1086?\u1090? 20 \u1084?\u1072?\u1081? 1987 \u1075?. \u1079?\u1072? \u1086?\u1073?\u1097? \u1090?\u1088?\u1072?\u1085?\u1079?\u1080?\u1090?\u1077?\u1085? \u1088?\u1077?\u1078?\u1080?\u1084?, \u1087?\u1086? \u1086?\u1090?\u1085?\u1086?\u1096?\u1077?\u1085?\u1080?\u1077? \u1085?\u1072? \u1080?\u1079?\u1084?\u1077?\u1085?\u1077?\u1085?\u1080?\u1103?\u1090?\u1072? \u1085?\u1072? \u1087?\u1086?\u1089?\u1086?\u1095?\u1077?\u1085?\u1072?\u1090?\u1072? \u1082?\u1086?\u1085?\u1074?\u1077?\u1085?\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D758-DB7D-4F24-A05F-01DDF43E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2153</Words>
  <Characters>12212</Characters>
  <Application>Microsoft Office Word</Application>
  <DocSecurity>0</DocSecurity>
  <Lines>230</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2021-01-06T08:28:00Z</dcterms:created>
  <dcterms:modified xsi:type="dcterms:W3CDTF">2021-01-12T09:27:00Z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