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B1C683D-F892-46CD-91E1-358A5DCD9061" style="width:450.75pt;height:375.15pt">
            <v:imagedata r:id="rId9" o:title=""/>
          </v:shape>
        </w:pict>
      </w:r>
    </w:p>
    <w:bookmarkEnd w:id="0"/>
    <w:p>
      <w:pPr>
        <w:spacing w:line="360" w:lineRule="auto"/>
        <w:rPr>
          <w:noProof/>
          <w:lang w:val="el-G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spacing w:line="360" w:lineRule="auto"/>
        <w:rPr>
          <w:noProof/>
        </w:rPr>
      </w:pPr>
      <w:bookmarkStart w:id="1" w:name="_GoBack"/>
      <w:bookmarkEnd w:id="1"/>
    </w:p>
    <w:p>
      <w:pPr>
        <w:pStyle w:val="Default"/>
        <w:spacing w:line="360" w:lineRule="auto"/>
        <w:rPr>
          <w:noProof/>
        </w:rPr>
      </w:pPr>
    </w:p>
    <w:p>
      <w:pPr>
        <w:spacing w:line="360" w:lineRule="auto"/>
        <w:jc w:val="center"/>
        <w:rPr>
          <w:rFonts w:ascii="Times New Roman" w:hAnsi="Times New Roman" w:cs="Times New Roman"/>
          <w:b/>
          <w:noProof/>
          <w:sz w:val="24"/>
          <w:szCs w:val="24"/>
        </w:rPr>
      </w:pPr>
      <w:r>
        <w:rPr>
          <w:rFonts w:ascii="Times New Roman" w:hAnsi="Times New Roman"/>
          <w:b/>
          <w:noProof/>
          <w:sz w:val="24"/>
          <w:szCs w:val="24"/>
        </w:rPr>
        <w:t>ДОКЛАД НА КОМИСИЯТА ДО ЕВРОПЕЙСКИЯ ПАРЛАМЕНТ И СЪВЕТА</w:t>
      </w:r>
    </w:p>
    <w:p>
      <w:pPr>
        <w:spacing w:before="120" w:after="120" w:line="36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относно съвместната оценка на 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 xml:space="preserve">Въведение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влезе в сила на 1 юни 2012 г.</w:t>
      </w:r>
      <w:r>
        <w:rPr>
          <w:rStyle w:val="FootnoteReference"/>
          <w:rFonts w:ascii="Times New Roman" w:hAnsi="Times New Roman" w:cs="Times New Roman"/>
          <w:noProof/>
          <w:sz w:val="24"/>
          <w:szCs w:val="24"/>
          <w:lang w:val="en-IE"/>
        </w:rPr>
        <w:footnoteReference w:id="1"/>
      </w:r>
      <w:r>
        <w:rPr>
          <w:rFonts w:ascii="Times New Roman" w:hAnsi="Times New Roman"/>
          <w:noProof/>
          <w:sz w:val="24"/>
          <w:szCs w:val="24"/>
        </w:rPr>
        <w:t xml:space="preserve"> В член 24, параграф 4 от Споразумението се заявява, че двете страни правят оценка на Споразумението, по-специално неговата оперативна ефективност, не по-късно от четири години след влизането му в сила.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Съвместната оценка се състои от по-задълбочено разглеждане на Споразумението, като се проучват по-широкото функциониране и оперативната добавена стойност и се оценяват неговите резултати, въздействие, ефективност, необходимост и пропорционалност. Тя също така дава възможност да се направи равносметка на евентуалните последици вследствие на развитието на релевантните правни рамки и съдебни практики на двете страни. Следователно съвместната оценка възприема по-широк подход от съвместните прегледи, при които двете страни оценяват дали Споразумението се изпълнява правилно.</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Процес на подготовка за съвместната оценка и доклада</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Преди извършването на съвместната оценка, на 28 юни 2019 г. Комисията изпрати въпросник на Министерството на вътрешните работи (по-нататък „министерството“) на Австралия. Министерството предостави проект на писмени отговори на въпросника преди съвместната оценка, а след това — окончателна консолидирана версия. </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Екипът на ЕС проведе посещението за съвместната оценка на 15 август 2019 г.</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По искане на министерството всички членове на екипа на ЕС подписаха екземпляр от споразумение за поверителност като условие за участието им в извършвания преглед.</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Отговорите на въпросника бяха обсъдени подробно с министерството. Освен това екипът на ЕС имаше възможността и времето да повдигне допълнителни въпроси пред служителите на министерството и да обсъди изчерпателно различните аспекти на Споразумението.</w:t>
      </w:r>
    </w:p>
    <w:p>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Констатациите на екипа на ЕС бяха изложени в придружаващия работен документ на службите на Комисията, който беше също така споделен с министерството, предоставяйки на австралийската страна възможността да коментира неточности и да посочи информацията, която не може да бъде разкрита пред обществеността.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Придружаващият работен документ на службите на Комисията предоставя по-подробна информация и цялостен анализ на методиката на съвместната оценка и на всички въпроси, обхванати от настоящия доклад. </w:t>
      </w:r>
    </w:p>
    <w:p>
      <w:pPr>
        <w:spacing w:line="360" w:lineRule="auto"/>
        <w:jc w:val="both"/>
        <w:rPr>
          <w:rFonts w:ascii="Times New Roman" w:hAnsi="Times New Roman" w:cs="Times New Roman"/>
          <w:noProof/>
          <w:sz w:val="24"/>
          <w:szCs w:val="24"/>
          <w:u w:val="single"/>
        </w:rPr>
      </w:pPr>
      <w:r>
        <w:rPr>
          <w:rFonts w:ascii="Times New Roman" w:hAnsi="Times New Roman"/>
          <w:noProof/>
          <w:sz w:val="24"/>
          <w:szCs w:val="24"/>
          <w:u w:val="single"/>
        </w:rPr>
        <w:t>Констатации от съвместната оценка</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Основните констатации от съвместната оценка могат да бъдат обобщени, както следва: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Оценяващите екипи обсъдиха различните начини, по които PNR данните се използват за целите на предотвратяването, разкриването, разследването и наказателното преследване на терористични престъпления и свързани с тях престъпления, както и на някои други, транснационални по естеството си, престъпления. Съвместната оценка потвърди, че PNR данните съдържат елементи, които не са достъпни чрез други средства, и по-специално информацията, съдържаща се в PNR данните, не може да бъде намерена в никакъв друг вид събрани данни.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Необходимостта от събиране на PNR данни беше доказана и от годността им да подпомагат съответните органи при идентифицирането на високорискови пътници, които не са известни иначе на правоприлагащите органи. Освен това ползата от съхраняването на т.нар. „исторически“ PNR данни е илюстрирана с многобройни примери, при които исторически PNR данни са били от основно значение за решаването на знакови случаи на борба с тероризма не само в Австралия, но и в ЕС.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В допълнение в съвместната оценка се взема под внимание и нарастващият интерес към използването на PNR данни в световен мащаб за целите на борбата с тероризма и правоприлагането, както и във връзка с новосъздадени международни задължения. В този контекст се прави специално позоваване на приемането на Директивата на ЕС за резервационните данни на пътниците</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а в световен мащаб — на новите стандарти и препоръчителни практики (или СПП) относно събирането, използването, обработването и защитата на PNR данни от Международната организация за гражданско въздухоплаване (ИКАО), както е предвидено в Резолюция 2396 (2017) на Съвета за сигурност на ООН</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Накрая, оценяващите екипи обсъдиха и Становище 1/15 на Съда относно предвижданото споразумение между ЕС и Канада относно PNR данните</w:t>
      </w:r>
      <w:r>
        <w:rPr>
          <w:rStyle w:val="FootnoteReference"/>
          <w:rFonts w:ascii="Times New Roman" w:hAnsi="Times New Roman" w:cs="Times New Roman"/>
          <w:noProof/>
          <w:sz w:val="24"/>
          <w:lang w:val="en-GB"/>
        </w:rPr>
        <w:footnoteReference w:id="4"/>
      </w:r>
      <w:r>
        <w:rPr>
          <w:noProof/>
        </w:rPr>
        <w:t>.</w:t>
      </w:r>
      <w:r>
        <w:rPr>
          <w:rFonts w:ascii="Times New Roman" w:hAnsi="Times New Roman"/>
          <w:noProof/>
          <w:sz w:val="24"/>
          <w:szCs w:val="24"/>
        </w:rPr>
        <w:t xml:space="preserve"> </w:t>
      </w:r>
    </w:p>
    <w:p>
      <w:pPr>
        <w:spacing w:line="360" w:lineRule="auto"/>
        <w:rPr>
          <w:rFonts w:ascii="Times New Roman" w:hAnsi="Times New Roman" w:cs="Times New Roman"/>
          <w:noProof/>
          <w:sz w:val="24"/>
          <w:szCs w:val="24"/>
          <w:u w:val="single"/>
        </w:rPr>
      </w:pPr>
      <w:r>
        <w:rPr>
          <w:rFonts w:ascii="Times New Roman" w:hAnsi="Times New Roman"/>
          <w:noProof/>
          <w:sz w:val="24"/>
          <w:szCs w:val="24"/>
          <w:u w:val="single"/>
        </w:rPr>
        <w:t>Заключения</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Съвместната оценка демонстрира ясно добавената стойност и оперативната ефективност на Споразумението в борбата срещу тероризма и тежките транснационални престъпления. Примерите, предоставени по време на оценката, показаха, че PNR данните, в това число и историческите PNR данни, са били като уникален набор от данни от решаващо значение за предотвратяване на завръщането на чуждестранни бойци терористи и за борба по-специално с престъпления, свързани с наркотици, и с експлоатацията на деца. Освен това целите на Споразумението са в съответствие с международните задължения за събиране, обработка и анализ на PNR данни за осъществяване на ефективен граничен контрол с цел предотвратяване на пътуванията на терористи, както и за подпомагане на разкриването на връзки между лица от средите на организираната престъпност и за наказателното преследване на тероризма и организираната престъпност.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Същевременно екипът на ЕС отбеляза, че въпреки многобройните гаранции, които се съдържат в него, няколко аспекта на Споразумението не са изцяло в съответствие със Становище 1/15 на Съда относно предвиденото споразумение с Канада относно PNR данните, тъй като Споразумението с Австралия бе сключено преди Съдът да предостави своето становище Те се отнасят до уведомяването на пътниците, съхраняването на PNR данните, последващото им предаване и необходимостта от предварителен независим преглед на използването на PNR данните.</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Комисията признава усилията, положени от Австралия за спазване на изискванията на Споразумението, както се доказва от съвместния преглед</w:t>
      </w:r>
      <w:r>
        <w:rPr>
          <w:rStyle w:val="FootnoteReference"/>
          <w:rFonts w:ascii="Times New Roman" w:hAnsi="Times New Roman" w:cs="Times New Roman"/>
          <w:noProof/>
          <w:sz w:val="24"/>
          <w:szCs w:val="24"/>
          <w:lang w:val="en-IE"/>
        </w:rPr>
        <w:footnoteReference w:customMarkFollows="1" w:id="5"/>
        <w:t>5</w:t>
      </w:r>
      <w:r>
        <w:rPr>
          <w:rFonts w:ascii="Times New Roman" w:hAnsi="Times New Roman"/>
          <w:noProof/>
          <w:sz w:val="24"/>
          <w:szCs w:val="24"/>
        </w:rPr>
        <w:t xml:space="preserve">, и взема под внимание значението, което Австралия отдава на необходимостта от съхраняването на исторически PNR данни. </w:t>
      </w:r>
    </w:p>
    <w:p>
      <w:pPr>
        <w:spacing w:line="360" w:lineRule="auto"/>
        <w:jc w:val="both"/>
        <w:rPr>
          <w:rFonts w:ascii="Times New Roman" w:hAnsi="Times New Roman" w:cs="Times New Roman"/>
          <w:noProof/>
          <w:sz w:val="24"/>
          <w:szCs w:val="24"/>
        </w:rPr>
      </w:pPr>
      <w:r>
        <w:rPr>
          <w:rFonts w:ascii="Times New Roman" w:hAnsi="Times New Roman"/>
          <w:noProof/>
          <w:sz w:val="24"/>
          <w:szCs w:val="24"/>
        </w:rPr>
        <w:t xml:space="preserve">Предвид гореизложеното страните се ангажираха да продължат конструктивния си диалог относно прилагането на Споразумението и да работят по препоръките от съвместния преглед и настоящата оценка в светлината на становището на Съда относно предвижданото споразумение между ЕС и Канада относно PNR данните. В този контекст Комисията ще направи оценка на необходимите последващи действия, като също така вземе предвид обратната информация, получена от Европейския парламент и Съвета, по настоящия доклад </w:t>
      </w:r>
    </w:p>
    <w:p>
      <w:pPr>
        <w:spacing w:line="360" w:lineRule="auto"/>
        <w:jc w:val="both"/>
        <w:rPr>
          <w:noProof/>
        </w:rPr>
      </w:pPr>
      <w:r>
        <w:rPr>
          <w:rFonts w:ascii="Times New Roman" w:hAnsi="Times New Roman"/>
          <w:noProof/>
          <w:sz w:val="24"/>
          <w:szCs w:val="24"/>
        </w:rPr>
        <w:t>Като цяло Комисията ще преразгледа следващата година външната стратегия на ЕС за предаване на PNR данни на трети държави.</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760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5" w:hanging="425"/>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r>
      <w:r>
        <w:rPr>
          <w:rFonts w:ascii="Times New Roman" w:hAnsi="Times New Roman"/>
        </w:rPr>
        <w:t>Споразумение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ОВ L 186, 14.7.2012 г.</w:t>
      </w:r>
    </w:p>
  </w:footnote>
  <w:footnote w:id="2">
    <w:p>
      <w:pPr>
        <w:pStyle w:val="FootnoteText"/>
        <w:ind w:left="340"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стр. 132).</w:t>
      </w:r>
    </w:p>
  </w:footnote>
  <w:footnote w:id="3">
    <w:p>
      <w:pPr>
        <w:pStyle w:val="FootnoteText"/>
        <w:ind w:left="340"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Резолюция 2396 (2017), приета от Съвета за сигурност на неговото 8148</w:t>
      </w:r>
      <w:r>
        <w:rPr>
          <w:rFonts w:ascii="Times New Roman" w:hAnsi="Times New Roman" w:cs="Times New Roman"/>
          <w:vertAlign w:val="superscript"/>
        </w:rPr>
        <w:t>-о</w:t>
      </w:r>
      <w:r>
        <w:rPr>
          <w:rFonts w:ascii="Times New Roman" w:hAnsi="Times New Roman" w:cs="Times New Roman"/>
        </w:rPr>
        <w:t xml:space="preserve"> заседание на 21 декември 2017 г.</w:t>
      </w:r>
    </w:p>
  </w:footnote>
  <w:footnote w:id="4">
    <w:p>
      <w:pPr>
        <w:pStyle w:val="FootnoteText"/>
        <w:ind w:left="340"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Становище 1/15 на Съда (голям състав), ECLI:EU:C:2017:592.</w:t>
      </w:r>
    </w:p>
  </w:footnote>
  <w:footnote w:id="5">
    <w:p>
      <w:pPr>
        <w:pStyle w:val="FootnoteText"/>
        <w:ind w:left="425" w:hanging="425"/>
        <w:jc w:val="both"/>
        <w:rPr>
          <w:rFonts w:ascii="Times New Roman" w:hAnsi="Times New Roman" w:cs="Times New Roman"/>
        </w:rPr>
      </w:pPr>
      <w:r>
        <w:rPr>
          <w:rStyle w:val="FootnoteReference"/>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ab/>
        <w:t>Доклад на Комисията до Европейския парламент и Съвета относно съвместния преглед на прилагането на Споразумението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COM(2020)701final.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6B"/>
    <w:multiLevelType w:val="hybridMultilevel"/>
    <w:tmpl w:val="0DC2170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996715"/>
    <w:multiLevelType w:val="hybridMultilevel"/>
    <w:tmpl w:val="B26C52AE"/>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EA250C"/>
    <w:multiLevelType w:val="hybridMultilevel"/>
    <w:tmpl w:val="0164C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7510842"/>
    <w:multiLevelType w:val="hybridMultilevel"/>
    <w:tmpl w:val="FEEE992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DB7573A"/>
    <w:multiLevelType w:val="hybridMultilevel"/>
    <w:tmpl w:val="3800B408"/>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F696BF4"/>
    <w:multiLevelType w:val="hybridMultilevel"/>
    <w:tmpl w:val="5BF8A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0E12C5B"/>
    <w:multiLevelType w:val="hybridMultilevel"/>
    <w:tmpl w:val="BFD4CEF2"/>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466248"/>
    <w:multiLevelType w:val="hybridMultilevel"/>
    <w:tmpl w:val="FF72618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B1C683D-F892-46CD-91E1-358A5DCD9061"/>
    <w:docVar w:name="LW_COVERPAGE_TYPE" w:val="1"/>
    <w:docVar w:name="LW_CROSSREFERENCE" w:val="{SWD(2021) 3 final}"/>
    <w:docVar w:name="LW_DATE.ADOPT.CP_ISODATE" w:val="&lt;EMPTY&gt;"/>
    <w:docVar w:name="LW_DocType" w:val="NORMAL"/>
    <w:docVar w:name="LW_EMISSION" w:val="12.1.2021"/>
    <w:docVar w:name="LW_EMISSION_ISODATE" w:val="2021-01-12"/>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9?\u1098?\u1074?\u1084?\u1077?\u1089?\u1090?\u1085?\u1072?\u1090?\u1072? \u1086?\u1094?\u1077?\u1085?\u1082?\u1072? \u1085?\u1072? \u1057?\u1087?\u1086?\u1088?\u1072?\u1079?\u1091?\u1084?\u1077?\u1085?\u1080?\u1077?\u1090?\u1086? \u1084?\u1077?\u1078?\u1076?\u1091? \u1045?\u1074?\u1088?\u1086?\u1087?\u1077?\u1081?\u1089?\u1082?\u1080?\u1103? \u1089?\u1098?\u1102?\u1079? \u1080? \u1040?\u1074?\u1089?\u1090?\u1088?\u1072?\u1083?\u1080?\u1103? \u1086?\u1090?\u1085?\u1086?\u1089?\u1085?\u1086? \u1086?\u1073?\u1088?\u1072?\u1073?\u1086?\u1090?\u1082?\u1072?\u1090?\u1072? \u1080? \u1087?\u1088?\u1077?\u1076?\u1072?\u1074?\u1072?\u1085?\u1077?\u1090?\u1086? \u1085?\u1072? \u1088?\u1077?\u1079?\u1077?\u1088?\u1074?\u1072?\u1094?\u1080?\u1086?\u1085?\u1085?\u1080? \u1076?\u1072?\u1085?\u1085?\u1080? \u1079?\u1072? \u1087?\u1098?\u1090?\u1085?\u1080?\u1094?\u1080?\u1090?\u1077? (PNR) \u1086?\u1090? \u1074?\u1098?\u1079?\u1076?\u1091?\u1096?\u1085?\u1080? \u1087?\u1088?\u1077?\u1074?\u1086?\u1079?\u1074?\u1072?\u1095?\u1080? \u1085?\u1072? \u1040?\u1074?\u1089?\u1090?\u1088?\u1072?\u1083?\u1080?\u1081?\u1089?\u1082?\u1072?\u1090?\u1072? \u1084?\u1080?\u1090?\u1085?\u1080?\u1095?\u1077?\u1089?\u1082?\u1072? \u1080? \u1075?\u1088?\u1072?\u1085?\u1080?\u1095?\u1085?\u1072? \u1089?\u1083?\u1091?\u1078?\u1073?\u1072?&lt;/FMT&gt;_x000b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DF80-71B7-44BA-B90F-691E80BE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955</Words>
  <Characters>5902</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2020-01-20T07:41:00Z</cp:lastPrinted>
  <dcterms:created xsi:type="dcterms:W3CDTF">2021-01-11T08:38:00Z</dcterms:created>
  <dcterms:modified xsi:type="dcterms:W3CDTF">2021-01-14T16:04:00Z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