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8EA10ABE-6DB2-4E8F-97C9-71C99BA42950" style="width:450.8pt;height:394.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both"/>
        <w:rPr>
          <w:rFonts w:ascii="Times New Roman" w:hAnsi="Times New Roman" w:cs="Times New Roman"/>
          <w:b/>
          <w:noProof/>
          <w:sz w:val="24"/>
          <w:szCs w:val="24"/>
        </w:rPr>
      </w:pPr>
      <w:bookmarkStart w:id="1" w:name="_GoBack"/>
      <w:bookmarkEnd w:id="1"/>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I. Списък на директивите и рамковите директиви, по които понастоящем се водят производства за установяване на нарушение</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Рамка от Прюм</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текущи производства за установяване на нарушение срещу 2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Рамково решение относно акредитацията на структури, предоставящи услуги във връзка с криминалистичните анализи</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текущи производства за установяване на нарушение срещу 2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Директива относно борбата със сексуалното насилие над деца</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(краен срок за транспониране: 18.12.2013 г.). Текущи производства за установяване на нарушение срещу 25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Директива относно атаките срещу информационните системи</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(краен срок за транспониране:</w:t>
      </w:r>
      <w:r>
        <w:rPr>
          <w:noProof/>
        </w:rPr>
        <w:t xml:space="preserve"> </w:t>
      </w:r>
      <w:r>
        <w:rPr>
          <w:rFonts w:ascii="Times New Roman" w:hAnsi="Times New Roman"/>
          <w:noProof/>
          <w:sz w:val="24"/>
          <w:szCs w:val="24"/>
        </w:rPr>
        <w:t>4.9.2015 г.). Текущи производства за установяване на нарушение срещу 4 държави членки.</w:t>
      </w:r>
    </w:p>
    <w:p>
      <w:pPr>
        <w:pStyle w:val="ListParagraph"/>
        <w:numPr>
          <w:ilvl w:val="0"/>
          <w:numId w:val="2"/>
        </w:numPr>
        <w:jc w:val="both"/>
        <w:rPr>
          <w:rFonts w:ascii="Times New Roman" w:hAnsi="Times New Roman"/>
          <w:noProof/>
          <w:sz w:val="24"/>
          <w:szCs w:val="24"/>
        </w:rPr>
      </w:pPr>
      <w:r>
        <w:rPr>
          <w:rFonts w:ascii="Times New Roman" w:hAnsi="Times New Roman"/>
          <w:b/>
          <w:noProof/>
          <w:sz w:val="24"/>
          <w:szCs w:val="24"/>
        </w:rPr>
        <w:t>Директива за обезпечаване и конфискация</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(краен срок за транспониране: 4.10.2016 г.). Текущи производства за установяване на нарушение срещу 3 държави членки.</w:t>
      </w:r>
    </w:p>
    <w:p>
      <w:pPr>
        <w:pStyle w:val="ListParagraph"/>
        <w:numPr>
          <w:ilvl w:val="0"/>
          <w:numId w:val="2"/>
        </w:numPr>
        <w:jc w:val="both"/>
        <w:rPr>
          <w:rFonts w:ascii="Times New Roman" w:hAnsi="Times New Roman"/>
          <w:b/>
          <w:noProof/>
          <w:sz w:val="24"/>
          <w:szCs w:val="24"/>
        </w:rPr>
      </w:pPr>
      <w:r>
        <w:rPr>
          <w:rFonts w:ascii="Times New Roman" w:hAnsi="Times New Roman"/>
          <w:b/>
          <w:noProof/>
          <w:sz w:val="24"/>
          <w:szCs w:val="24"/>
        </w:rPr>
        <w:t>Директива за пазарната злоупотреба</w:t>
      </w:r>
      <w:r>
        <w:rPr>
          <w:rStyle w:val="FootnoteReference"/>
          <w:rFonts w:ascii="Times New Roman" w:hAnsi="Times New Roman"/>
          <w:noProof/>
          <w:sz w:val="24"/>
          <w:szCs w:val="24"/>
          <w:lang w:val="en-IE"/>
        </w:rPr>
        <w:footnoteReference w:id="7"/>
      </w:r>
      <w:r>
        <w:rPr>
          <w:rFonts w:ascii="Times New Roman" w:hAnsi="Times New Roman"/>
          <w:noProof/>
          <w:sz w:val="24"/>
          <w:szCs w:val="24"/>
        </w:rPr>
        <w:t xml:space="preserve"> (краен срок за транспониране: 3.7.2016 г. Текущи производства за установяване на нарушение срещу 4 държави членки.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Четвърта директива относно борбата с изпирането на пари</w:t>
      </w:r>
      <w:r>
        <w:rPr>
          <w:rStyle w:val="FootnoteReference"/>
          <w:rFonts w:ascii="Times New Roman" w:hAnsi="Times New Roman" w:cs="Times New Roman"/>
          <w:bCs/>
          <w:noProof/>
          <w:sz w:val="24"/>
          <w:szCs w:val="24"/>
        </w:rPr>
        <w:footnoteReference w:id="8"/>
      </w:r>
      <w:r>
        <w:rPr>
          <w:rFonts w:ascii="Times New Roman" w:hAnsi="Times New Roman"/>
          <w:bCs/>
          <w:noProof/>
          <w:sz w:val="24"/>
          <w:szCs w:val="24"/>
        </w:rPr>
        <w:t xml:space="preserve"> (краен срок за транспониране 16.6.2017 г.), текущи производства за установяване на нарушение срещу 8 държави членки.</w:t>
      </w:r>
    </w:p>
    <w:p>
      <w:pPr>
        <w:pStyle w:val="ListParagraph"/>
        <w:numPr>
          <w:ilvl w:val="0"/>
          <w:numId w:val="2"/>
        </w:num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Директива относно правоприлагането в областта на защитата на данните</w:t>
      </w:r>
      <w:r>
        <w:rPr>
          <w:rFonts w:ascii="Times New Roman" w:hAnsi="Times New Roman"/>
          <w:noProof/>
          <w:sz w:val="24"/>
          <w:szCs w:val="24"/>
        </w:rPr>
        <w:t> (ДПЗД)</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(краен срок за транспониране 6.5.2018 г.), текущи производства за установяване на нарушение срещу 3 държави членки.</w:t>
      </w:r>
    </w:p>
    <w:p>
      <w:pPr>
        <w:pStyle w:val="ListParagraph"/>
        <w:numPr>
          <w:ilvl w:val="0"/>
          <w:numId w:val="2"/>
        </w:numP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lastRenderedPageBreak/>
        <w:t>Директива на ЕС относно резервационните данни на пътниците</w:t>
      </w:r>
      <w:r>
        <w:rPr>
          <w:rStyle w:val="FootnoteReference"/>
          <w:rFonts w:ascii="Times New Roman" w:hAnsi="Times New Roman" w:cs="Times New Roman"/>
          <w:bCs/>
          <w:noProof/>
          <w:sz w:val="24"/>
          <w:szCs w:val="24"/>
        </w:rPr>
        <w:footnoteReference w:id="10"/>
      </w:r>
      <w:r>
        <w:rPr>
          <w:rFonts w:ascii="Times New Roman" w:hAnsi="Times New Roman"/>
          <w:noProof/>
          <w:sz w:val="24"/>
          <w:szCs w:val="24"/>
        </w:rPr>
        <w:t xml:space="preserve"> (краен срок за транспониране 25.5.2018 г.), текущо производство за установяване на нарушение срещу 1 държава членка.</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noProof/>
          <w:sz w:val="24"/>
          <w:szCs w:val="24"/>
        </w:rPr>
        <w:t>Директива относно контрола на придобиването и притежаването на оръжие</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(Директива за огнестрелните оръжия) (краен срок за транспониране: 14.9.2018 г.). Текущи производства за установяване на нарушение срещу 25 държави членки и Обединеното кралство.</w:t>
      </w:r>
    </w:p>
    <w:p>
      <w:pPr>
        <w:pStyle w:val="ListParagraph"/>
        <w:numPr>
          <w:ilvl w:val="0"/>
          <w:numId w:val="2"/>
        </w:numPr>
        <w:jc w:val="both"/>
        <w:rPr>
          <w:rFonts w:ascii="Times New Roman" w:hAnsi="Times New Roman"/>
          <w:noProof/>
          <w:sz w:val="24"/>
          <w:szCs w:val="24"/>
        </w:rPr>
      </w:pPr>
      <w:r>
        <w:rPr>
          <w:rFonts w:ascii="Times New Roman" w:hAnsi="Times New Roman"/>
          <w:b/>
          <w:bCs/>
          <w:noProof/>
          <w:sz w:val="24"/>
          <w:szCs w:val="24"/>
        </w:rPr>
        <w:t>Законодателен пакет относно новите психоактивни вещества (НПВ)</w:t>
      </w:r>
      <w:r>
        <w:rPr>
          <w:rStyle w:val="FootnoteReference"/>
          <w:rFonts w:ascii="Times New Roman" w:hAnsi="Times New Roman" w:cs="Times New Roman"/>
          <w:bCs/>
          <w:noProof/>
          <w:sz w:val="24"/>
          <w:szCs w:val="24"/>
        </w:rPr>
        <w:footnoteReference w:id="12"/>
      </w:r>
      <w:r>
        <w:rPr>
          <w:rFonts w:ascii="Times New Roman" w:hAnsi="Times New Roman"/>
          <w:bCs/>
          <w:noProof/>
          <w:sz w:val="24"/>
          <w:szCs w:val="24"/>
        </w:rPr>
        <w:t xml:space="preserve"> (краен срок за транспониране 23.11.2018 г.). </w:t>
      </w:r>
      <w:r>
        <w:rPr>
          <w:rFonts w:ascii="Times New Roman" w:hAnsi="Times New Roman"/>
          <w:noProof/>
          <w:sz w:val="24"/>
          <w:szCs w:val="24"/>
        </w:rPr>
        <w:t>Текущи производства за установяване на нарушение срещу</w:t>
      </w:r>
      <w:r>
        <w:rPr>
          <w:rFonts w:ascii="Times New Roman" w:hAnsi="Times New Roman"/>
          <w:bCs/>
          <w:noProof/>
          <w:sz w:val="24"/>
          <w:szCs w:val="24"/>
        </w:rPr>
        <w:t xml:space="preserve"> 5 държави членки</w:t>
      </w:r>
      <w:r>
        <w:rPr>
          <w:rFonts w:ascii="Times New Roman" w:hAnsi="Times New Roman"/>
          <w:noProof/>
          <w:sz w:val="24"/>
          <w:szCs w:val="24"/>
        </w:rPr>
        <w:t xml:space="preserve"> </w:t>
      </w:r>
      <w:r>
        <w:rPr>
          <w:rFonts w:ascii="Times New Roman" w:hAnsi="Times New Roman"/>
          <w:bCs/>
          <w:noProof/>
          <w:sz w:val="24"/>
          <w:szCs w:val="24"/>
        </w:rPr>
        <w:t>за Директива </w:t>
      </w:r>
      <w:r>
        <w:rPr>
          <w:rFonts w:ascii="Times New Roman" w:hAnsi="Times New Roman"/>
          <w:noProof/>
          <w:sz w:val="24"/>
          <w:szCs w:val="24"/>
        </w:rPr>
        <w:t>(ЕС) 2017/2103</w:t>
      </w:r>
      <w:r>
        <w:rPr>
          <w:rFonts w:ascii="Times New Roman" w:hAnsi="Times New Roman"/>
          <w:bCs/>
          <w:noProof/>
          <w:sz w:val="24"/>
          <w:szCs w:val="24"/>
        </w:rPr>
        <w:t xml:space="preserve"> и срещу 1 държава членка за Делегирана директива</w:t>
      </w:r>
      <w:r>
        <w:rPr>
          <w:rFonts w:ascii="Times New Roman" w:hAnsi="Times New Roman"/>
          <w:noProof/>
          <w:sz w:val="24"/>
          <w:szCs w:val="24"/>
        </w:rPr>
        <w:t> (ЕС) 2019/369.</w:t>
      </w:r>
    </w:p>
    <w:p>
      <w:pPr>
        <w:pStyle w:val="ListParagraph"/>
        <w:numPr>
          <w:ilvl w:val="0"/>
          <w:numId w:val="2"/>
        </w:numPr>
        <w:jc w:val="both"/>
        <w:rPr>
          <w:rFonts w:ascii="Times New Roman" w:hAnsi="Times New Roman" w:cs="Times New Roman"/>
          <w:bCs/>
          <w:noProof/>
          <w:sz w:val="24"/>
          <w:szCs w:val="24"/>
        </w:rPr>
      </w:pPr>
      <w:r>
        <w:rPr>
          <w:rFonts w:ascii="Times New Roman" w:hAnsi="Times New Roman"/>
          <w:b/>
          <w:noProof/>
          <w:sz w:val="24"/>
          <w:szCs w:val="24"/>
        </w:rPr>
        <w:t xml:space="preserve">Директива относно борбата с измамите, засягащи финансовите интереси на Съюза, </w:t>
      </w:r>
      <w:r>
        <w:rPr>
          <w:rFonts w:ascii="Times New Roman" w:hAnsi="Times New Roman"/>
          <w:noProof/>
          <w:sz w:val="24"/>
          <w:szCs w:val="24"/>
        </w:rPr>
        <w:t>по наказателноправен ред</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(краен срок за транспониране: 6.7.2019 г.). Текущи производства за установяване на нарушение срещу 3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Пета директива относно борбата с изпирането на пари</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(краен срок за транспониране 10.1.2020 г.); текущи производства за установяване на нарушение срещу 16 държави членки.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noProof/>
          <w:sz w:val="24"/>
          <w:szCs w:val="24"/>
        </w:rPr>
        <w:t>Директива за изпълнение за определяне на технически спецификации за маркировката на огнестрелните оръжия</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(краен срок за транспониране: 17.1.2020 г.), текущи производства за установяване на нарушение срещу 18 държави членки и Обединеното кралство.</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noProof/>
          <w:sz w:val="24"/>
          <w:szCs w:val="24"/>
        </w:rPr>
        <w:t>Директива за изпълнение за техническите спецификации за предупредителните и сигналните оръжия</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(краен срок за транспониране: 17.1.2020 г. Текущи производства за установяване на нарушение срещу 16 държави членки и Обединеното кралство.</w:t>
      </w:r>
    </w:p>
    <w:p>
      <w:pPr>
        <w:pStyle w:val="ListParagraph"/>
        <w:numPr>
          <w:ilvl w:val="0"/>
          <w:numId w:val="2"/>
        </w:numPr>
        <w:jc w:val="both"/>
        <w:rPr>
          <w:rFonts w:ascii="Times New Roman" w:hAnsi="Times New Roman" w:cs="Times New Roman"/>
          <w:bCs/>
          <w:noProof/>
          <w:sz w:val="24"/>
          <w:szCs w:val="24"/>
        </w:rPr>
      </w:pPr>
      <w:r>
        <w:rPr>
          <w:rFonts w:ascii="Times New Roman" w:hAnsi="Times New Roman"/>
          <w:bCs/>
          <w:noProof/>
          <w:sz w:val="24"/>
          <w:szCs w:val="24"/>
        </w:rPr>
        <w:t xml:space="preserve">Рамково решение 2009/905/ПВР на Съвета от 30 ноември 2009 г. относно </w:t>
      </w:r>
      <w:r>
        <w:rPr>
          <w:rFonts w:ascii="Times New Roman" w:hAnsi="Times New Roman"/>
          <w:b/>
          <w:bCs/>
          <w:noProof/>
          <w:sz w:val="24"/>
          <w:szCs w:val="24"/>
        </w:rPr>
        <w:t>акредитацията на структури, предоставящи услуги във връзка с криминалистичните анализи и извършващи лабораторни дейности</w:t>
      </w:r>
      <w:r>
        <w:rPr>
          <w:rFonts w:ascii="Times New Roman" w:hAnsi="Times New Roman"/>
          <w:bCs/>
          <w:noProof/>
          <w:sz w:val="24"/>
          <w:szCs w:val="24"/>
        </w:rPr>
        <w:t xml:space="preserve"> (краен срок за транспониране по отношение на ДНК профилите 30.11.2013 г. и по отношение на дактилоскопичните данни 30.11.2015 г.). Текущи производства за установяване на нарушение срещу 2 държави членки.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Директива относно мерки за високо общо ниво на сигурност на мрежите и информационните системи в Съюза (Директива за мрежова и информационна сигурност)</w:t>
      </w:r>
      <w:r>
        <w:rPr>
          <w:rStyle w:val="FootnoteReference"/>
          <w:rFonts w:ascii="Times New Roman" w:hAnsi="Times New Roman" w:cs="Times New Roman"/>
          <w:bCs/>
          <w:noProof/>
          <w:sz w:val="24"/>
          <w:szCs w:val="24"/>
        </w:rPr>
        <w:footnoteReference w:id="17"/>
      </w:r>
      <w:r>
        <w:rPr>
          <w:rFonts w:ascii="Times New Roman" w:hAnsi="Times New Roman"/>
          <w:bCs/>
          <w:noProof/>
          <w:sz w:val="24"/>
          <w:szCs w:val="24"/>
        </w:rPr>
        <w:t xml:space="preserve"> (краен срок за транспониране: 09.5.2018 г.). Текущи производства за установяване на нарушение срещу 3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Директива относно правата на жертвите</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(краен срок за транспониране: 16.11.2015 г.). Текущи производства за установяване на нарушение срещу 11 държави 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Рамково решение на Съвета относно европейската заповед за арест</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(краен срок за транспониране: 31.12.2003 г.). Текущи производства за установяване на нарушение срещу 7 държави-членки.</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Рамково решение относно налагането на наказания лишаване от свобода</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(краен срок за транспониране: 5.12.2011 г.). Текущо производство за установяване на нарушение срещу 1 държава членка.</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Рамково решение относно финансовите санкции</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(краен срок за транспониране: 22.3.2007 г.). Текущо производство за установяване на нарушение срещу 1 държава членка.</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b/>
          <w:noProof/>
          <w:sz w:val="24"/>
          <w:szCs w:val="24"/>
        </w:rPr>
        <w:t>Рамково решение за налагането на мерки за процесуална принуда</w:t>
      </w:r>
      <w:r>
        <w:rPr>
          <w:rStyle w:val="FootnoteReference"/>
          <w:rFonts w:ascii="Times New Roman" w:hAnsi="Times New Roman" w:cs="Times New Roman"/>
          <w:noProof/>
          <w:sz w:val="24"/>
          <w:szCs w:val="24"/>
        </w:rPr>
        <w:footnoteReference w:id="22"/>
      </w:r>
      <w:r>
        <w:rPr>
          <w:rFonts w:ascii="Times New Roman" w:hAnsi="Times New Roman"/>
          <w:b/>
          <w:noProof/>
          <w:sz w:val="24"/>
          <w:szCs w:val="24"/>
        </w:rPr>
        <w:t xml:space="preserve"> </w:t>
      </w:r>
      <w:r>
        <w:rPr>
          <w:rFonts w:ascii="Times New Roman" w:hAnsi="Times New Roman"/>
          <w:noProof/>
          <w:sz w:val="24"/>
          <w:szCs w:val="24"/>
        </w:rPr>
        <w:t>(краен срок за транспониране: 1.12.2012 г.).</w:t>
      </w:r>
      <w:r>
        <w:rPr>
          <w:noProof/>
          <w:color w:val="1F497D"/>
        </w:rPr>
        <w:t xml:space="preserve"> </w:t>
      </w:r>
      <w:r>
        <w:rPr>
          <w:rFonts w:ascii="Times New Roman" w:hAnsi="Times New Roman"/>
          <w:noProof/>
          <w:sz w:val="24"/>
          <w:szCs w:val="24"/>
        </w:rPr>
        <w:t>Текущо производство за установяване на нарушение срещу 1 държава членка.</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Преразгледана Директива за аудио-визуалните медийни услуги</w:t>
      </w:r>
      <w:r>
        <w:rPr>
          <w:rFonts w:ascii="Times New Roman" w:hAnsi="Times New Roman"/>
          <w:bCs/>
          <w:noProof/>
          <w:sz w:val="24"/>
          <w:szCs w:val="24"/>
        </w:rPr>
        <w:t xml:space="preserve"> (краен срок за транспониране: 19.9.2020 г.). Производства за установяване на нарушение са започнати срещу 23 държави членки.</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II. Списък на директивите, които да бъдат транспонирани преди края на 2020 г. и през 2021 г.</w:t>
      </w:r>
    </w:p>
    <w:p>
      <w:pPr>
        <w:pStyle w:val="ListParagraph"/>
        <w:numPr>
          <w:ilvl w:val="0"/>
          <w:numId w:val="2"/>
        </w:numPr>
        <w:jc w:val="both"/>
        <w:rPr>
          <w:rFonts w:ascii="Times New Roman" w:hAnsi="Times New Roman" w:cs="Times New Roman"/>
          <w:bCs/>
          <w:noProof/>
          <w:sz w:val="24"/>
          <w:szCs w:val="24"/>
        </w:rPr>
      </w:pPr>
      <w:r>
        <w:rPr>
          <w:rFonts w:ascii="Times New Roman" w:hAnsi="Times New Roman"/>
          <w:bCs/>
          <w:noProof/>
          <w:sz w:val="24"/>
          <w:szCs w:val="24"/>
        </w:rPr>
        <w:t>Директива за</w:t>
      </w:r>
      <w:r>
        <w:rPr>
          <w:rFonts w:ascii="Times New Roman" w:hAnsi="Times New Roman"/>
          <w:b/>
          <w:bCs/>
          <w:noProof/>
          <w:sz w:val="24"/>
          <w:szCs w:val="24"/>
        </w:rPr>
        <w:t xml:space="preserve"> борба с изпирането на пари</w:t>
      </w:r>
      <w:r>
        <w:rPr>
          <w:rStyle w:val="FootnoteReference"/>
          <w:rFonts w:ascii="Times New Roman" w:hAnsi="Times New Roman" w:cs="Times New Roman"/>
          <w:bCs/>
          <w:noProof/>
          <w:sz w:val="24"/>
          <w:szCs w:val="24"/>
        </w:rPr>
        <w:footnoteReference w:id="23"/>
      </w:r>
      <w:r>
        <w:rPr>
          <w:rFonts w:ascii="Times New Roman" w:hAnsi="Times New Roman"/>
          <w:bCs/>
          <w:noProof/>
          <w:sz w:val="24"/>
          <w:szCs w:val="24"/>
        </w:rPr>
        <w:t xml:space="preserve"> (краен срок за транспониране: декември 2020 г.).</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noProof/>
          <w:sz w:val="24"/>
          <w:szCs w:val="24"/>
        </w:rPr>
        <w:t xml:space="preserve">Директива за улеснявана на </w:t>
      </w:r>
      <w:r>
        <w:rPr>
          <w:rFonts w:ascii="Times New Roman" w:hAnsi="Times New Roman"/>
          <w:b/>
          <w:bCs/>
          <w:noProof/>
          <w:sz w:val="24"/>
          <w:szCs w:val="24"/>
        </w:rPr>
        <w:t>използването на финансова и друга информация за предотвратяването, разкриването, разследването или наказателното преследване на определени престъпления</w:t>
      </w:r>
      <w:r>
        <w:rPr>
          <w:rStyle w:val="FootnoteReference"/>
          <w:rFonts w:ascii="Times New Roman" w:hAnsi="Times New Roman" w:cs="Times New Roman"/>
          <w:bCs/>
          <w:noProof/>
          <w:sz w:val="24"/>
          <w:szCs w:val="24"/>
        </w:rPr>
        <w:footnoteReference w:id="24"/>
      </w:r>
      <w:r>
        <w:rPr>
          <w:rFonts w:ascii="Times New Roman" w:hAnsi="Times New Roman"/>
          <w:noProof/>
          <w:sz w:val="24"/>
          <w:szCs w:val="24"/>
        </w:rPr>
        <w:t xml:space="preserve"> (краен срок за транспониране: 01.8.2021 г.).</w:t>
      </w:r>
    </w:p>
    <w:p>
      <w:pPr>
        <w:pStyle w:val="ListParagraph"/>
        <w:numPr>
          <w:ilvl w:val="0"/>
          <w:numId w:val="2"/>
        </w:numPr>
        <w:jc w:val="both"/>
        <w:rPr>
          <w:rFonts w:ascii="Times New Roman" w:hAnsi="Times New Roman" w:cs="Times New Roman"/>
          <w:bCs/>
          <w:noProof/>
          <w:sz w:val="24"/>
          <w:szCs w:val="24"/>
        </w:rPr>
      </w:pPr>
      <w:r>
        <w:rPr>
          <w:rFonts w:ascii="Times New Roman" w:hAnsi="Times New Roman"/>
          <w:bCs/>
          <w:noProof/>
          <w:sz w:val="24"/>
          <w:szCs w:val="24"/>
        </w:rPr>
        <w:t xml:space="preserve">Директива за </w:t>
      </w:r>
      <w:r>
        <w:rPr>
          <w:rFonts w:ascii="Times New Roman" w:hAnsi="Times New Roman"/>
          <w:b/>
          <w:bCs/>
          <w:noProof/>
          <w:sz w:val="24"/>
          <w:szCs w:val="24"/>
        </w:rPr>
        <w:t>борба с измамите със и подправянето на непарични платежни средства</w:t>
      </w:r>
      <w:r>
        <w:rPr>
          <w:rStyle w:val="FootnoteReference"/>
          <w:rFonts w:ascii="Times New Roman" w:hAnsi="Times New Roman"/>
          <w:bCs/>
          <w:noProof/>
          <w:sz w:val="24"/>
          <w:szCs w:val="24"/>
        </w:rPr>
        <w:t xml:space="preserve"> </w:t>
      </w:r>
      <w:r>
        <w:rPr>
          <w:rStyle w:val="FootnoteReference"/>
          <w:rFonts w:ascii="Times New Roman" w:hAnsi="Times New Roman" w:cs="Times New Roman"/>
          <w:bCs/>
          <w:noProof/>
          <w:sz w:val="24"/>
          <w:szCs w:val="24"/>
        </w:rPr>
        <w:footnoteReference w:id="25"/>
      </w:r>
      <w:r>
        <w:rPr>
          <w:rFonts w:ascii="Times New Roman" w:hAnsi="Times New Roman"/>
          <w:bCs/>
          <w:noProof/>
          <w:sz w:val="24"/>
          <w:szCs w:val="24"/>
        </w:rPr>
        <w:t xml:space="preserve"> (краен срок за транспониране: май 2021 г.).</w:t>
      </w:r>
    </w:p>
    <w:p>
      <w:pPr>
        <w:pStyle w:val="ListParagraph"/>
        <w:jc w:val="both"/>
        <w:rPr>
          <w:rFonts w:ascii="Times New Roman" w:hAnsi="Times New Roman" w:cs="Times New Roman"/>
          <w:bCs/>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III. Списък на законодателните актове, които все още трябва да бъдат одобрени от съзаконодателите</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Регламент за терористично съдържание онлайн</w:t>
      </w:r>
      <w:r>
        <w:rPr>
          <w:rStyle w:val="FootnoteReference"/>
          <w:rFonts w:ascii="Times New Roman" w:hAnsi="Times New Roman" w:cs="Times New Roman"/>
          <w:bCs/>
          <w:noProof/>
          <w:sz w:val="24"/>
          <w:szCs w:val="24"/>
        </w:rPr>
        <w:footnoteReference w:id="26"/>
      </w:r>
      <w:r>
        <w:rPr>
          <w:rFonts w:ascii="Times New Roman" w:hAnsi="Times New Roman"/>
          <w:bCs/>
          <w:noProof/>
          <w:sz w:val="24"/>
          <w:szCs w:val="24"/>
        </w:rPr>
        <w:t>: провеждат се тристранни срещи.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Европейски център за промишлени, технологични и изследователски експертни познания в областта на киберсигурността и Мрежа от национални координационни центрове</w:t>
      </w:r>
      <w:r>
        <w:rPr>
          <w:rStyle w:val="FootnoteReference"/>
          <w:rFonts w:ascii="Times New Roman" w:hAnsi="Times New Roman" w:cs="Times New Roman"/>
          <w:bCs/>
          <w:noProof/>
          <w:sz w:val="24"/>
          <w:szCs w:val="24"/>
        </w:rPr>
        <w:footnoteReference w:id="27"/>
      </w:r>
      <w:r>
        <w:rPr>
          <w:rFonts w:ascii="Times New Roman" w:hAnsi="Times New Roman"/>
          <w:bCs/>
          <w:noProof/>
          <w:sz w:val="24"/>
          <w:szCs w:val="24"/>
        </w:rPr>
        <w:t>: провеждат се тристранни срещи.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Визова информационна система (ВИС)</w:t>
      </w:r>
      <w:r>
        <w:rPr>
          <w:rStyle w:val="FootnoteReference"/>
          <w:rFonts w:ascii="Times New Roman" w:hAnsi="Times New Roman" w:cs="Times New Roman"/>
          <w:bCs/>
          <w:noProof/>
          <w:sz w:val="24"/>
          <w:szCs w:val="24"/>
          <w:lang w:val="fr-BE"/>
        </w:rPr>
        <w:footnoteReference w:id="28"/>
      </w:r>
      <w:r>
        <w:rPr>
          <w:rFonts w:ascii="Times New Roman" w:hAnsi="Times New Roman"/>
          <w:bCs/>
          <w:noProof/>
          <w:sz w:val="24"/>
          <w:szCs w:val="24"/>
        </w:rPr>
        <w:t>: предварително споразумение от 8 декември 2020 г.</w:t>
      </w:r>
    </w:p>
    <w:p>
      <w:pPr>
        <w:pStyle w:val="ListParagraph"/>
        <w:numPr>
          <w:ilvl w:val="0"/>
          <w:numId w:val="2"/>
        </w:numPr>
        <w:jc w:val="both"/>
        <w:rPr>
          <w:noProof/>
        </w:rPr>
      </w:pPr>
      <w:r>
        <w:rPr>
          <w:rFonts w:ascii="Times New Roman" w:hAnsi="Times New Roman"/>
          <w:b/>
          <w:noProof/>
          <w:sz w:val="24"/>
          <w:szCs w:val="24"/>
        </w:rPr>
        <w:t xml:space="preserve">Последващи изменения на Регламента за </w:t>
      </w:r>
      <w:r>
        <w:rPr>
          <w:rFonts w:ascii="Times New Roman" w:hAnsi="Times New Roman"/>
          <w:b/>
          <w:bCs/>
          <w:noProof/>
          <w:sz w:val="24"/>
          <w:szCs w:val="24"/>
        </w:rPr>
        <w:t>Европейска система за информация за пътуванията и разрешаването им</w:t>
      </w:r>
      <w:r>
        <w:rPr>
          <w:rFonts w:ascii="Times New Roman" w:hAnsi="Times New Roman"/>
          <w:noProof/>
          <w:sz w:val="24"/>
          <w:szCs w:val="24"/>
        </w:rPr>
        <w:t xml:space="preserve"> (</w:t>
      </w:r>
      <w:r>
        <w:rPr>
          <w:rFonts w:ascii="Times New Roman" w:hAnsi="Times New Roman"/>
          <w:b/>
          <w:bCs/>
          <w:noProof/>
          <w:sz w:val="24"/>
          <w:szCs w:val="24"/>
        </w:rPr>
        <w:t>ETIAS)</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Съветът прие позицията си през май 2019 г., очаква се Европейският парламент да приеме позицията си.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Регламент относно трансграничния достъп до електронни доказателства</w:t>
      </w:r>
      <w:r>
        <w:rPr>
          <w:rStyle w:val="FootnoteReference"/>
          <w:rFonts w:ascii="Times New Roman" w:hAnsi="Times New Roman" w:cs="Times New Roman"/>
          <w:bCs/>
          <w:noProof/>
          <w:sz w:val="24"/>
          <w:szCs w:val="24"/>
        </w:rPr>
        <w:footnoteReference w:id="30"/>
      </w:r>
      <w:r>
        <w:rPr>
          <w:rFonts w:ascii="Times New Roman" w:hAnsi="Times New Roman"/>
          <w:b/>
          <w:bCs/>
          <w:noProof/>
          <w:sz w:val="24"/>
          <w:szCs w:val="24"/>
        </w:rPr>
        <w:t xml:space="preserve"> </w:t>
      </w:r>
      <w:r>
        <w:rPr>
          <w:rFonts w:ascii="Times New Roman" w:hAnsi="Times New Roman"/>
          <w:bCs/>
          <w:noProof/>
          <w:sz w:val="24"/>
          <w:szCs w:val="24"/>
        </w:rPr>
        <w:t>и</w:t>
      </w:r>
      <w:r>
        <w:rPr>
          <w:rFonts w:ascii="Times New Roman" w:hAnsi="Times New Roman"/>
          <w:b/>
          <w:bCs/>
          <w:noProof/>
          <w:sz w:val="24"/>
          <w:szCs w:val="24"/>
        </w:rPr>
        <w:t xml:space="preserve"> </w:t>
      </w:r>
      <w:r>
        <w:rPr>
          <w:rFonts w:ascii="Times New Roman" w:hAnsi="Times New Roman"/>
          <w:b/>
          <w:noProof/>
          <w:sz w:val="24"/>
          <w:szCs w:val="24"/>
        </w:rPr>
        <w:t>Директива за хармонизирани правила относно определянето на юридически представители за целите на събирането на доказателства по наказателни производства</w:t>
      </w:r>
      <w:r>
        <w:rPr>
          <w:rStyle w:val="FootnoteReference"/>
          <w:rFonts w:ascii="Times New Roman" w:hAnsi="Times New Roman" w:cs="Times New Roman"/>
          <w:bCs/>
          <w:noProof/>
          <w:sz w:val="24"/>
          <w:szCs w:val="24"/>
        </w:rPr>
        <w:footnoteReference w:id="31"/>
      </w:r>
      <w:r>
        <w:rPr>
          <w:rFonts w:ascii="Times New Roman" w:hAnsi="Times New Roman"/>
          <w:bCs/>
          <w:noProof/>
          <w:sz w:val="24"/>
          <w:szCs w:val="24"/>
        </w:rPr>
        <w:t>: Съветът прие позициите си, очаква се Европейският парламент да приеме позицията си.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Междинен регламент относно сексуалното насилие над деца онлайн</w:t>
      </w:r>
      <w:r>
        <w:rPr>
          <w:rStyle w:val="FootnoteReference"/>
          <w:rFonts w:ascii="Times New Roman" w:hAnsi="Times New Roman" w:cs="Times New Roman"/>
          <w:bCs/>
          <w:noProof/>
          <w:sz w:val="24"/>
          <w:szCs w:val="24"/>
        </w:rPr>
        <w:footnoteReference w:id="32"/>
      </w:r>
      <w:r>
        <w:rPr>
          <w:rFonts w:ascii="Times New Roman" w:hAnsi="Times New Roman"/>
          <w:bCs/>
          <w:noProof/>
          <w:sz w:val="24"/>
          <w:szCs w:val="24"/>
        </w:rPr>
        <w:t>: Съветът прие позицията си, очаква се Европейският парламент да приеме позицията си.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Регламент за космическа програма на Съюза</w:t>
      </w:r>
      <w:r>
        <w:rPr>
          <w:rStyle w:val="FootnoteReference"/>
          <w:rFonts w:ascii="Times New Roman" w:hAnsi="Times New Roman" w:cs="Times New Roman"/>
          <w:bCs/>
          <w:noProof/>
          <w:sz w:val="24"/>
          <w:szCs w:val="24"/>
        </w:rPr>
        <w:footnoteReference w:id="33"/>
      </w:r>
      <w:r>
        <w:rPr>
          <w:rFonts w:ascii="Times New Roman" w:hAnsi="Times New Roman"/>
          <w:bCs/>
          <w:noProof/>
          <w:sz w:val="24"/>
          <w:szCs w:val="24"/>
        </w:rPr>
        <w:t>: провеждат се тристранни срещи.</w:t>
      </w:r>
    </w:p>
    <w:p>
      <w:pPr>
        <w:pStyle w:val="ListParagraph"/>
        <w:numPr>
          <w:ilvl w:val="0"/>
          <w:numId w:val="2"/>
        </w:numPr>
        <w:spacing w:line="240" w:lineRule="auto"/>
        <w:jc w:val="both"/>
        <w:rPr>
          <w:rFonts w:ascii="Times New Roman" w:hAnsi="Times New Roman" w:cs="Times New Roman"/>
          <w:bCs/>
          <w:noProof/>
          <w:sz w:val="24"/>
          <w:szCs w:val="24"/>
        </w:rPr>
      </w:pPr>
      <w:r>
        <w:rPr>
          <w:rFonts w:ascii="Times New Roman" w:hAnsi="Times New Roman"/>
          <w:b/>
          <w:bCs/>
          <w:noProof/>
          <w:sz w:val="24"/>
          <w:szCs w:val="24"/>
        </w:rPr>
        <w:t>Европейски фонд за отбрана</w:t>
      </w:r>
      <w:r>
        <w:rPr>
          <w:rStyle w:val="FootnoteReference"/>
          <w:rFonts w:ascii="Times New Roman" w:hAnsi="Times New Roman" w:cs="Times New Roman"/>
          <w:bCs/>
          <w:noProof/>
          <w:sz w:val="24"/>
          <w:szCs w:val="24"/>
        </w:rPr>
        <w:footnoteReference w:id="34"/>
      </w:r>
      <w:r>
        <w:rPr>
          <w:rFonts w:ascii="Times New Roman" w:hAnsi="Times New Roman"/>
          <w:bCs/>
          <w:noProof/>
          <w:sz w:val="24"/>
          <w:szCs w:val="24"/>
        </w:rPr>
        <w:t>: провеждат се тристранни срещи.</w:t>
      </w:r>
    </w:p>
    <w:p>
      <w:pPr>
        <w:pStyle w:val="ListParagraph"/>
        <w:spacing w:line="240" w:lineRule="auto"/>
        <w:jc w:val="both"/>
        <w:rPr>
          <w:rFonts w:ascii="Times New Roman" w:hAnsi="Times New Roman" w:cs="Times New Roman"/>
          <w:bCs/>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9904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tab/>
      </w:r>
      <w:r>
        <w:rPr>
          <w:rFonts w:ascii="Times New Roman" w:hAnsi="Times New Roman"/>
          <w:shd w:val="clear" w:color="auto" w:fill="FFFFFF"/>
        </w:rPr>
        <w:t>Решение 2008/615/ПВР на Съвета от 23 юни 2008 г. за засилване на трансграничното сътрудничество, по-специално в борбата срещу тероризма и трансграничната престъпност, и Решение 2008/616/ПВР на Съвета от 23 юни 2008 г. за изпълнение на Решение 2008/615/ПВР относно засилването на трансграничното сътрудничество, по-специално в борбата срещу тероризма и трансграничната престъпност.</w:t>
      </w:r>
    </w:p>
  </w:footnote>
  <w:footnote w:id="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color w:val="444444"/>
          <w:shd w:val="clear" w:color="auto" w:fill="FFFFFF"/>
        </w:rPr>
        <w:t xml:space="preserve"> </w:t>
      </w:r>
      <w:r>
        <w:tab/>
      </w:r>
      <w:r>
        <w:rPr>
          <w:rFonts w:ascii="Times New Roman" w:hAnsi="Times New Roman"/>
          <w:shd w:val="clear" w:color="auto" w:fill="FFFFFF"/>
        </w:rPr>
        <w:t>Рамково решение 2009/905/ПВР на Съвета от 30 ноември 2009 г. относно акредитацията на структури, предоставящи услуги във връзка с криминалистичните анализи и извършващи лабораторни дейности.</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2011/93/ЕС от 13 декември 2011 г.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2013/40/ЕС от 12 август 2013 г. относно атаките срещу информационните системи и за замяна на Рамково решение 2005/222/ПВР на Съвета.</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2014/42/ЕС от 3 април 2014 г. за обезпечаване и конфискация на средства и облаги от престъпна дейност в Европейския съюз.</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2014/57/ЕС на Европейския парламент и на Съвета от 16 април 2014 г. относно наказателноправните санкции за пазарна злоупотреба (Директива за пазарната злоупотреба).</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2015/849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и за отмяна на Директива 2005/60/ЕО и на Директива 2006/70/ЕО на Комисията.</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2016/680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2016/681 от 27 април 2016 г. относно използването на резервационни данни на пътниците с цел предотвратяване, разкриване, разследване и наказателно преследване на терористични престъпления и тежки престъпления.</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Директива (ЕС) 2017/853 от 17 май 2017 г. за изменение на Директива 91/477/ЕИО на Съвета относно контрола на придобиването и притежаването на оръжие.</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2017/2103 от 15 ноември 2017 г. за изменение на Рамково решение 2004/757/ПВР на Съвета с цел включване на нови психоактивни вещества в определението за „наркотици“ и за отмяна на Решение 2005/387/ПВР на Съвета; Делегирана директива (ЕС) 2019/369 на Комисията от 13 декември 2018 г. за изменение на приложението към Рамково решение 2004/757/ПВР на Съвета във връзка с включването на нови психоактивни вещества в определението за „наркотици“.</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2017/1371 от 5 юли 2017 г. относно борбата с измамите, засягащи финансовите интереси на Съюза, по наказателноправен ред.</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2018/843 от 30 май 2018 г. за изменение на Директива (ЕС) 2015/849 за предотвратяване използването на финансовата система за целите на изпирането на пари и финансирането на тероризма и за изменение на директиви 2009/138/ЕО и 2013/36/ЕС.</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за изпълнение (ЕС) 2019/68 на Комисията от 16 януари 2019 г. за определяне на технически спецификации за маркировката на огнестрелните оръжия и техните основни компоненти съгласно Директива 91/477/ЕИО на Съвета относно контрола на придобиването и притежаването на оръжие.</w:t>
      </w:r>
    </w:p>
  </w:footnote>
  <w:footnote w:id="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за изпълнение (ЕС) 2019/69 на Комисията от 16 януари 2019 г. за определяне на технически спецификации за предупредителните и сигналните оръжия съгласно Директива 91/477/ЕИО на Съвета относно контрола на придобиването и притежаването на оръжие.</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2016/1148 от 6 юли 2016 г. относно мерки за високо общо ниво на сигурност на мрежите и информационните системи в Съюза.</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2012/29/ЕС от 25 октомври 2012 г. за установяване на минимални стандарти за правата, подкрепата и защитата на жертвите на престъпления.</w:t>
      </w:r>
    </w:p>
  </w:footnote>
  <w:footnote w:id="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Рамково решение на Съвета от 13 юни 2002 г. относно европейската заповед за арест и процедурите за предаване между държавите-членки.</w:t>
      </w:r>
    </w:p>
  </w:footnote>
  <w:footnote w:id="2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w:t>
      </w:r>
    </w:p>
  </w:footnote>
  <w:footnote w:id="2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Рамково решение 2005/214/ПВР на Съвета от 24 февруари 2005 г. относно прилагането на принципа за взаимно признаване на финансови санкции.</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Рамково решение 2009/829/ПВР на Съвета от 23 октомври 2009 г. за прилагане между държавите — членки на Европейския съюз, на принципа за взаимно признаване към актове за налагане на мерки за процесуална принуда като алтернатива на предварителното задържане.</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2018/1673 от 23 октомври 2018 г. за борба с изпирането на пари по наказателноправен ред.</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2019/1153 от 20 юни 2019 г. за установяване на правила, с които се улеснява използването на финансова и друга информация за предотвратяването, разкриването, разследването или наказателното преследване на определени престъпления, и за отмяна на Решение 2000/642/ПВР на Съвета.</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2019/713 от 17 април 2019 г. за борба с измамите със и подправянето на непарични платежни средства и за замяна на Рамково решение 2001/413/ПВР на Съвета.</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Предложение за Регламент за предотвратяване на разпространението на терористично съдържание онлайн, </w:t>
      </w:r>
      <w:r>
        <w:rPr>
          <w:rFonts w:ascii="Times New Roman" w:hAnsi="Times New Roman"/>
          <w:color w:val="000000"/>
          <w:shd w:val="clear" w:color="auto" w:fill="FFFFFF"/>
        </w:rPr>
        <w:t>COM(2018) 640, 12 септември 2018 г.</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за създаване на Европейски център за промишлени, технологични и изследователски експертни познания в областта на киберсигурността и Мрежа от национални координационни центрове, COM(2018) 630 final,</w:t>
      </w:r>
      <w:r>
        <w:rPr>
          <w:rFonts w:ascii="Times New Roman" w:hAnsi="Times New Roman"/>
          <w:color w:val="000000"/>
          <w:shd w:val="clear" w:color="auto" w:fill="FFFFFF"/>
        </w:rPr>
        <w:t xml:space="preserve"> 12 септември 2018 г.</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Предложение за Регламент за изменение на Регламент (ЕО) № 767/2008, Регламент (ЕО) № 810/2009, Регламент (ЕС) 2017/2226, Регламент (ЕС) 2016/399, Регламент XX/2018 [Регламент за оперативната съвместимост] и Решение 2004/512/ЕО и за отмяна на Решение 2008/633/ПВР на Съвета, COM(2018) 302 final, 16 май 2018 г.</w:t>
      </w:r>
    </w:p>
  </w:footnote>
  <w:footnote w:id="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Регламент (ЕС) 2018/1240 от 12 септември 2018 г. за създаване на Европейска система за информация за пътуванията и разрешаването им (ETIAS) и за изменение на регламенти (ЕС) № 1077/2011, (ЕС) № 515/2014, (ЕС) 2016/399, (ЕС) 2016/1624 и (ЕС) 2017/2226; и Регламент (ЕС) 2018/1241 от 12 септември 2018 г. за изменение на Регламент (ЕС) 2016/794 за целите на създаването на Европейска система за информация за пътуванията и разрешаването им (ETIAS).</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tab/>
      </w:r>
      <w:r>
        <w:rPr>
          <w:rFonts w:ascii="Times New Roman" w:hAnsi="Times New Roman"/>
        </w:rPr>
        <w:t>Предложение за Регламент относно европейските заповеди за предоставяне и за запазване на електронни доказателства по наказателноправни въпроси, COM(2018) 225 final, 17 април 2018 г.</w:t>
      </w:r>
    </w:p>
  </w:footnote>
  <w:footnote w:id="3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Директива за установяване на хармонизирани правила относно определянето на юридически представители за целите на събирането на доказателства по наказателни производства, COM(2018) 226, 17 април 2018 г.</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относно временна дерогация от някои разпоредби на Директива 2002/58/ЕО по отношение на използването на технологии от доставчици на междуличностни съобщителни услуги без номерà за обработка на лични и други данни за целите на борбата със сексуалното насилие над деца онлайн, COM(2020) 568 final, 10 септември 2020 г.</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за създаване на космическа програма на Съюза и на Агенция на Европейския съюз за космическата програма, COM(2018) 447 final, 6 юни 2018 г.</w:t>
      </w:r>
    </w:p>
  </w:footnote>
  <w:footnote w:id="3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за създаване на Европейски фонд за отбрана, COM(2018) 476 final, 13 юни 2018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72D"/>
    <w:multiLevelType w:val="hybridMultilevel"/>
    <w:tmpl w:val="57C21FEE"/>
    <w:lvl w:ilvl="0" w:tplc="C7C8DD0A">
      <w:start w:val="3"/>
      <w:numFmt w:val="upperRoman"/>
      <w:lvlText w:val="%1."/>
      <w:lvlJc w:val="left"/>
      <w:pPr>
        <w:ind w:left="770" w:hanging="720"/>
      </w:pPr>
      <w:rPr>
        <w:rFonts w:asciiTheme="minorHAnsi" w:hAnsiTheme="minorHAnsi" w:cstheme="minorBidi" w:hint="default"/>
        <w:b w:val="0"/>
        <w:sz w:val="22"/>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nsid w:val="0BFB55A7"/>
    <w:multiLevelType w:val="hybridMultilevel"/>
    <w:tmpl w:val="338E2A36"/>
    <w:lvl w:ilvl="0" w:tplc="FFE23C4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610E61"/>
    <w:multiLevelType w:val="hybridMultilevel"/>
    <w:tmpl w:val="1D548468"/>
    <w:lvl w:ilvl="0" w:tplc="249E16AC">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112077"/>
    <w:multiLevelType w:val="hybridMultilevel"/>
    <w:tmpl w:val="2084BE9A"/>
    <w:lvl w:ilvl="0" w:tplc="6C6ABC2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D864E4"/>
    <w:multiLevelType w:val="hybridMultilevel"/>
    <w:tmpl w:val="4366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5B269B"/>
    <w:multiLevelType w:val="hybridMultilevel"/>
    <w:tmpl w:val="AF8E4FD4"/>
    <w:lvl w:ilvl="0" w:tplc="E420425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2?\u1098?\u1084?"/>
    <w:docVar w:name="LW_ANNEX_NBR_FIRST" w:val="1"/>
    <w:docVar w:name="LW_ANNEX_NBR_LAST" w:val="1"/>
    <w:docVar w:name="LW_ANNEX_UNIQUE" w:val="0"/>
    <w:docVar w:name="LW_CORRIGENDUM" w:val="&lt;UNUSED&gt;"/>
    <w:docVar w:name="LW_COVERPAGE_EXISTS" w:val="True"/>
    <w:docVar w:name="LW_COVERPAGE_GUID" w:val="8EA10ABE-6DB2-4E8F-97C9-71C99BA42950"/>
    <w:docVar w:name="LW_COVERPAGE_TYPE" w:val="1"/>
    <w:docVar w:name="LW_CROSSREFERENCE" w:val="&lt;UNUSED&gt;"/>
    <w:docVar w:name="LW_DocType" w:val="NORMAL"/>
    <w:docVar w:name="LW_EMISSION" w:val="9.12.2020"/>
    <w:docVar w:name="LW_EMISSION_ISODATE" w:val="2020-12-09"/>
    <w:docVar w:name="LW_EMISSION_LOCATION" w:val="BRX"/>
    <w:docVar w:name="LW_EMISSION_PREFIX" w:val="Брюксел, "/>
    <w:docVar w:name="LW_EMISSION_SUFFIX" w:val=" \u1075?."/>
    <w:docVar w:name="LW_ID_DOCTYPE_NONLW" w:val="CP-039"/>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55?\u1098?\u1088?\u1074?\u1080? \u1076?\u1086?\u1082?\u1083?\u1072?\u1076? \u1079?\u1072? \u1085?\u1072?\u1087?\u1088?\u1077?\u1076?\u1098?\u1082?\u1072? \u1087?\u1086? \u1089?\u1090?\u1088?\u1072?\u1090?\u1077?\u1075?\u1080?\u1103?\u1090?\u1072? \u1085?\u1072? \u1045?\u1057? \u1079?\u1072? \u1057?\u1098?\u1102?\u1079?\u1072? \u1085?\u1072? \u1089?\u1080?\u1075?\u1091?\u1088?\u1085?\u1086?\u1089?\u1090?_x000d__x000d__x000d__x000d__x000d__x000d__x000d__x000d__x000d__x000d__x000d__x000d__x000d__x000d__x000d__x000d__x000b__x000d__x000d__x000d__x000d__x000d__x000d__x000d__x000d__x000d__x000d__x000d__x000d__x000d__x000d__x000d__x000d__x000b__x000d__x000d__x000d__x000d__x000d__x000d__x000d__x000d__x000d__x000d__x000d__x000d__x000d__x000d__x000d__x000d__x000b_\u1057?\u1098?\u1089?\u1090?\u1086?\u1103?\u1085?\u1080?\u1077? \u1085?\u1072? \u1087?\u1088?\u1080?\u1083?\u1072?\u1075?\u1072?\u1085?\u1077?\u1090?\u1086? \u1085?\u1072? \u1079?\u1072?\u1082?\u1086?\u1085?\u1086?\u1076?\u1072?\u1090?\u1077?\u1083?\u1089?\u1090?\u1074?\u1086?\u1090?\u1086? \u1074? \u1086?\u1073?\u1083?\u1072?\u1089?\u1090?\u1090?\u1072? \u1085?\u1072? \u1089?\u1080?\u1075?\u1091?\u1088?\u1085?\u1086?\u1089?\u1090?\u1090?\u1072?_x000d__x000d__x000d__x000d__x000d__x000d__x000d__x000d__x000d__x000d__x000d__x000d__x000d__x000d__x000d__x000d__x000b_"/>
    <w:docVar w:name="LW_PART_NBR" w:val="1"/>
    <w:docVar w:name="LW_PART_NBR_TOTAL" w:val="1"/>
    <w:docVar w:name="LW_REF.INST.NEW" w:val="COM"/>
    <w:docVar w:name="LW_REF.INST.NEW_ADOPTED" w:val="final"/>
    <w:docVar w:name="LW_REF.INST.NEW_TEXT" w:val="(2020) 7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1055?\u1056?\u1048?\u1051?\u1054?\u1046?\u1045?\u1053?\u1048?\u1045?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fr"/>
    <w:basedOn w:val="DefaultParagraphFont"/>
    <w:link w:val="BVIfnrChar"/>
    <w:uiPriority w:val="99"/>
    <w:unhideWhenUsed/>
    <w:qFormat/>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fr"/>
    <w:basedOn w:val="DefaultParagraphFont"/>
    <w:link w:val="BVIfnrChar"/>
    <w:uiPriority w:val="99"/>
    <w:unhideWhenUsed/>
    <w:qFormat/>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DAE06-90E1-46EB-94B1-D9980207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5623</Characters>
  <Application>Microsoft Office Word</Application>
  <DocSecurity>0</DocSecurity>
  <Lines>114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2020-12-16T17:35:00Z</dcterms:created>
  <dcterms:modified xsi:type="dcterms:W3CDTF">2021-01-18T09:01:00Z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0</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CP-039</vt:lpwstr>
  </property>
</Properties>
</file>