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12E47072-E277-4E68-A6FC-762D5649268B" style="width:450.45pt;height:408.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line="240" w:lineRule="auto"/>
        <w:jc w:val="both"/>
        <w:rPr>
          <w:rFonts w:ascii="Times New Roman" w:hAnsi="Times New Roman"/>
          <w:b/>
          <w:noProof/>
          <w:sz w:val="24"/>
          <w:szCs w:val="24"/>
        </w:rPr>
      </w:pPr>
      <w:bookmarkStart w:id="1" w:name="_GoBack"/>
      <w:bookmarkEnd w:id="1"/>
    </w:p>
    <w:p>
      <w:pPr>
        <w:spacing w:line="240" w:lineRule="auto"/>
        <w:jc w:val="both"/>
        <w:rPr>
          <w:rFonts w:ascii="Times New Roman" w:hAnsi="Times New Roman" w:cs="Times New Roman"/>
          <w:b/>
          <w:noProof/>
          <w:sz w:val="24"/>
          <w:szCs w:val="24"/>
        </w:rPr>
      </w:pPr>
      <w:r>
        <w:rPr>
          <w:rFonts w:ascii="Times New Roman" w:hAnsi="Times New Roman"/>
          <w:b/>
          <w:noProof/>
          <w:sz w:val="24"/>
          <w:szCs w:val="24"/>
        </w:rPr>
        <w:t xml:space="preserve">I. Liste des directives et des décisions-cadres pour lesquelles des procédures d’infraction sont en cours </w:t>
      </w:r>
    </w:p>
    <w:p>
      <w:pPr>
        <w:pStyle w:val="ListParagraph"/>
        <w:numPr>
          <w:ilvl w:val="0"/>
          <w:numId w:val="2"/>
        </w:numPr>
        <w:spacing w:line="240" w:lineRule="auto"/>
        <w:jc w:val="both"/>
        <w:rPr>
          <w:rFonts w:ascii="Times New Roman" w:hAnsi="Times New Roman" w:cs="Times New Roman"/>
          <w:noProof/>
          <w:sz w:val="24"/>
          <w:szCs w:val="24"/>
        </w:rPr>
      </w:pPr>
      <w:r>
        <w:rPr>
          <w:rFonts w:ascii="Times New Roman" w:hAnsi="Times New Roman"/>
          <w:b/>
          <w:noProof/>
          <w:sz w:val="24"/>
          <w:szCs w:val="24"/>
        </w:rPr>
        <w:t>Cadre Prüm</w:t>
      </w:r>
      <w:r>
        <w:rPr>
          <w:rStyle w:val="FootnoteReference"/>
          <w:rFonts w:ascii="Times New Roman" w:hAnsi="Times New Roman" w:cs="Times New Roman"/>
          <w:b/>
          <w:noProof/>
          <w:sz w:val="24"/>
          <w:szCs w:val="24"/>
        </w:rPr>
        <w:footnoteReference w:id="2"/>
      </w:r>
      <w:r>
        <w:rPr>
          <w:rFonts w:ascii="Times New Roman" w:hAnsi="Times New Roman"/>
          <w:noProof/>
          <w:sz w:val="24"/>
          <w:szCs w:val="24"/>
        </w:rPr>
        <w:t xml:space="preserve">: procédures d’infraction en cours contre 2 États membres. </w:t>
      </w:r>
    </w:p>
    <w:p>
      <w:pPr>
        <w:pStyle w:val="ListParagraph"/>
        <w:numPr>
          <w:ilvl w:val="0"/>
          <w:numId w:val="2"/>
        </w:numPr>
        <w:spacing w:line="240" w:lineRule="auto"/>
        <w:jc w:val="both"/>
        <w:rPr>
          <w:rFonts w:ascii="Times New Roman" w:hAnsi="Times New Roman" w:cs="Times New Roman"/>
          <w:noProof/>
          <w:sz w:val="24"/>
          <w:szCs w:val="24"/>
        </w:rPr>
      </w:pPr>
      <w:r>
        <w:rPr>
          <w:rFonts w:ascii="Times New Roman" w:hAnsi="Times New Roman"/>
          <w:b/>
          <w:noProof/>
          <w:sz w:val="24"/>
          <w:szCs w:val="24"/>
        </w:rPr>
        <w:t>Décision-cadre relative à l’accréditation des services de police scientifique</w:t>
      </w:r>
      <w:r>
        <w:rPr>
          <w:rStyle w:val="FootnoteReference"/>
          <w:rFonts w:ascii="Times New Roman" w:hAnsi="Times New Roman" w:cs="Times New Roman"/>
          <w:b/>
          <w:noProof/>
          <w:sz w:val="24"/>
          <w:szCs w:val="24"/>
        </w:rPr>
        <w:footnoteReference w:id="3"/>
      </w:r>
      <w:r>
        <w:rPr>
          <w:rFonts w:ascii="Times New Roman" w:hAnsi="Times New Roman"/>
          <w:b/>
          <w:noProof/>
          <w:sz w:val="24"/>
          <w:szCs w:val="24"/>
        </w:rPr>
        <w:t xml:space="preserve">: </w:t>
      </w:r>
      <w:r>
        <w:rPr>
          <w:rFonts w:ascii="Times New Roman" w:hAnsi="Times New Roman"/>
          <w:noProof/>
          <w:sz w:val="24"/>
          <w:szCs w:val="24"/>
        </w:rPr>
        <w:t>procédures d’infraction en cours contre 2 États membres.</w:t>
      </w:r>
    </w:p>
    <w:p>
      <w:pPr>
        <w:pStyle w:val="ListParagraph"/>
        <w:numPr>
          <w:ilvl w:val="0"/>
          <w:numId w:val="2"/>
        </w:numPr>
        <w:spacing w:line="240" w:lineRule="auto"/>
        <w:jc w:val="both"/>
        <w:rPr>
          <w:rFonts w:ascii="Times New Roman" w:hAnsi="Times New Roman" w:cs="Times New Roman"/>
          <w:noProof/>
          <w:sz w:val="24"/>
          <w:szCs w:val="24"/>
        </w:rPr>
      </w:pPr>
      <w:r>
        <w:rPr>
          <w:rFonts w:ascii="Times New Roman" w:hAnsi="Times New Roman"/>
          <w:b/>
          <w:noProof/>
          <w:sz w:val="24"/>
          <w:szCs w:val="24"/>
        </w:rPr>
        <w:t>Directive relative à la lutte contre les abus sexuels commis sur des enfants</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(délai de transposition: 18.12.2013). Procédures d’infraction en cours contre 25 États membres.</w:t>
      </w:r>
    </w:p>
    <w:p>
      <w:pPr>
        <w:pStyle w:val="ListParagraph"/>
        <w:numPr>
          <w:ilvl w:val="0"/>
          <w:numId w:val="2"/>
        </w:numPr>
        <w:spacing w:line="240" w:lineRule="auto"/>
        <w:jc w:val="both"/>
        <w:rPr>
          <w:rFonts w:ascii="Times New Roman" w:hAnsi="Times New Roman" w:cs="Times New Roman"/>
          <w:noProof/>
          <w:sz w:val="24"/>
          <w:szCs w:val="24"/>
        </w:rPr>
      </w:pPr>
      <w:r>
        <w:rPr>
          <w:rFonts w:ascii="Times New Roman" w:hAnsi="Times New Roman"/>
          <w:b/>
          <w:noProof/>
          <w:sz w:val="24"/>
          <w:szCs w:val="24"/>
        </w:rPr>
        <w:t>Directive relative aux attaques contre les systèmes d’information</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xml:space="preserve"> (délai de transposition:</w:t>
      </w:r>
      <w:r>
        <w:rPr>
          <w:noProof/>
        </w:rPr>
        <w:t xml:space="preserve"> </w:t>
      </w:r>
      <w:r>
        <w:rPr>
          <w:rFonts w:ascii="Times New Roman" w:hAnsi="Times New Roman"/>
          <w:noProof/>
          <w:sz w:val="24"/>
          <w:szCs w:val="24"/>
        </w:rPr>
        <w:t xml:space="preserve">4.9.2015). Procédures d’infraction en cours contre 4 États membres.   </w:t>
      </w:r>
    </w:p>
    <w:p>
      <w:pPr>
        <w:pStyle w:val="ListParagraph"/>
        <w:numPr>
          <w:ilvl w:val="0"/>
          <w:numId w:val="2"/>
        </w:numPr>
        <w:jc w:val="both"/>
        <w:rPr>
          <w:rFonts w:ascii="Times New Roman" w:hAnsi="Times New Roman"/>
          <w:noProof/>
          <w:sz w:val="24"/>
          <w:szCs w:val="24"/>
        </w:rPr>
      </w:pPr>
      <w:r>
        <w:rPr>
          <w:rFonts w:ascii="Times New Roman" w:hAnsi="Times New Roman"/>
          <w:b/>
          <w:noProof/>
          <w:sz w:val="24"/>
          <w:szCs w:val="24"/>
        </w:rPr>
        <w:t>Directive sur le gel et la confiscation des instruments et des produits du crime</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xml:space="preserve"> (délai de transposition: 4.10.2016). Procédures d’infraction en cours contre 3 États membres. </w:t>
      </w:r>
    </w:p>
    <w:p>
      <w:pPr>
        <w:pStyle w:val="ListParagraph"/>
        <w:numPr>
          <w:ilvl w:val="0"/>
          <w:numId w:val="2"/>
        </w:numPr>
        <w:jc w:val="both"/>
        <w:rPr>
          <w:rFonts w:ascii="Times New Roman" w:hAnsi="Times New Roman"/>
          <w:b/>
          <w:noProof/>
          <w:sz w:val="24"/>
          <w:szCs w:val="24"/>
        </w:rPr>
      </w:pPr>
      <w:r>
        <w:rPr>
          <w:rFonts w:ascii="Times New Roman" w:hAnsi="Times New Roman"/>
          <w:b/>
          <w:noProof/>
          <w:sz w:val="24"/>
          <w:szCs w:val="24"/>
        </w:rPr>
        <w:t>Directive sur les abus de marché</w:t>
      </w:r>
      <w:r>
        <w:rPr>
          <w:rStyle w:val="FootnoteReference"/>
          <w:rFonts w:ascii="Times New Roman" w:hAnsi="Times New Roman"/>
          <w:noProof/>
          <w:sz w:val="24"/>
          <w:szCs w:val="24"/>
          <w:lang w:val="en-IE"/>
        </w:rPr>
        <w:footnoteReference w:id="7"/>
      </w:r>
      <w:r>
        <w:rPr>
          <w:rFonts w:ascii="Times New Roman" w:hAnsi="Times New Roman"/>
          <w:noProof/>
          <w:sz w:val="24"/>
          <w:szCs w:val="24"/>
        </w:rPr>
        <w:t xml:space="preserve"> (délai de transposition: 3.7.16). Procédures d’infraction en cours contre 4 États membres. </w:t>
      </w:r>
    </w:p>
    <w:p>
      <w:pPr>
        <w:pStyle w:val="ListParagraph"/>
        <w:numPr>
          <w:ilvl w:val="0"/>
          <w:numId w:val="2"/>
        </w:numPr>
        <w:spacing w:line="240" w:lineRule="auto"/>
        <w:jc w:val="both"/>
        <w:rPr>
          <w:rFonts w:ascii="Times New Roman" w:hAnsi="Times New Roman" w:cs="Times New Roman"/>
          <w:bCs/>
          <w:noProof/>
          <w:sz w:val="24"/>
          <w:szCs w:val="24"/>
        </w:rPr>
      </w:pPr>
      <w:r>
        <w:rPr>
          <w:rFonts w:ascii="Times New Roman" w:hAnsi="Times New Roman"/>
          <w:b/>
          <w:bCs/>
          <w:noProof/>
          <w:sz w:val="24"/>
          <w:szCs w:val="24"/>
        </w:rPr>
        <w:t>4e directive antiblanchiment</w:t>
      </w:r>
      <w:r>
        <w:rPr>
          <w:rStyle w:val="FootnoteReference"/>
          <w:rFonts w:ascii="Times New Roman" w:hAnsi="Times New Roman" w:cs="Times New Roman"/>
          <w:bCs/>
          <w:noProof/>
          <w:sz w:val="24"/>
          <w:szCs w:val="24"/>
        </w:rPr>
        <w:footnoteReference w:id="8"/>
      </w:r>
      <w:r>
        <w:rPr>
          <w:rFonts w:ascii="Times New Roman" w:hAnsi="Times New Roman"/>
          <w:bCs/>
          <w:noProof/>
          <w:sz w:val="24"/>
          <w:szCs w:val="24"/>
        </w:rPr>
        <w:t xml:space="preserve"> (délai de transposition: 16.6.2017). Procédures d’infraction en cours contre 8 États membres.</w:t>
      </w:r>
    </w:p>
    <w:p>
      <w:pPr>
        <w:pStyle w:val="ListParagraph"/>
        <w:numPr>
          <w:ilvl w:val="0"/>
          <w:numId w:val="2"/>
        </w:numPr>
        <w:spacing w:after="240" w:line="240" w:lineRule="auto"/>
        <w:jc w:val="both"/>
        <w:rPr>
          <w:rFonts w:ascii="Times New Roman" w:hAnsi="Times New Roman" w:cs="Times New Roman"/>
          <w:noProof/>
          <w:sz w:val="24"/>
          <w:szCs w:val="24"/>
        </w:rPr>
      </w:pPr>
      <w:r>
        <w:rPr>
          <w:rFonts w:ascii="Times New Roman" w:hAnsi="Times New Roman"/>
          <w:b/>
          <w:noProof/>
          <w:sz w:val="24"/>
          <w:szCs w:val="24"/>
        </w:rPr>
        <w:t>Directive en matière de protection des données dans le domaine répressif</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xml:space="preserve"> (délai de transposition: 6.5.2018). Procédures d’infraction en cours contre 3 États membres.</w:t>
      </w:r>
    </w:p>
    <w:p>
      <w:pPr>
        <w:pStyle w:val="ListParagraph"/>
        <w:numPr>
          <w:ilvl w:val="0"/>
          <w:numId w:val="2"/>
        </w:numPr>
        <w:spacing w:after="240" w:line="240" w:lineRule="auto"/>
        <w:jc w:val="both"/>
        <w:rPr>
          <w:rFonts w:ascii="Times New Roman" w:hAnsi="Times New Roman" w:cs="Times New Roman"/>
          <w:noProof/>
          <w:sz w:val="24"/>
          <w:szCs w:val="24"/>
        </w:rPr>
      </w:pPr>
      <w:r>
        <w:rPr>
          <w:rFonts w:ascii="Times New Roman" w:hAnsi="Times New Roman"/>
          <w:b/>
          <w:noProof/>
          <w:sz w:val="24"/>
          <w:szCs w:val="24"/>
        </w:rPr>
        <w:t>Directive relative à l’utilisation des données des dossiers passagers</w:t>
      </w:r>
      <w:r>
        <w:rPr>
          <w:rStyle w:val="FootnoteReference"/>
          <w:rFonts w:ascii="Times New Roman" w:hAnsi="Times New Roman" w:cs="Times New Roman"/>
          <w:bCs/>
          <w:noProof/>
          <w:sz w:val="24"/>
          <w:szCs w:val="24"/>
        </w:rPr>
        <w:footnoteReference w:id="10"/>
      </w:r>
      <w:r>
        <w:rPr>
          <w:rFonts w:ascii="Times New Roman" w:hAnsi="Times New Roman"/>
          <w:noProof/>
          <w:sz w:val="24"/>
          <w:szCs w:val="24"/>
        </w:rPr>
        <w:t xml:space="preserve"> (délai de transposition: 25.5.2018). Procédure d’infraction en cours contre 1 État membre. </w:t>
      </w:r>
    </w:p>
    <w:p>
      <w:pPr>
        <w:pStyle w:val="ListParagraph"/>
        <w:numPr>
          <w:ilvl w:val="0"/>
          <w:numId w:val="2"/>
        </w:numPr>
        <w:spacing w:line="240" w:lineRule="auto"/>
        <w:jc w:val="both"/>
        <w:rPr>
          <w:rFonts w:ascii="Times New Roman" w:hAnsi="Times New Roman" w:cs="Times New Roman"/>
          <w:bCs/>
          <w:noProof/>
          <w:sz w:val="24"/>
          <w:szCs w:val="24"/>
        </w:rPr>
      </w:pPr>
      <w:r>
        <w:rPr>
          <w:rFonts w:ascii="Times New Roman" w:hAnsi="Times New Roman"/>
          <w:b/>
          <w:noProof/>
          <w:sz w:val="24"/>
          <w:szCs w:val="24"/>
        </w:rPr>
        <w:t>Directive relative au contrôle de l’acquisition et de la détention d’armes</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(directive sur les armes à feu) (délai de transposition: 14.9.2018). Procédures d’infraction en cours contre 25 États membres et le Royaume-Uni. </w:t>
      </w:r>
    </w:p>
    <w:p>
      <w:pPr>
        <w:pStyle w:val="ListParagraph"/>
        <w:numPr>
          <w:ilvl w:val="0"/>
          <w:numId w:val="2"/>
        </w:numPr>
        <w:jc w:val="both"/>
        <w:rPr>
          <w:rFonts w:ascii="Times New Roman" w:hAnsi="Times New Roman"/>
          <w:noProof/>
          <w:sz w:val="24"/>
          <w:szCs w:val="24"/>
        </w:rPr>
      </w:pPr>
      <w:r>
        <w:rPr>
          <w:rFonts w:ascii="Times New Roman" w:hAnsi="Times New Roman"/>
          <w:b/>
          <w:bCs/>
          <w:noProof/>
          <w:sz w:val="24"/>
          <w:szCs w:val="24"/>
        </w:rPr>
        <w:t>Paquet législatif sur de nouvelles substances psychoactives</w:t>
      </w:r>
      <w:r>
        <w:rPr>
          <w:rStyle w:val="FootnoteReference"/>
          <w:rFonts w:ascii="Times New Roman" w:hAnsi="Times New Roman" w:cs="Times New Roman"/>
          <w:bCs/>
          <w:noProof/>
          <w:sz w:val="24"/>
          <w:szCs w:val="24"/>
        </w:rPr>
        <w:footnoteReference w:id="12"/>
      </w:r>
      <w:r>
        <w:rPr>
          <w:rFonts w:ascii="Times New Roman" w:hAnsi="Times New Roman"/>
          <w:bCs/>
          <w:noProof/>
          <w:sz w:val="24"/>
          <w:szCs w:val="24"/>
        </w:rPr>
        <w:t xml:space="preserve"> (délai de transposition: 23.11.2018). </w:t>
      </w:r>
      <w:r>
        <w:rPr>
          <w:rFonts w:ascii="Times New Roman" w:hAnsi="Times New Roman"/>
          <w:noProof/>
          <w:sz w:val="24"/>
          <w:szCs w:val="24"/>
        </w:rPr>
        <w:t>Procédures d’infraction relative à la directive (UE) 2017/2103 en cours contre de 5 États membres, et relative à la directive déléguée (UE) 2019/369 contre 1 État membre.</w:t>
      </w:r>
    </w:p>
    <w:p>
      <w:pPr>
        <w:pStyle w:val="ListParagraph"/>
        <w:numPr>
          <w:ilvl w:val="0"/>
          <w:numId w:val="2"/>
        </w:numPr>
        <w:jc w:val="both"/>
        <w:rPr>
          <w:rFonts w:ascii="Times New Roman" w:hAnsi="Times New Roman" w:cs="Times New Roman"/>
          <w:bCs/>
          <w:noProof/>
          <w:sz w:val="24"/>
          <w:szCs w:val="24"/>
        </w:rPr>
      </w:pPr>
      <w:r>
        <w:rPr>
          <w:rFonts w:ascii="Times New Roman" w:hAnsi="Times New Roman"/>
          <w:b/>
          <w:noProof/>
          <w:sz w:val="24"/>
          <w:szCs w:val="24"/>
        </w:rPr>
        <w:t>Directive relative à la lutte contre la fraude portant atteinte aux intérêts financiers de l’Union au moyen du droit pénal</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xml:space="preserve"> (délai de transposition: 6.7.2019). Procédures d’infraction en cours contre 3 États membres.</w:t>
      </w:r>
    </w:p>
    <w:p>
      <w:pPr>
        <w:pStyle w:val="ListParagraph"/>
        <w:numPr>
          <w:ilvl w:val="0"/>
          <w:numId w:val="2"/>
        </w:numPr>
        <w:spacing w:line="240" w:lineRule="auto"/>
        <w:jc w:val="both"/>
        <w:rPr>
          <w:rFonts w:ascii="Times New Roman" w:hAnsi="Times New Roman" w:cs="Times New Roman"/>
          <w:noProof/>
          <w:sz w:val="24"/>
          <w:szCs w:val="24"/>
        </w:rPr>
      </w:pPr>
      <w:r>
        <w:rPr>
          <w:rFonts w:ascii="Times New Roman" w:hAnsi="Times New Roman"/>
          <w:b/>
          <w:noProof/>
          <w:sz w:val="24"/>
          <w:szCs w:val="24"/>
        </w:rPr>
        <w:t>5</w:t>
      </w:r>
      <w:r>
        <w:rPr>
          <w:rFonts w:ascii="Times New Roman" w:hAnsi="Times New Roman"/>
          <w:b/>
          <w:noProof/>
          <w:sz w:val="24"/>
          <w:szCs w:val="24"/>
          <w:vertAlign w:val="superscript"/>
        </w:rPr>
        <w:t>e</w:t>
      </w:r>
      <w:r>
        <w:rPr>
          <w:rFonts w:ascii="Times New Roman" w:hAnsi="Times New Roman"/>
          <w:b/>
          <w:noProof/>
          <w:sz w:val="24"/>
          <w:szCs w:val="24"/>
        </w:rPr>
        <w:t xml:space="preserve"> directive antiblanchiment</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xml:space="preserve"> (délai de transposition: 10.1.2020). Procédures d’infraction en cours contre 16 États membres. </w:t>
      </w:r>
    </w:p>
    <w:p>
      <w:pPr>
        <w:pStyle w:val="ListParagraph"/>
        <w:numPr>
          <w:ilvl w:val="0"/>
          <w:numId w:val="2"/>
        </w:numPr>
        <w:spacing w:line="240" w:lineRule="auto"/>
        <w:jc w:val="both"/>
        <w:rPr>
          <w:rFonts w:ascii="Times New Roman" w:hAnsi="Times New Roman" w:cs="Times New Roman"/>
          <w:bCs/>
          <w:noProof/>
          <w:sz w:val="24"/>
          <w:szCs w:val="24"/>
        </w:rPr>
      </w:pPr>
      <w:r>
        <w:rPr>
          <w:rFonts w:ascii="Times New Roman" w:hAnsi="Times New Roman"/>
          <w:b/>
          <w:noProof/>
          <w:sz w:val="24"/>
          <w:szCs w:val="24"/>
        </w:rPr>
        <w:t>Directive d’exécution établissant des spécifications techniques pour le marquage des armes à feu</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xml:space="preserve"> (délai de transposition: 17.1.2020). Procédures d’infraction en cours contre 18 États membres et le Royaume-Uni.</w:t>
      </w:r>
    </w:p>
    <w:p>
      <w:pPr>
        <w:pStyle w:val="ListParagraph"/>
        <w:numPr>
          <w:ilvl w:val="0"/>
          <w:numId w:val="2"/>
        </w:numPr>
        <w:spacing w:line="240" w:lineRule="auto"/>
        <w:jc w:val="both"/>
        <w:rPr>
          <w:rFonts w:ascii="Times New Roman" w:hAnsi="Times New Roman" w:cs="Times New Roman"/>
          <w:bCs/>
          <w:noProof/>
          <w:sz w:val="24"/>
          <w:szCs w:val="24"/>
        </w:rPr>
      </w:pPr>
      <w:r>
        <w:rPr>
          <w:rFonts w:ascii="Times New Roman" w:hAnsi="Times New Roman"/>
          <w:b/>
          <w:noProof/>
          <w:sz w:val="24"/>
          <w:szCs w:val="24"/>
        </w:rPr>
        <w:t>Directive d’exécution établissant des spécifications techniques relatives au marquage des armes d’alarme et de signalisation</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xml:space="preserve"> (délai de transposition: 17.1.2020). Procédures d’infraction en cours contre 16 États membres et le Royaume-Uni. </w:t>
      </w:r>
    </w:p>
    <w:p>
      <w:pPr>
        <w:pStyle w:val="ListParagraph"/>
        <w:numPr>
          <w:ilvl w:val="0"/>
          <w:numId w:val="2"/>
        </w:numPr>
        <w:jc w:val="both"/>
        <w:rPr>
          <w:rFonts w:ascii="Times New Roman" w:hAnsi="Times New Roman" w:cs="Times New Roman"/>
          <w:bCs/>
          <w:noProof/>
          <w:sz w:val="24"/>
          <w:szCs w:val="24"/>
        </w:rPr>
      </w:pPr>
      <w:r>
        <w:rPr>
          <w:rFonts w:ascii="Times New Roman" w:hAnsi="Times New Roman"/>
          <w:bCs/>
          <w:noProof/>
          <w:sz w:val="24"/>
          <w:szCs w:val="24"/>
        </w:rPr>
        <w:t>Décision-cadre 2009/905/JAI du Conseil du 30 novembre 2009 relative à l’</w:t>
      </w:r>
      <w:r>
        <w:rPr>
          <w:rFonts w:ascii="Times New Roman" w:hAnsi="Times New Roman"/>
          <w:b/>
          <w:bCs/>
          <w:noProof/>
          <w:sz w:val="24"/>
          <w:szCs w:val="24"/>
        </w:rPr>
        <w:t>accréditation des prestataires de services de police scientifique menant des activités de laboratoire</w:t>
      </w:r>
      <w:r>
        <w:rPr>
          <w:rFonts w:ascii="Times New Roman" w:hAnsi="Times New Roman"/>
          <w:bCs/>
          <w:noProof/>
          <w:sz w:val="24"/>
          <w:szCs w:val="24"/>
        </w:rPr>
        <w:t xml:space="preserve"> (délai de transposition pour les données ADN: 30.11.2013 et pour les données dactyloscopiques: 30.11.2015). Procédures d’infraction en cours contre 2 États membres.</w:t>
      </w:r>
    </w:p>
    <w:p>
      <w:pPr>
        <w:pStyle w:val="ListParagraph"/>
        <w:numPr>
          <w:ilvl w:val="0"/>
          <w:numId w:val="2"/>
        </w:numPr>
        <w:spacing w:line="240" w:lineRule="auto"/>
        <w:jc w:val="both"/>
        <w:rPr>
          <w:rFonts w:ascii="Times New Roman" w:hAnsi="Times New Roman" w:cs="Times New Roman"/>
          <w:bCs/>
          <w:noProof/>
          <w:sz w:val="24"/>
          <w:szCs w:val="24"/>
        </w:rPr>
      </w:pPr>
      <w:r>
        <w:rPr>
          <w:rFonts w:ascii="Times New Roman" w:hAnsi="Times New Roman"/>
          <w:b/>
          <w:bCs/>
          <w:noProof/>
          <w:sz w:val="24"/>
          <w:szCs w:val="24"/>
        </w:rPr>
        <w:t>Directive concernant des mesures destinées à assurer un niveau élevé commun de sécurité des réseaux et des systèmes d’information dans l’Union</w:t>
      </w:r>
      <w:r>
        <w:rPr>
          <w:rStyle w:val="FootnoteReference"/>
          <w:rFonts w:ascii="Times New Roman" w:hAnsi="Times New Roman" w:cs="Times New Roman"/>
          <w:bCs/>
          <w:noProof/>
          <w:sz w:val="24"/>
          <w:szCs w:val="24"/>
        </w:rPr>
        <w:footnoteReference w:id="17"/>
      </w:r>
      <w:r>
        <w:rPr>
          <w:rFonts w:ascii="Times New Roman" w:hAnsi="Times New Roman"/>
          <w:bCs/>
          <w:noProof/>
          <w:sz w:val="24"/>
          <w:szCs w:val="24"/>
        </w:rPr>
        <w:t xml:space="preserve"> (délai de transposition: 9.5.2018). Procédures d’infraction en cours contre 3 États membres. </w:t>
      </w:r>
    </w:p>
    <w:p>
      <w:pPr>
        <w:pStyle w:val="ListParagraph"/>
        <w:numPr>
          <w:ilvl w:val="0"/>
          <w:numId w:val="2"/>
        </w:numPr>
        <w:spacing w:line="240" w:lineRule="auto"/>
        <w:jc w:val="both"/>
        <w:rPr>
          <w:rFonts w:ascii="Times New Roman" w:hAnsi="Times New Roman" w:cs="Times New Roman"/>
          <w:noProof/>
          <w:sz w:val="24"/>
          <w:szCs w:val="24"/>
        </w:rPr>
      </w:pPr>
      <w:r>
        <w:rPr>
          <w:rFonts w:ascii="Times New Roman" w:hAnsi="Times New Roman"/>
          <w:b/>
          <w:noProof/>
          <w:sz w:val="24"/>
          <w:szCs w:val="24"/>
        </w:rPr>
        <w:t>Directive sur les droits des victimes</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xml:space="preserve"> (délai de transposition: 16.11.2015). Procédures d’infraction en cours contre 11 États membres.</w:t>
      </w:r>
    </w:p>
    <w:p>
      <w:pPr>
        <w:pStyle w:val="ListParagraph"/>
        <w:numPr>
          <w:ilvl w:val="0"/>
          <w:numId w:val="2"/>
        </w:numPr>
        <w:spacing w:line="240" w:lineRule="auto"/>
        <w:jc w:val="both"/>
        <w:rPr>
          <w:rFonts w:ascii="Times New Roman" w:hAnsi="Times New Roman" w:cs="Times New Roman"/>
          <w:noProof/>
          <w:sz w:val="24"/>
          <w:szCs w:val="24"/>
        </w:rPr>
      </w:pPr>
      <w:r>
        <w:rPr>
          <w:rFonts w:ascii="Times New Roman" w:hAnsi="Times New Roman"/>
          <w:b/>
          <w:noProof/>
          <w:sz w:val="24"/>
          <w:szCs w:val="24"/>
        </w:rPr>
        <w:t>Décision-cadre relative au mandat d’arrêt européen</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xml:space="preserve"> (délai de transposition: 31.12.2003). Procédures d’infraction en cours contre 7 États membres.</w:t>
      </w:r>
    </w:p>
    <w:p>
      <w:pPr>
        <w:pStyle w:val="ListParagraph"/>
        <w:numPr>
          <w:ilvl w:val="0"/>
          <w:numId w:val="2"/>
        </w:numPr>
        <w:spacing w:line="240" w:lineRule="auto"/>
        <w:jc w:val="both"/>
        <w:rPr>
          <w:rFonts w:ascii="Times New Roman" w:hAnsi="Times New Roman" w:cs="Times New Roman"/>
          <w:noProof/>
          <w:sz w:val="24"/>
          <w:szCs w:val="24"/>
        </w:rPr>
      </w:pPr>
      <w:r>
        <w:rPr>
          <w:rFonts w:ascii="Times New Roman" w:hAnsi="Times New Roman"/>
          <w:b/>
          <w:noProof/>
          <w:sz w:val="24"/>
          <w:szCs w:val="24"/>
        </w:rPr>
        <w:t>Décision-cadre relative aux peines privatives de liberté</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xml:space="preserve"> (délai de transposition: 5.12.2011). Procédure d’infraction en cours contre 1 État membre.</w:t>
      </w:r>
    </w:p>
    <w:p>
      <w:pPr>
        <w:pStyle w:val="ListParagraph"/>
        <w:numPr>
          <w:ilvl w:val="0"/>
          <w:numId w:val="2"/>
        </w:numPr>
        <w:spacing w:line="240" w:lineRule="auto"/>
        <w:jc w:val="both"/>
        <w:rPr>
          <w:rFonts w:ascii="Times New Roman" w:hAnsi="Times New Roman" w:cs="Times New Roman"/>
          <w:noProof/>
          <w:sz w:val="24"/>
          <w:szCs w:val="24"/>
        </w:rPr>
      </w:pPr>
      <w:r>
        <w:rPr>
          <w:rFonts w:ascii="Times New Roman" w:hAnsi="Times New Roman"/>
          <w:b/>
          <w:noProof/>
          <w:sz w:val="24"/>
          <w:szCs w:val="24"/>
        </w:rPr>
        <w:t>Décision-cadre relative aux sanctions pécuniaires</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xml:space="preserve"> (délai de transposition: 22.3.2007). Procédure d’infraction en cours contre 1 État membre.</w:t>
      </w:r>
    </w:p>
    <w:p>
      <w:pPr>
        <w:pStyle w:val="ListParagraph"/>
        <w:numPr>
          <w:ilvl w:val="0"/>
          <w:numId w:val="2"/>
        </w:numPr>
        <w:spacing w:line="240" w:lineRule="auto"/>
        <w:jc w:val="both"/>
        <w:rPr>
          <w:rFonts w:ascii="Times New Roman" w:hAnsi="Times New Roman" w:cs="Times New Roman"/>
          <w:noProof/>
          <w:sz w:val="24"/>
          <w:szCs w:val="24"/>
        </w:rPr>
      </w:pPr>
      <w:r>
        <w:rPr>
          <w:rFonts w:ascii="Times New Roman" w:hAnsi="Times New Roman"/>
          <w:b/>
          <w:noProof/>
          <w:sz w:val="24"/>
          <w:szCs w:val="24"/>
        </w:rPr>
        <w:t>Décision-cadre relative aux mesures de contrôle</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xml:space="preserve"> (délai de transposition: 1.12.2012).</w:t>
      </w:r>
      <w:r>
        <w:rPr>
          <w:noProof/>
          <w:color w:val="1F497D"/>
        </w:rPr>
        <w:t xml:space="preserve"> </w:t>
      </w:r>
      <w:r>
        <w:rPr>
          <w:rFonts w:ascii="Times New Roman" w:hAnsi="Times New Roman"/>
          <w:noProof/>
          <w:sz w:val="24"/>
          <w:szCs w:val="24"/>
        </w:rPr>
        <w:t>Procédure d’infraction en cours contre 1 État membre.</w:t>
      </w:r>
    </w:p>
    <w:p>
      <w:pPr>
        <w:pStyle w:val="ListParagraph"/>
        <w:numPr>
          <w:ilvl w:val="0"/>
          <w:numId w:val="2"/>
        </w:numPr>
        <w:spacing w:line="240" w:lineRule="auto"/>
        <w:jc w:val="both"/>
        <w:rPr>
          <w:rFonts w:ascii="Times New Roman" w:hAnsi="Times New Roman" w:cs="Times New Roman"/>
          <w:bCs/>
          <w:noProof/>
          <w:sz w:val="24"/>
          <w:szCs w:val="24"/>
        </w:rPr>
      </w:pPr>
      <w:r>
        <w:rPr>
          <w:rFonts w:ascii="Times New Roman" w:hAnsi="Times New Roman"/>
          <w:b/>
          <w:bCs/>
          <w:noProof/>
          <w:sz w:val="24"/>
          <w:szCs w:val="24"/>
        </w:rPr>
        <w:t>Version révisée de la directive «Services de médias audiovisuels»</w:t>
      </w:r>
      <w:r>
        <w:rPr>
          <w:rFonts w:ascii="Times New Roman" w:hAnsi="Times New Roman"/>
          <w:bCs/>
          <w:noProof/>
          <w:sz w:val="24"/>
          <w:szCs w:val="24"/>
        </w:rPr>
        <w:t xml:space="preserve"> (délai de transposition: 19.9.2020). Procédures d’infraction en cours contre 23 États membres.</w:t>
      </w:r>
    </w:p>
    <w:p>
      <w:pPr>
        <w:spacing w:line="240" w:lineRule="auto"/>
        <w:jc w:val="both"/>
        <w:rPr>
          <w:rFonts w:ascii="Times New Roman" w:hAnsi="Times New Roman" w:cs="Times New Roman"/>
          <w:b/>
          <w:noProof/>
          <w:sz w:val="24"/>
          <w:szCs w:val="24"/>
        </w:rPr>
      </w:pPr>
      <w:r>
        <w:rPr>
          <w:rFonts w:ascii="Times New Roman" w:hAnsi="Times New Roman"/>
          <w:b/>
          <w:noProof/>
          <w:sz w:val="24"/>
          <w:szCs w:val="24"/>
        </w:rPr>
        <w:t>II. Liste des directives à transposer avant fin 2020 et en 2021</w:t>
      </w:r>
    </w:p>
    <w:p>
      <w:pPr>
        <w:pStyle w:val="ListParagraph"/>
        <w:numPr>
          <w:ilvl w:val="0"/>
          <w:numId w:val="2"/>
        </w:numPr>
        <w:jc w:val="both"/>
        <w:rPr>
          <w:rFonts w:ascii="Times New Roman" w:hAnsi="Times New Roman" w:cs="Times New Roman"/>
          <w:bCs/>
          <w:noProof/>
          <w:sz w:val="24"/>
          <w:szCs w:val="24"/>
        </w:rPr>
      </w:pPr>
      <w:r>
        <w:rPr>
          <w:rFonts w:ascii="Times New Roman" w:hAnsi="Times New Roman"/>
          <w:bCs/>
          <w:noProof/>
          <w:sz w:val="24"/>
          <w:szCs w:val="24"/>
        </w:rPr>
        <w:t xml:space="preserve">Directive relative à la </w:t>
      </w:r>
      <w:r>
        <w:rPr>
          <w:rFonts w:ascii="Times New Roman" w:hAnsi="Times New Roman"/>
          <w:b/>
          <w:bCs/>
          <w:noProof/>
          <w:sz w:val="24"/>
          <w:szCs w:val="24"/>
        </w:rPr>
        <w:t>lutte contre le blanchiment de capitaux</w:t>
      </w:r>
      <w:r>
        <w:rPr>
          <w:rStyle w:val="FootnoteReference"/>
          <w:rFonts w:ascii="Times New Roman" w:hAnsi="Times New Roman" w:cs="Times New Roman"/>
          <w:bCs/>
          <w:noProof/>
          <w:sz w:val="24"/>
          <w:szCs w:val="24"/>
        </w:rPr>
        <w:footnoteReference w:id="23"/>
      </w:r>
      <w:r>
        <w:rPr>
          <w:rFonts w:ascii="Times New Roman" w:hAnsi="Times New Roman"/>
          <w:bCs/>
          <w:noProof/>
          <w:sz w:val="24"/>
          <w:szCs w:val="24"/>
        </w:rPr>
        <w:t xml:space="preserve"> (délai de transposition: décembre 2020).</w:t>
      </w:r>
    </w:p>
    <w:p>
      <w:pPr>
        <w:pStyle w:val="ListParagraph"/>
        <w:numPr>
          <w:ilvl w:val="0"/>
          <w:numId w:val="2"/>
        </w:numPr>
        <w:spacing w:line="240" w:lineRule="auto"/>
        <w:jc w:val="both"/>
        <w:rPr>
          <w:rFonts w:ascii="Times New Roman" w:hAnsi="Times New Roman" w:cs="Times New Roman"/>
          <w:bCs/>
          <w:noProof/>
          <w:sz w:val="24"/>
          <w:szCs w:val="24"/>
        </w:rPr>
      </w:pPr>
      <w:r>
        <w:rPr>
          <w:rFonts w:ascii="Times New Roman" w:hAnsi="Times New Roman"/>
          <w:noProof/>
          <w:sz w:val="24"/>
          <w:szCs w:val="24"/>
        </w:rPr>
        <w:t xml:space="preserve">Directive facilitant </w:t>
      </w:r>
      <w:r>
        <w:rPr>
          <w:rFonts w:ascii="Times New Roman" w:hAnsi="Times New Roman"/>
          <w:b/>
          <w:bCs/>
          <w:noProof/>
          <w:sz w:val="24"/>
          <w:szCs w:val="24"/>
        </w:rPr>
        <w:t>l’utilisation d’informations financières et d’une autre nature aux fins de la prévention ou de la détection de certaines infractions pénales, ou des enquêtes ou des poursuites en la matière</w:t>
      </w:r>
      <w:r>
        <w:rPr>
          <w:rStyle w:val="FootnoteReference"/>
          <w:rFonts w:ascii="Times New Roman" w:hAnsi="Times New Roman" w:cs="Times New Roman"/>
          <w:bCs/>
          <w:noProof/>
          <w:sz w:val="24"/>
          <w:szCs w:val="24"/>
        </w:rPr>
        <w:footnoteReference w:id="24"/>
      </w:r>
      <w:r>
        <w:rPr>
          <w:rFonts w:ascii="Times New Roman" w:hAnsi="Times New Roman"/>
          <w:noProof/>
          <w:sz w:val="24"/>
          <w:szCs w:val="24"/>
        </w:rPr>
        <w:t xml:space="preserve"> (délai de transposition: 1.8.2021).</w:t>
      </w:r>
    </w:p>
    <w:p>
      <w:pPr>
        <w:pStyle w:val="ListParagraph"/>
        <w:numPr>
          <w:ilvl w:val="0"/>
          <w:numId w:val="2"/>
        </w:numPr>
        <w:jc w:val="both"/>
        <w:rPr>
          <w:rFonts w:ascii="Times New Roman" w:hAnsi="Times New Roman" w:cs="Times New Roman"/>
          <w:bCs/>
          <w:noProof/>
          <w:sz w:val="24"/>
          <w:szCs w:val="24"/>
        </w:rPr>
      </w:pPr>
      <w:r>
        <w:rPr>
          <w:rFonts w:ascii="Times New Roman" w:hAnsi="Times New Roman"/>
          <w:bCs/>
          <w:noProof/>
          <w:sz w:val="24"/>
          <w:szCs w:val="24"/>
        </w:rPr>
        <w:t xml:space="preserve">Directive concernant </w:t>
      </w:r>
      <w:r>
        <w:rPr>
          <w:rFonts w:ascii="Times New Roman" w:hAnsi="Times New Roman"/>
          <w:b/>
          <w:bCs/>
          <w:noProof/>
          <w:sz w:val="24"/>
          <w:szCs w:val="24"/>
        </w:rPr>
        <w:t>la lutte contre la fraude et la contrefaçon des moyens de paiement autres que les espèces</w:t>
      </w:r>
      <w:r>
        <w:rPr>
          <w:rStyle w:val="FootnoteReference"/>
          <w:rFonts w:ascii="Times New Roman" w:hAnsi="Times New Roman" w:cs="Times New Roman"/>
          <w:bCs/>
          <w:noProof/>
          <w:sz w:val="24"/>
          <w:szCs w:val="24"/>
        </w:rPr>
        <w:footnoteReference w:id="25"/>
      </w:r>
      <w:r>
        <w:rPr>
          <w:rFonts w:ascii="Times New Roman" w:hAnsi="Times New Roman"/>
          <w:bCs/>
          <w:noProof/>
          <w:sz w:val="24"/>
          <w:szCs w:val="24"/>
        </w:rPr>
        <w:t xml:space="preserve"> (délai de transposition: mai 2021).</w:t>
      </w:r>
    </w:p>
    <w:p>
      <w:pPr>
        <w:pStyle w:val="ListParagraph"/>
        <w:jc w:val="both"/>
        <w:rPr>
          <w:rFonts w:ascii="Times New Roman" w:hAnsi="Times New Roman" w:cs="Times New Roman"/>
          <w:bCs/>
          <w:noProof/>
          <w:sz w:val="24"/>
          <w:szCs w:val="24"/>
        </w:rPr>
      </w:pPr>
    </w:p>
    <w:p>
      <w:pPr>
        <w:spacing w:line="240" w:lineRule="auto"/>
        <w:jc w:val="both"/>
        <w:rPr>
          <w:rFonts w:ascii="Times New Roman" w:hAnsi="Times New Roman" w:cs="Times New Roman"/>
          <w:b/>
          <w:noProof/>
          <w:sz w:val="24"/>
          <w:szCs w:val="24"/>
        </w:rPr>
      </w:pPr>
      <w:r>
        <w:rPr>
          <w:rFonts w:ascii="Times New Roman" w:hAnsi="Times New Roman"/>
          <w:b/>
          <w:noProof/>
          <w:sz w:val="24"/>
          <w:szCs w:val="24"/>
        </w:rPr>
        <w:t>III. Liste des actes législatifs qui doivent encore être approuvés par les colégislateurs</w:t>
      </w:r>
    </w:p>
    <w:p>
      <w:pPr>
        <w:pStyle w:val="ListParagraph"/>
        <w:numPr>
          <w:ilvl w:val="0"/>
          <w:numId w:val="2"/>
        </w:numPr>
        <w:spacing w:line="240" w:lineRule="auto"/>
        <w:jc w:val="both"/>
        <w:rPr>
          <w:rFonts w:ascii="Times New Roman" w:hAnsi="Times New Roman" w:cs="Times New Roman"/>
          <w:bCs/>
          <w:noProof/>
          <w:sz w:val="24"/>
          <w:szCs w:val="24"/>
        </w:rPr>
      </w:pPr>
      <w:r>
        <w:rPr>
          <w:rFonts w:ascii="Times New Roman" w:hAnsi="Times New Roman"/>
          <w:b/>
          <w:bCs/>
          <w:noProof/>
          <w:sz w:val="24"/>
          <w:szCs w:val="24"/>
        </w:rPr>
        <w:t>Règlement relatif aux contenus à caractère terroriste en ligne</w:t>
      </w:r>
      <w:r>
        <w:rPr>
          <w:rStyle w:val="FootnoteReference"/>
          <w:rFonts w:ascii="Times New Roman" w:hAnsi="Times New Roman" w:cs="Times New Roman"/>
          <w:bCs/>
          <w:noProof/>
          <w:sz w:val="24"/>
          <w:szCs w:val="24"/>
        </w:rPr>
        <w:footnoteReference w:id="26"/>
      </w:r>
      <w:r>
        <w:rPr>
          <w:rFonts w:ascii="Times New Roman" w:hAnsi="Times New Roman"/>
          <w:bCs/>
          <w:noProof/>
          <w:sz w:val="24"/>
          <w:szCs w:val="24"/>
        </w:rPr>
        <w:t>: trilogues en cours.</w:t>
      </w:r>
    </w:p>
    <w:p>
      <w:pPr>
        <w:pStyle w:val="ListParagraph"/>
        <w:numPr>
          <w:ilvl w:val="0"/>
          <w:numId w:val="2"/>
        </w:numPr>
        <w:spacing w:line="240" w:lineRule="auto"/>
        <w:jc w:val="both"/>
        <w:rPr>
          <w:rFonts w:ascii="Times New Roman" w:hAnsi="Times New Roman" w:cs="Times New Roman"/>
          <w:bCs/>
          <w:noProof/>
          <w:sz w:val="24"/>
          <w:szCs w:val="24"/>
        </w:rPr>
      </w:pPr>
      <w:r>
        <w:rPr>
          <w:rFonts w:ascii="Times New Roman" w:hAnsi="Times New Roman"/>
          <w:b/>
          <w:bCs/>
          <w:noProof/>
          <w:sz w:val="24"/>
          <w:szCs w:val="24"/>
        </w:rPr>
        <w:t>Centre européen de compétences industrielles, technologiques et de recherche en matière de cybersécurité et Réseau de centres nationaux de coordination</w:t>
      </w:r>
      <w:r>
        <w:rPr>
          <w:rStyle w:val="FootnoteReference"/>
          <w:rFonts w:ascii="Times New Roman" w:hAnsi="Times New Roman" w:cs="Times New Roman"/>
          <w:bCs/>
          <w:noProof/>
          <w:sz w:val="24"/>
          <w:szCs w:val="24"/>
        </w:rPr>
        <w:footnoteReference w:id="27"/>
      </w:r>
      <w:r>
        <w:rPr>
          <w:rFonts w:ascii="Times New Roman" w:hAnsi="Times New Roman"/>
          <w:bCs/>
          <w:noProof/>
          <w:sz w:val="24"/>
          <w:szCs w:val="24"/>
        </w:rPr>
        <w:t>: trilogues en cours.</w:t>
      </w:r>
    </w:p>
    <w:p>
      <w:pPr>
        <w:pStyle w:val="ListParagraph"/>
        <w:numPr>
          <w:ilvl w:val="0"/>
          <w:numId w:val="2"/>
        </w:numPr>
        <w:spacing w:line="240" w:lineRule="auto"/>
        <w:jc w:val="both"/>
        <w:rPr>
          <w:rFonts w:ascii="Times New Roman" w:hAnsi="Times New Roman" w:cs="Times New Roman"/>
          <w:bCs/>
          <w:noProof/>
          <w:sz w:val="24"/>
          <w:szCs w:val="24"/>
        </w:rPr>
      </w:pPr>
      <w:r>
        <w:rPr>
          <w:rFonts w:ascii="Times New Roman" w:hAnsi="Times New Roman"/>
          <w:b/>
          <w:bCs/>
          <w:noProof/>
          <w:sz w:val="24"/>
          <w:szCs w:val="24"/>
        </w:rPr>
        <w:t>Système d’information sur les visas (VIS)</w:t>
      </w:r>
      <w:r>
        <w:rPr>
          <w:rStyle w:val="FootnoteReference"/>
          <w:rFonts w:ascii="Times New Roman" w:hAnsi="Times New Roman" w:cs="Times New Roman"/>
          <w:b/>
          <w:bCs/>
          <w:noProof/>
          <w:sz w:val="24"/>
          <w:szCs w:val="24"/>
          <w:lang w:val="fr-BE"/>
        </w:rPr>
        <w:footnoteReference w:id="28"/>
      </w:r>
      <w:r>
        <w:rPr>
          <w:rFonts w:ascii="Times New Roman" w:hAnsi="Times New Roman"/>
          <w:b/>
          <w:bCs/>
          <w:noProof/>
          <w:sz w:val="24"/>
          <w:szCs w:val="24"/>
        </w:rPr>
        <w:t xml:space="preserve">: </w:t>
      </w:r>
      <w:r>
        <w:rPr>
          <w:rFonts w:ascii="Times New Roman" w:hAnsi="Times New Roman"/>
          <w:bCs/>
          <w:noProof/>
          <w:sz w:val="24"/>
          <w:szCs w:val="24"/>
        </w:rPr>
        <w:t>accord provisoire trouvé le 8 décembre 2020.</w:t>
      </w:r>
    </w:p>
    <w:p>
      <w:pPr>
        <w:pStyle w:val="ListParagraph"/>
        <w:numPr>
          <w:ilvl w:val="0"/>
          <w:numId w:val="2"/>
        </w:numPr>
        <w:rPr>
          <w:noProof/>
        </w:rPr>
      </w:pPr>
      <w:r>
        <w:rPr>
          <w:rFonts w:ascii="Times New Roman" w:hAnsi="Times New Roman"/>
          <w:b/>
          <w:noProof/>
          <w:sz w:val="24"/>
          <w:szCs w:val="24"/>
        </w:rPr>
        <w:t xml:space="preserve">Modifications à apporter au règlement relatif au </w:t>
      </w:r>
      <w:r>
        <w:rPr>
          <w:rFonts w:ascii="Times New Roman" w:hAnsi="Times New Roman"/>
          <w:b/>
          <w:bCs/>
          <w:noProof/>
          <w:sz w:val="24"/>
          <w:szCs w:val="24"/>
        </w:rPr>
        <w:t>système européen d’information et d’autorisation concernant les voyages</w:t>
      </w:r>
      <w:r>
        <w:rPr>
          <w:rFonts w:ascii="Times New Roman" w:hAnsi="Times New Roman"/>
          <w:noProof/>
          <w:sz w:val="24"/>
          <w:szCs w:val="24"/>
        </w:rPr>
        <w:t xml:space="preserve"> (</w:t>
      </w:r>
      <w:r>
        <w:rPr>
          <w:rFonts w:ascii="Times New Roman" w:hAnsi="Times New Roman"/>
          <w:b/>
          <w:bCs/>
          <w:noProof/>
          <w:sz w:val="24"/>
          <w:szCs w:val="24"/>
        </w:rPr>
        <w:t>ETIAS)</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xml:space="preserve"> : le Conseil a adopté sa position en mai 2019, dans l’attente de l’adoption de la position du Parlement européen.</w:t>
      </w:r>
    </w:p>
    <w:p>
      <w:pPr>
        <w:pStyle w:val="ListParagraph"/>
        <w:numPr>
          <w:ilvl w:val="0"/>
          <w:numId w:val="2"/>
        </w:numPr>
        <w:spacing w:line="240" w:lineRule="auto"/>
        <w:jc w:val="both"/>
        <w:rPr>
          <w:rFonts w:ascii="Times New Roman" w:hAnsi="Times New Roman" w:cs="Times New Roman"/>
          <w:bCs/>
          <w:noProof/>
          <w:sz w:val="24"/>
          <w:szCs w:val="24"/>
        </w:rPr>
      </w:pPr>
      <w:r>
        <w:rPr>
          <w:rFonts w:ascii="Times New Roman" w:hAnsi="Times New Roman"/>
          <w:b/>
          <w:bCs/>
          <w:noProof/>
          <w:sz w:val="24"/>
          <w:szCs w:val="24"/>
        </w:rPr>
        <w:t>Règlement relatif à l’accès transfrontière aux preuves électroniques</w:t>
      </w:r>
      <w:r>
        <w:rPr>
          <w:rStyle w:val="FootnoteReference"/>
          <w:rFonts w:ascii="Times New Roman" w:hAnsi="Times New Roman" w:cs="Times New Roman"/>
          <w:bCs/>
          <w:noProof/>
          <w:sz w:val="24"/>
          <w:szCs w:val="24"/>
        </w:rPr>
        <w:footnoteReference w:id="30"/>
      </w:r>
      <w:r>
        <w:rPr>
          <w:rFonts w:ascii="Times New Roman" w:hAnsi="Times New Roman"/>
          <w:b/>
          <w:bCs/>
          <w:noProof/>
          <w:sz w:val="24"/>
          <w:szCs w:val="24"/>
        </w:rPr>
        <w:t xml:space="preserve"> </w:t>
      </w:r>
      <w:r>
        <w:rPr>
          <w:rFonts w:ascii="Times New Roman" w:hAnsi="Times New Roman"/>
          <w:bCs/>
          <w:noProof/>
          <w:sz w:val="24"/>
          <w:szCs w:val="24"/>
        </w:rPr>
        <w:t xml:space="preserve">et </w:t>
      </w:r>
      <w:r>
        <w:rPr>
          <w:rFonts w:ascii="Times New Roman" w:hAnsi="Times New Roman"/>
          <w:b/>
          <w:noProof/>
          <w:sz w:val="24"/>
          <w:szCs w:val="24"/>
        </w:rPr>
        <w:t>directive relative à des règles harmonisées concernant la désignation de représentants légaux aux fins de la collecte de preuves en matière pénale</w:t>
      </w:r>
      <w:r>
        <w:rPr>
          <w:rStyle w:val="FootnoteReference"/>
          <w:rFonts w:ascii="Times New Roman" w:hAnsi="Times New Roman" w:cs="Times New Roman"/>
          <w:bCs/>
          <w:noProof/>
          <w:sz w:val="24"/>
          <w:szCs w:val="24"/>
        </w:rPr>
        <w:footnoteReference w:id="31"/>
      </w:r>
      <w:r>
        <w:rPr>
          <w:rFonts w:ascii="Times New Roman" w:hAnsi="Times New Roman"/>
          <w:bCs/>
          <w:noProof/>
          <w:sz w:val="24"/>
          <w:szCs w:val="24"/>
        </w:rPr>
        <w:t>: le Conseil a adopté sa position, dans l’attente de l’adoption de la position du Parlement européen.</w:t>
      </w:r>
    </w:p>
    <w:p>
      <w:pPr>
        <w:pStyle w:val="ListParagraph"/>
        <w:numPr>
          <w:ilvl w:val="0"/>
          <w:numId w:val="2"/>
        </w:numPr>
        <w:spacing w:line="240" w:lineRule="auto"/>
        <w:jc w:val="both"/>
        <w:rPr>
          <w:rFonts w:ascii="Times New Roman" w:hAnsi="Times New Roman" w:cs="Times New Roman"/>
          <w:bCs/>
          <w:noProof/>
          <w:sz w:val="24"/>
          <w:szCs w:val="24"/>
        </w:rPr>
      </w:pPr>
      <w:r>
        <w:rPr>
          <w:rFonts w:ascii="Times New Roman" w:hAnsi="Times New Roman"/>
          <w:b/>
          <w:bCs/>
          <w:noProof/>
          <w:sz w:val="24"/>
          <w:szCs w:val="24"/>
        </w:rPr>
        <w:t>Règlement provisoire sur les abus sexuels en ligne commis sur des enfants</w:t>
      </w:r>
      <w:r>
        <w:rPr>
          <w:rStyle w:val="FootnoteReference"/>
          <w:rFonts w:ascii="Times New Roman" w:hAnsi="Times New Roman" w:cs="Times New Roman"/>
          <w:bCs/>
          <w:noProof/>
          <w:sz w:val="24"/>
          <w:szCs w:val="24"/>
        </w:rPr>
        <w:footnoteReference w:id="32"/>
      </w:r>
      <w:r>
        <w:rPr>
          <w:rFonts w:ascii="Times New Roman" w:hAnsi="Times New Roman"/>
          <w:bCs/>
          <w:noProof/>
          <w:sz w:val="24"/>
          <w:szCs w:val="24"/>
        </w:rPr>
        <w:t>: le Conseil a adopté sa position, dans l’attente de l’adoption de la position du Parlement européen.</w:t>
      </w:r>
    </w:p>
    <w:p>
      <w:pPr>
        <w:pStyle w:val="ListParagraph"/>
        <w:numPr>
          <w:ilvl w:val="0"/>
          <w:numId w:val="2"/>
        </w:numPr>
        <w:spacing w:line="240" w:lineRule="auto"/>
        <w:jc w:val="both"/>
        <w:rPr>
          <w:rFonts w:ascii="Times New Roman" w:hAnsi="Times New Roman" w:cs="Times New Roman"/>
          <w:bCs/>
          <w:noProof/>
          <w:sz w:val="24"/>
          <w:szCs w:val="24"/>
        </w:rPr>
      </w:pPr>
      <w:r>
        <w:rPr>
          <w:rFonts w:ascii="Times New Roman" w:hAnsi="Times New Roman"/>
          <w:b/>
          <w:bCs/>
          <w:noProof/>
          <w:sz w:val="24"/>
          <w:szCs w:val="24"/>
        </w:rPr>
        <w:t>Règlement relatif au programme spatial de l’Union</w:t>
      </w:r>
      <w:r>
        <w:rPr>
          <w:rStyle w:val="FootnoteReference"/>
          <w:rFonts w:ascii="Times New Roman" w:hAnsi="Times New Roman" w:cs="Times New Roman"/>
          <w:b/>
          <w:bCs/>
          <w:noProof/>
          <w:sz w:val="24"/>
          <w:szCs w:val="24"/>
        </w:rPr>
        <w:footnoteReference w:id="33"/>
      </w:r>
      <w:r>
        <w:rPr>
          <w:rFonts w:ascii="Times New Roman" w:hAnsi="Times New Roman"/>
          <w:b/>
          <w:bCs/>
          <w:noProof/>
          <w:sz w:val="24"/>
          <w:szCs w:val="24"/>
        </w:rPr>
        <w:t xml:space="preserve">: </w:t>
      </w:r>
      <w:r>
        <w:rPr>
          <w:rFonts w:ascii="Times New Roman" w:hAnsi="Times New Roman"/>
          <w:bCs/>
          <w:noProof/>
          <w:sz w:val="24"/>
          <w:szCs w:val="24"/>
        </w:rPr>
        <w:t>trilogues en cours.</w:t>
      </w:r>
    </w:p>
    <w:p>
      <w:pPr>
        <w:pStyle w:val="ListParagraph"/>
        <w:numPr>
          <w:ilvl w:val="0"/>
          <w:numId w:val="2"/>
        </w:numPr>
        <w:spacing w:line="240" w:lineRule="auto"/>
        <w:jc w:val="both"/>
        <w:rPr>
          <w:rFonts w:ascii="Times New Roman" w:hAnsi="Times New Roman" w:cs="Times New Roman"/>
          <w:bCs/>
          <w:noProof/>
          <w:sz w:val="24"/>
          <w:szCs w:val="24"/>
        </w:rPr>
      </w:pPr>
      <w:r>
        <w:rPr>
          <w:rFonts w:ascii="Times New Roman" w:hAnsi="Times New Roman"/>
          <w:b/>
          <w:bCs/>
          <w:noProof/>
          <w:sz w:val="24"/>
          <w:szCs w:val="24"/>
        </w:rPr>
        <w:t>Fonds européen de la défense</w:t>
      </w:r>
      <w:r>
        <w:rPr>
          <w:rStyle w:val="FootnoteReference"/>
          <w:rFonts w:ascii="Times New Roman" w:hAnsi="Times New Roman" w:cs="Times New Roman"/>
          <w:bCs/>
          <w:noProof/>
          <w:sz w:val="24"/>
          <w:szCs w:val="24"/>
        </w:rPr>
        <w:footnoteReference w:id="34"/>
      </w:r>
      <w:r>
        <w:rPr>
          <w:rFonts w:ascii="Times New Roman" w:hAnsi="Times New Roman"/>
          <w:bCs/>
          <w:noProof/>
          <w:sz w:val="24"/>
          <w:szCs w:val="24"/>
        </w:rPr>
        <w:t>: trilogues en cours.</w:t>
      </w:r>
    </w:p>
    <w:p>
      <w:pPr>
        <w:pStyle w:val="ListParagraph"/>
        <w:spacing w:line="240" w:lineRule="auto"/>
        <w:jc w:val="both"/>
        <w:rPr>
          <w:rFonts w:ascii="Times New Roman" w:hAnsi="Times New Roman" w:cs="Times New Roman"/>
          <w:bCs/>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19904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shd w:val="clear" w:color="auto" w:fill="FFFFFF"/>
        </w:rPr>
        <w:t>Décision 2008/615/JAI du 23 juin 2008 relative à l’approfondissement de la coopération transfrontalière, notamment en vue de lutter contre le terrorisme et la criminalité transfrontalière, et décision 2008/616/JAI du Conseil du 23 juin 2008 concernant la mise en œuvre de la décision 2008/615/JAI relative à l’approfondissement de la coopération transfrontalière, notamment en vue de lutter contre le terrorisme et la criminalité transfrontalière.</w:t>
      </w:r>
    </w:p>
  </w:footnote>
  <w:footnote w:id="3">
    <w:p>
      <w:pPr>
        <w:pStyle w:val="FootnoteText"/>
        <w:ind w:left="284" w:hanging="284"/>
        <w:jc w:val="both"/>
        <w:rPr>
          <w:rFonts w:ascii="Times New Roman" w:hAnsi="Times New Roman" w:cs="Times New Roman"/>
        </w:rPr>
      </w:pPr>
      <w:r>
        <w:rPr>
          <w:rStyle w:val="FootnoteReference"/>
        </w:rPr>
        <w:footnoteRef/>
      </w:r>
      <w:r>
        <w:rPr>
          <w:rFonts w:ascii="Times New Roman" w:hAnsi="Times New Roman"/>
          <w:color w:val="444444"/>
          <w:shd w:val="clear" w:color="auto" w:fill="FFFFFF"/>
        </w:rPr>
        <w:t xml:space="preserve"> </w:t>
      </w:r>
      <w:r>
        <w:tab/>
      </w:r>
      <w:r>
        <w:rPr>
          <w:rFonts w:ascii="Times New Roman" w:hAnsi="Times New Roman"/>
          <w:color w:val="444444"/>
          <w:shd w:val="clear" w:color="auto" w:fill="FFFFFF"/>
        </w:rPr>
        <w:t>Décision-cadre 2009/905/JAI du Conseil du 30 novembre 2009 relative à l’accréditation des prestataires de services de police scientifique menant des activités de laboratoire.</w:t>
      </w:r>
    </w:p>
  </w:footnote>
  <w:footnote w:id="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Directive 2011/93/UE du 13 décembre2011 relative à la lutte contre les abus sexuels et l’exploitation sexuelle des enfants, ainsi que la pédopornographie et remplaçant la décision-cadre 2004/68/JAI du Conseil.</w:t>
      </w:r>
    </w:p>
  </w:footnote>
  <w:footnote w:id="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Directive 2013/40/UE du 12 août 2013 relative aux attaques contre les systèmes d’information et remplaçant la décision-cadre 2005/222/JAI du Conseil.</w:t>
      </w:r>
    </w:p>
  </w:footnote>
  <w:footnote w:id="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Directive 2014/42/UE du 3 avril 2014 concernant le gel et la confiscation des instruments et des produits du crime dans l’Union européenne.</w:t>
      </w:r>
    </w:p>
  </w:footnote>
  <w:footnote w:id="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Directive 2014/57/UE du Parlement européen et du Conseil du 16 avril 2014 relative aux sanctions pénales applicables aux abus de marché (directive relative aux abus de marché). </w:t>
      </w:r>
    </w:p>
  </w:footnote>
  <w:footnote w:id="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Directive (UE) 2015/849 du 20 mai 2015 relative à la prévention de l’utilisation du système financier aux fins du blanchiment de capitaux ou du financement du terrorisme, modifiant le règlement (UE) n° 648/2012 et abrogeant la directive 2005/60/CE et la directive 2006/70/CE de la Commission.</w:t>
      </w:r>
    </w:p>
  </w:footnote>
  <w:footnote w:id="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Directive (UE) 2016/680 du 27 avril 2016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et abrogeant la décision-cadre 2008/977/JAI du Conseil.</w:t>
      </w:r>
    </w:p>
  </w:footnote>
  <w:footnote w:id="1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Directive (UE) 2016/681 du 27 avril 2016 relative à l’utilisation des données des dossiers passagers (PNR) pour la prévention et la détection des infractions terroristes et des formes graves de criminalité, ainsi que pour les enquêtes et les poursuites en la matière.</w:t>
      </w:r>
    </w:p>
  </w:footnote>
  <w:footnote w:id="1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Directive (UE) 2017/853 du 17 mai 2017 modifiant la directive 91/477/CEE du Conseil relative au contrôle de l’acquisition et de la détention d’armes</w:t>
      </w:r>
      <w:r>
        <w:t>.</w:t>
      </w:r>
    </w:p>
  </w:footnote>
  <w:footnote w:id="1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Directive (UE) 2017/2103 du 15 novembre 2017 modifiant la décision</w:t>
      </w:r>
      <w:r>
        <w:rPr>
          <w:rFonts w:ascii="Times New Roman" w:hAnsi="Times New Roman"/>
        </w:rPr>
        <w:noBreakHyphen/>
        <w:t>cadre 2004/757/JAI du Conseil afin d’inclure de nouvelles substances psychoactives dans la définition du terme «drogue» et abrogeant la décision 2005/387/JAI du Conseil; directive déléguée (UE) 2019/369 de la Commission du 13 décembre 2018 modifiant l’annexe de la décision</w:t>
      </w:r>
      <w:r>
        <w:rPr>
          <w:rFonts w:ascii="Times New Roman" w:hAnsi="Times New Roman"/>
        </w:rPr>
        <w:noBreakHyphen/>
        <w:t>cadre 2004/757/JAI du Conseil en ce qui concerne l’inclusion de nouvelles substances psychoactives dans la définition du terme «drogue».</w:t>
      </w:r>
    </w:p>
  </w:footnote>
  <w:footnote w:id="1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Directive (UE) 2017/1371 du 5 juillet 2017 relative à la lutte contre la fraude portant atteinte aux intérêts financiers de l’Union au moyen du droit pénal.</w:t>
      </w:r>
    </w:p>
  </w:footnote>
  <w:footnote w:id="1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Directive (UE) 2018/843 du 30 mai 2018 modifiant la directive (UE) 2015/849 relative à la prévention de l’utilisation du système financier aux fins du blanchiment de capitaux ou du financement du terrorisme ainsi que les directives 2009/138/CE et 2013/36/UE.</w:t>
      </w:r>
    </w:p>
  </w:footnote>
  <w:footnote w:id="1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Directive d’exécution (UE) 2019/68 du 16 janvier 2019 établissant des spécifications techniques relatives au marquage des armes à feu et de leurs parties essentielles au titre de la directive 91/477/CEE du Conseil relative au contrôle de l’acquisition et de la détention d’armes.</w:t>
      </w:r>
    </w:p>
  </w:footnote>
  <w:footnote w:id="1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Directive d’exécution (UE) 2019/69 de la Commission du 16 janvier 2019 établissant des spécifications techniques relatives au marquage des armes d’alarme et de signalisation au titre de la directive 91/477/CEE du Conseil relative au contrôle de l’acquisition et de la détention d’armes.</w:t>
      </w:r>
    </w:p>
  </w:footnote>
  <w:footnote w:id="1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Directive (UE) 2016/1148 du 6 juillet 2016 concernant des mesures destinées à assurer un niveau élevé commun de sécurité des réseaux et des systèmes d’information dans l’Union.</w:t>
      </w:r>
    </w:p>
  </w:footnote>
  <w:footnote w:id="1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Directive 2012/29/UE du 25 octobre 2012 établissant des normes minimales concernant les droits, le soutien et la protection des victimes de la criminalité.</w:t>
      </w:r>
    </w:p>
  </w:footnote>
  <w:footnote w:id="1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shd w:val="clear" w:color="auto" w:fill="FFFFFF"/>
        </w:rPr>
        <w:t>Décision-cadre du Conseil du 13 juin 2002 relative au mandat d’arrêt européen et aux procédures de remise entre États membres.</w:t>
      </w:r>
    </w:p>
  </w:footnote>
  <w:footnote w:id="2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shd w:val="clear" w:color="auto" w:fill="FFFFFF"/>
        </w:rPr>
        <w:t>Décision-cadre 2008/909/JAI du Conseil du 27 novembre 2008 concernant l’application du principe de reconnaissance mutuelle aux jugements en matière pénale prononçant des peines ou des mesures privatives de liberté aux fins de leur exécution dans l’Union européenne.</w:t>
      </w:r>
    </w:p>
  </w:footnote>
  <w:footnote w:id="2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shd w:val="clear" w:color="auto" w:fill="FFFFFF"/>
        </w:rPr>
        <w:t>Décision-cadre 2005/214/JAI du Conseil du 24 février 2005 concernant l’application du principe de reconnaissance mutuelle aux sanctions pécuniaires.</w:t>
      </w:r>
    </w:p>
  </w:footnote>
  <w:footnote w:id="2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shd w:val="clear" w:color="auto" w:fill="FFFFFF"/>
        </w:rPr>
        <w:t>Décision-cadre 2009/829/JAI du Conseil du 23 octobre 2009 concernant l’application, entre les États membres de l’Union européenne, du principe de reconnaissance mutuelle aux décisions relatives à des mesures de contrôle en tant qu’alternative à la détention provisoire.</w:t>
      </w:r>
    </w:p>
  </w:footnote>
  <w:footnote w:id="2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Directive (UE) 2018/1673 du 23 octobre 2018 visant à lutter contre le blanchiment de capitaux au moyen du droit pénal.</w:t>
      </w:r>
    </w:p>
  </w:footnote>
  <w:footnote w:id="2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Directive (UE) 2019/1153 du 20 juin 2019 fixant les règles facilitant l’utilisation d’informations financières et d’une autre nature aux fins de la prévention ou de la détection de certaines infractions pénales, ou des enquêtes ou des poursuites en la matière, et abrogeant la décision 2000/642/JAI du Conseil.</w:t>
      </w:r>
    </w:p>
  </w:footnote>
  <w:footnote w:id="2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Directive (UE) 2019/713 du 17 avril 2019 concernant la lutte contre la fraude et la contrefaçon des moyens de paiement autres que les espèces et remplaçant la décision-cadre 2001/413/JAI du Conseil.</w:t>
      </w:r>
    </w:p>
  </w:footnote>
  <w:footnote w:id="2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Proposition de règlement relatif à la prévention de la diffusion de contenus à caractère terroriste en ligne, </w:t>
      </w:r>
      <w:r>
        <w:rPr>
          <w:rFonts w:ascii="Times New Roman" w:hAnsi="Times New Roman"/>
          <w:color w:val="000000"/>
          <w:shd w:val="clear" w:color="auto" w:fill="FFFFFF"/>
        </w:rPr>
        <w:t>COM(2018) 640 final, 12 septembre 2018</w:t>
      </w:r>
      <w:r>
        <w:rPr>
          <w:rFonts w:ascii="Times New Roman" w:hAnsi="Times New Roman"/>
        </w:rPr>
        <w:t>.</w:t>
      </w:r>
    </w:p>
  </w:footnote>
  <w:footnote w:id="2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Proposition de règlement établissant le Centre européen de compétences industrielles, technologiques et de recherche en matière de cybersécurité et le Réseau de centres nationaux de coordination, COM(2018) 630 final, </w:t>
      </w:r>
      <w:r>
        <w:rPr>
          <w:rFonts w:ascii="Times New Roman" w:hAnsi="Times New Roman"/>
          <w:color w:val="000000"/>
          <w:shd w:val="clear" w:color="auto" w:fill="FFFFFF"/>
        </w:rPr>
        <w:t>12 septembre 2018</w:t>
      </w:r>
      <w:r>
        <w:rPr>
          <w:rFonts w:ascii="Times New Roman" w:hAnsi="Times New Roman"/>
        </w:rPr>
        <w:t>.</w:t>
      </w:r>
    </w:p>
  </w:footnote>
  <w:footnote w:id="2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Proposition de règlement modifiant le règlement (CE) nº 767/2008, le règlement (CE) nº 810/2009, le règlement (UE) 2017/2226, le règlement (UE) 2016/399, le règlement UE n° XX/2018 [règlement sur l’interopérabilité] et la décision 2004/512/CE et abrogeant la décision 2008/633/JAI du Conseil, COM(2018) 302 final, 16 mai 2018.</w:t>
      </w:r>
    </w:p>
  </w:footnote>
  <w:footnote w:id="2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Règlement (UE) 2018/1240 du 12 septembre 2018 portant création d’un système européen d’information et d’autorisation concernant les voyages (ETIAS) et modifiant les règlements (UE) nº 1077/2011, (UE) nº 515/2014, (UE) 2016/399, (UE) 2016/1624 et (UE) 2017/2226</w:t>
      </w:r>
      <w:r>
        <w:t>;</w:t>
      </w:r>
      <w:r>
        <w:rPr>
          <w:rFonts w:ascii="Times New Roman" w:hAnsi="Times New Roman"/>
        </w:rPr>
        <w:t xml:space="preserve"> et règlement (UE) 2018/1241 du 12 septembre 2018 modifiant le règlement (UE) 2016/794 aux fins de la création d’un système européen d’information et d’autorisation concernant les voyages (ETIAS).</w:t>
      </w:r>
    </w:p>
  </w:footnote>
  <w:footnote w:id="3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Proposition de règlement relatif aux injonctions européennes de production et de conservation de preuves électroniques en matière pénale, COM(2018) 225 final, 17 avril 2018.</w:t>
      </w:r>
    </w:p>
  </w:footnote>
  <w:footnote w:id="3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Proposition de directive établissant des règles harmonisées concernant la désignation de représentants légaux aux fins de la collecte de preuves en matière pénale, COM(2018) 226, 17 avril 2018.</w:t>
      </w:r>
    </w:p>
  </w:footnote>
  <w:footnote w:id="3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Proposition de règlement concernant une dérogation temporaire à certaines dispositions de la directive 2002/58/CE en ce qui concerne l’utilisation de technologies par des fournisseurs de services de communications interpersonnelles non fondés sur la numérotation pour le traitement de données à caractère personnel et d’autres données aux fins de la lutte contre les abus sexuels commis contre des enfants en ligne, COM(2020) 568 final, 10 septembre 2020. </w:t>
      </w:r>
    </w:p>
  </w:footnote>
  <w:footnote w:id="3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Proposition de règlement établissant le programme spatial de l’Union et l’Agence de l’Union européenne pour le programme spatial, COM(2018) 447 final du 6 juin 2018.</w:t>
      </w:r>
    </w:p>
  </w:footnote>
  <w:footnote w:id="3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Proposition de règlement établissant le Fonds européen de la défense, COM(2018) 476 final, 13 juin 2018.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1572D"/>
    <w:multiLevelType w:val="hybridMultilevel"/>
    <w:tmpl w:val="57C21FEE"/>
    <w:lvl w:ilvl="0" w:tplc="C7C8DD0A">
      <w:start w:val="3"/>
      <w:numFmt w:val="upperRoman"/>
      <w:lvlText w:val="%1."/>
      <w:lvlJc w:val="left"/>
      <w:pPr>
        <w:ind w:left="770" w:hanging="720"/>
      </w:pPr>
      <w:rPr>
        <w:rFonts w:asciiTheme="minorHAnsi" w:hAnsiTheme="minorHAnsi" w:cstheme="minorBidi" w:hint="default"/>
        <w:b w:val="0"/>
        <w:sz w:val="22"/>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
    <w:nsid w:val="0BFB55A7"/>
    <w:multiLevelType w:val="hybridMultilevel"/>
    <w:tmpl w:val="338E2A36"/>
    <w:lvl w:ilvl="0" w:tplc="FFE23C42">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5610E61"/>
    <w:multiLevelType w:val="hybridMultilevel"/>
    <w:tmpl w:val="1D548468"/>
    <w:lvl w:ilvl="0" w:tplc="249E16AC">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C112077"/>
    <w:multiLevelType w:val="hybridMultilevel"/>
    <w:tmpl w:val="2084BE9A"/>
    <w:lvl w:ilvl="0" w:tplc="6C6ABC2A">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CD864E4"/>
    <w:multiLevelType w:val="hybridMultilevel"/>
    <w:tmpl w:val="43661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05B269B"/>
    <w:multiLevelType w:val="hybridMultilevel"/>
    <w:tmpl w:val="AF8E4FD4"/>
    <w:lvl w:ilvl="0" w:tplc="E4204254">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fr-FR" w:vendorID="64" w:dllVersion="131078" w:nlCheck="1" w:checkStyle="0"/>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u"/>
    <w:docVar w:name="LW_ANNEX_NBR_FIRST" w:val="1"/>
    <w:docVar w:name="LW_ANNEX_NBR_LAST" w:val="1"/>
    <w:docVar w:name="LW_ANNEX_UNIQUE" w:val="0"/>
    <w:docVar w:name="LW_CORRIGENDUM" w:val="&lt;UNUSED&gt;"/>
    <w:docVar w:name="LW_COVERPAGE_EXISTS" w:val="True"/>
    <w:docVar w:name="LW_COVERPAGE_GUID" w:val="12E47072-E277-4E68-A6FC-762D5649268B"/>
    <w:docVar w:name="LW_COVERPAGE_TYPE" w:val="1"/>
    <w:docVar w:name="LW_CROSSREFERENCE" w:val="&lt;UNUSED&gt;"/>
    <w:docVar w:name="LW_DocType" w:val="NORMAL"/>
    <w:docVar w:name="LW_EMISSION" w:val="9.12.2020"/>
    <w:docVar w:name="LW_EMISSION_ISODATE" w:val="2020-12-09"/>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Premier rapport sur l'état d'avancement de la stratégie de l'UE pour l'union de la sécurité_x000d__x000d__x000d__x000d__x000d__x000d__x000d__x000d__x000d__x000d__x000d__x000d__x000d__x000d__x000d__x000d__x000d__x000b__x000d__x000d__x000d__x000d__x000d__x000d__x000d__x000d__x000d__x000d__x000d__x000d__x000d__x000d__x000d__x000d__x000d__x000b__x000d__x000d__x000d__x000d__x000d__x000d__x000d__x000d__x000d__x000d__x000d__x000d__x000d__x000d__x000d__x000d__x000d__x000b_État de mise en \u339?uvre de la législation en matière de sécurité_x000d__x000d__x000d__x000d__x000d__x000d__x000d__x000d__x000d__x000d__x000d__x000d__x000d__x000d__x000d__x000d__x000d__x000b_"/>
    <w:docVar w:name="LW_PART_NBR" w:val="1"/>
    <w:docVar w:name="LW_PART_NBR_TOTAL" w:val="1"/>
    <w:docVar w:name="LW_REF.INST.NEW" w:val="COM"/>
    <w:docVar w:name="LW_REF.INST.NEW_ADOPTED" w:val="final"/>
    <w:docVar w:name="LW_REF.INST.NEW_TEXT" w:val="(2020) 7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_x000b_"/>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2_sj,List Paragraph1,Számozott lista 1,LISTA,Listaszerű bekezdés1,Dot pt,No Spacing1,List Paragraph Char Char Char,Indicator Text,Numbered Para 1,List Paragraph à moi,Welt L Char,Welt L,Bullet List,FooterText,numbered,2,3,GSA List"/>
    <w:basedOn w:val="Normal"/>
    <w:link w:val="ListParagraphChar"/>
    <w:uiPriority w:val="34"/>
    <w:qFormat/>
    <w:pPr>
      <w:ind w:left="720"/>
      <w:contextualSpacing/>
    </w:p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foottextfra,A,ftx,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A Char"/>
    <w:basedOn w:val="DefaultParagraphFont"/>
    <w:link w:val="FootnoteText"/>
    <w:uiPriority w:val="99"/>
    <w:qFormat/>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basedOn w:val="DefaultParagraphFont"/>
    <w:link w:val="ListParagraph"/>
    <w:uiPriority w:val="34"/>
    <w:qFormat/>
    <w:lock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Footnote Refernece,Fussnota,Footnote symbol,Footnote,Fußnotenzeichen_Raxen,Footnote Reference Superscript,Footnote Reference/,Footnote Reference text,Voetnootverwijzing,footnote ref,FR,Fußnotenzeichen diss neu,Times 10 Point,number,fr"/>
    <w:basedOn w:val="DefaultParagraphFont"/>
    <w:link w:val="BVIfnrChar"/>
    <w:uiPriority w:val="99"/>
    <w:unhideWhenUsed/>
    <w:qFormat/>
    <w:rPr>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563C1" w:themeColor="hyperlink"/>
      <w:u w:val="single"/>
    </w:rPr>
  </w:style>
  <w:style w:type="paragraph" w:customStyle="1" w:styleId="BVIfnrChar">
    <w:name w:val="BVI fnr Char"/>
    <w:aliases w:val="Appel note de bas de p.;BVI fnr Car Car Car Car, BVI fnr Car Car,BVI fnr Car, BVI fnr Car Car Car Car, BVI fnr Car Car Car Car Char,Appel note de bas de p..BVI fnr Car Car Car Car,Appel note de bas de p.,BVI fnr Car Car Car Car"/>
    <w:basedOn w:val="Normal"/>
    <w:link w:val="FootnoteReference"/>
    <w:uiPriority w:val="99"/>
    <w:pPr>
      <w:spacing w:after="160" w:line="240" w:lineRule="exact"/>
    </w:pPr>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Caption">
    <w:name w:val="caption"/>
    <w:basedOn w:val="Normal"/>
    <w:next w:val="Normal"/>
    <w:uiPriority w:val="35"/>
    <w:unhideWhenUsed/>
    <w:qFormat/>
    <w:pPr>
      <w:spacing w:line="240" w:lineRule="auto"/>
    </w:pPr>
    <w:rPr>
      <w:i/>
      <w:iCs/>
      <w:color w:val="44546A" w:themeColor="text2"/>
      <w:sz w:val="18"/>
      <w:szCs w:val="1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2_sj,List Paragraph1,Számozott lista 1,LISTA,Listaszerű bekezdés1,Dot pt,No Spacing1,List Paragraph Char Char Char,Indicator Text,Numbered Para 1,List Paragraph à moi,Welt L Char,Welt L,Bullet List,FooterText,numbered,2,3,GSA List"/>
    <w:basedOn w:val="Normal"/>
    <w:link w:val="ListParagraphChar"/>
    <w:uiPriority w:val="34"/>
    <w:qFormat/>
    <w:pPr>
      <w:ind w:left="720"/>
      <w:contextualSpacing/>
    </w:p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foottextfra,A,ftx,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A Char"/>
    <w:basedOn w:val="DefaultParagraphFont"/>
    <w:link w:val="FootnoteText"/>
    <w:uiPriority w:val="99"/>
    <w:qFormat/>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basedOn w:val="DefaultParagraphFont"/>
    <w:link w:val="ListParagraph"/>
    <w:uiPriority w:val="34"/>
    <w:qFormat/>
    <w:lock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Footnote Refernece,Fussnota,Footnote symbol,Footnote,Fußnotenzeichen_Raxen,Footnote Reference Superscript,Footnote Reference/,Footnote Reference text,Voetnootverwijzing,footnote ref,FR,Fußnotenzeichen diss neu,Times 10 Point,number,fr"/>
    <w:basedOn w:val="DefaultParagraphFont"/>
    <w:link w:val="BVIfnrChar"/>
    <w:uiPriority w:val="99"/>
    <w:unhideWhenUsed/>
    <w:qFormat/>
    <w:rPr>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563C1" w:themeColor="hyperlink"/>
      <w:u w:val="single"/>
    </w:rPr>
  </w:style>
  <w:style w:type="paragraph" w:customStyle="1" w:styleId="BVIfnrChar">
    <w:name w:val="BVI fnr Char"/>
    <w:aliases w:val="Appel note de bas de p.;BVI fnr Car Car Car Car, BVI fnr Car Car,BVI fnr Car, BVI fnr Car Car Car Car, BVI fnr Car Car Car Car Char,Appel note de bas de p..BVI fnr Car Car Car Car,Appel note de bas de p.,BVI fnr Car Car Car Car"/>
    <w:basedOn w:val="Normal"/>
    <w:link w:val="FootnoteReference"/>
    <w:uiPriority w:val="99"/>
    <w:pPr>
      <w:spacing w:after="160" w:line="240" w:lineRule="exact"/>
    </w:pPr>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Caption">
    <w:name w:val="caption"/>
    <w:basedOn w:val="Normal"/>
    <w:next w:val="Normal"/>
    <w:uiPriority w:val="35"/>
    <w:unhideWhenUsed/>
    <w:qFormat/>
    <w:pPr>
      <w:spacing w:line="240" w:lineRule="auto"/>
    </w:pPr>
    <w:rPr>
      <w:i/>
      <w:iCs/>
      <w:color w:val="44546A" w:themeColor="text2"/>
      <w:sz w:val="18"/>
      <w:szCs w:val="1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26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8453D-E2F3-40C5-A714-E9F37A340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863</Words>
  <Characters>5158</Characters>
  <Application>Microsoft Office Word</Application>
  <DocSecurity>0</DocSecurity>
  <Lines>90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2020-12-16T17:35:00Z</dcterms:created>
  <dcterms:modified xsi:type="dcterms:W3CDTF">2021-01-19T11:07:00Z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0</vt:lpwstr>
  </property>
  <property fmtid="{D5CDD505-2E9C-101B-9397-08002B2CF9AE}" pid="8" name="Part">
    <vt:lpwstr>1</vt:lpwstr>
  </property>
  <property fmtid="{D5CDD505-2E9C-101B-9397-08002B2CF9AE}" pid="9" name="Total parts">
    <vt:lpwstr>1</vt:lpwstr>
  </property>
  <property fmtid="{D5CDD505-2E9C-101B-9397-08002B2CF9AE}" pid="10" name="CPTemplateID">
    <vt:lpwstr>CP-039</vt:lpwstr>
  </property>
</Properties>
</file>