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846" w:rsidRDefault="008069FF" w:rsidP="008069F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91AD4FD-A285-4AEC-9647-EF69B787A7B9" style="width:450.65pt;height:461.35pt">
            <v:imagedata r:id="rId11" o:title=""/>
          </v:shape>
        </w:pict>
      </w:r>
    </w:p>
    <w:bookmarkEnd w:id="0"/>
    <w:p w:rsidR="00B60846" w:rsidRDefault="00B60846">
      <w:pPr>
        <w:rPr>
          <w:noProof/>
        </w:rPr>
        <w:sectPr w:rsidR="00B60846" w:rsidSect="008069FF">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b w:val="0"/>
          <w:caps/>
          <w:noProof/>
          <w:sz w:val="20"/>
        </w:rPr>
        <w:id w:val="1920513029"/>
        <w:docPartObj>
          <w:docPartGallery w:val="Table of Contents"/>
          <w:docPartUnique/>
        </w:docPartObj>
      </w:sdtPr>
      <w:sdtEndPr>
        <w:rPr>
          <w:bCs/>
        </w:rPr>
      </w:sdtEndPr>
      <w:sdtContent>
        <w:p w:rsidR="00B60846" w:rsidRDefault="008069FF">
          <w:pPr>
            <w:pStyle w:val="TOCHeading"/>
            <w:jc w:val="left"/>
            <w:rPr>
              <w:noProof/>
            </w:rPr>
          </w:pPr>
          <w:r>
            <w:rPr>
              <w:noProof/>
            </w:rPr>
            <w:t>Table of Contents</w:t>
          </w:r>
        </w:p>
        <w:p w:rsidR="00B60846" w:rsidRDefault="008069FF">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549643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_Toc55496434 \h </w:instrText>
            </w:r>
            <w:r>
              <w:rPr>
                <w:noProof/>
                <w:webHidden/>
              </w:rPr>
            </w:r>
            <w:r>
              <w:rPr>
                <w:noProof/>
                <w:webHidden/>
              </w:rPr>
              <w:fldChar w:fldCharType="separate"/>
            </w:r>
            <w:r>
              <w:rPr>
                <w:noProof/>
                <w:webHidden/>
              </w:rPr>
              <w:t>3</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35"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Legal framework</w:t>
            </w:r>
            <w:r>
              <w:rPr>
                <w:noProof/>
                <w:webHidden/>
              </w:rPr>
              <w:tab/>
            </w:r>
            <w:r>
              <w:rPr>
                <w:noProof/>
                <w:webHidden/>
              </w:rPr>
              <w:fldChar w:fldCharType="begin"/>
            </w:r>
            <w:r>
              <w:rPr>
                <w:noProof/>
                <w:webHidden/>
              </w:rPr>
              <w:instrText xml:space="preserve"> PAGEREF _Toc55496435 \h </w:instrText>
            </w:r>
            <w:r>
              <w:rPr>
                <w:noProof/>
                <w:webHidden/>
              </w:rPr>
            </w:r>
            <w:r>
              <w:rPr>
                <w:noProof/>
                <w:webHidden/>
              </w:rPr>
              <w:fldChar w:fldCharType="separate"/>
            </w:r>
            <w:r>
              <w:rPr>
                <w:noProof/>
                <w:webHidden/>
              </w:rPr>
              <w:t>3</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36"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 xml:space="preserve">Benefits </w:t>
            </w:r>
            <w:r>
              <w:rPr>
                <w:rStyle w:val="Hyperlink"/>
                <w:noProof/>
              </w:rPr>
              <w:t>of the TEN-E Regulation</w:t>
            </w:r>
            <w:r>
              <w:rPr>
                <w:noProof/>
                <w:webHidden/>
              </w:rPr>
              <w:tab/>
            </w:r>
            <w:r>
              <w:rPr>
                <w:noProof/>
                <w:webHidden/>
              </w:rPr>
              <w:fldChar w:fldCharType="begin"/>
            </w:r>
            <w:r>
              <w:rPr>
                <w:noProof/>
                <w:webHidden/>
              </w:rPr>
              <w:instrText xml:space="preserve"> PAGEREF _Toc55496436 \h </w:instrText>
            </w:r>
            <w:r>
              <w:rPr>
                <w:noProof/>
                <w:webHidden/>
              </w:rPr>
            </w:r>
            <w:r>
              <w:rPr>
                <w:noProof/>
                <w:webHidden/>
              </w:rPr>
              <w:fldChar w:fldCharType="separate"/>
            </w:r>
            <w:r>
              <w:rPr>
                <w:noProof/>
                <w:webHidden/>
              </w:rPr>
              <w:t>5</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37"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Political context</w:t>
            </w:r>
            <w:r>
              <w:rPr>
                <w:noProof/>
                <w:webHidden/>
              </w:rPr>
              <w:tab/>
            </w:r>
            <w:r>
              <w:rPr>
                <w:noProof/>
                <w:webHidden/>
              </w:rPr>
              <w:fldChar w:fldCharType="begin"/>
            </w:r>
            <w:r>
              <w:rPr>
                <w:noProof/>
                <w:webHidden/>
              </w:rPr>
              <w:instrText xml:space="preserve"> PAGEREF _Toc55496437 \h </w:instrText>
            </w:r>
            <w:r>
              <w:rPr>
                <w:noProof/>
                <w:webHidden/>
              </w:rPr>
            </w:r>
            <w:r>
              <w:rPr>
                <w:noProof/>
                <w:webHidden/>
              </w:rPr>
              <w:fldChar w:fldCharType="separate"/>
            </w:r>
            <w:r>
              <w:rPr>
                <w:noProof/>
                <w:webHidden/>
              </w:rPr>
              <w:t>6</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3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_Toc55496438 \h </w:instrText>
            </w:r>
            <w:r>
              <w:rPr>
                <w:noProof/>
                <w:webHidden/>
              </w:rPr>
            </w:r>
            <w:r>
              <w:rPr>
                <w:noProof/>
                <w:webHidden/>
              </w:rPr>
              <w:fldChar w:fldCharType="separate"/>
            </w:r>
            <w:r>
              <w:rPr>
                <w:noProof/>
                <w:webHidden/>
              </w:rPr>
              <w:t>7</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39"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 xml:space="preserve">Problem 1: Type and scale of cross-border infrastructure </w:t>
            </w:r>
            <w:r>
              <w:rPr>
                <w:rStyle w:val="Hyperlink"/>
                <w:noProof/>
              </w:rPr>
              <w:t>developments are not fully aligned with EU energy policy objectives in particular as regards the European Green Deal and the climate neutrality objective</w:t>
            </w:r>
            <w:r>
              <w:rPr>
                <w:noProof/>
                <w:webHidden/>
              </w:rPr>
              <w:tab/>
            </w:r>
            <w:r>
              <w:rPr>
                <w:noProof/>
                <w:webHidden/>
              </w:rPr>
              <w:fldChar w:fldCharType="begin"/>
            </w:r>
            <w:r>
              <w:rPr>
                <w:noProof/>
                <w:webHidden/>
              </w:rPr>
              <w:instrText xml:space="preserve"> PAGEREF _Toc55496439 \h </w:instrText>
            </w:r>
            <w:r>
              <w:rPr>
                <w:noProof/>
                <w:webHidden/>
              </w:rPr>
            </w:r>
            <w:r>
              <w:rPr>
                <w:noProof/>
                <w:webHidden/>
              </w:rPr>
              <w:fldChar w:fldCharType="separate"/>
            </w:r>
            <w:r>
              <w:rPr>
                <w:noProof/>
                <w:webHidden/>
              </w:rPr>
              <w:t>9</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40"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Problem 2: Delays in project implementation</w:t>
            </w:r>
            <w:r>
              <w:rPr>
                <w:noProof/>
                <w:webHidden/>
              </w:rPr>
              <w:tab/>
            </w:r>
            <w:r>
              <w:rPr>
                <w:noProof/>
                <w:webHidden/>
              </w:rPr>
              <w:fldChar w:fldCharType="begin"/>
            </w:r>
            <w:r>
              <w:rPr>
                <w:noProof/>
                <w:webHidden/>
              </w:rPr>
              <w:instrText xml:space="preserve"> PAGEREF _Toc55496440 \h </w:instrText>
            </w:r>
            <w:r>
              <w:rPr>
                <w:noProof/>
                <w:webHidden/>
              </w:rPr>
            </w:r>
            <w:r>
              <w:rPr>
                <w:noProof/>
                <w:webHidden/>
              </w:rPr>
              <w:fldChar w:fldCharType="separate"/>
            </w:r>
            <w:r>
              <w:rPr>
                <w:noProof/>
                <w:webHidden/>
              </w:rPr>
              <w:t>15</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41"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How will the problem evolve?</w:t>
            </w:r>
            <w:r>
              <w:rPr>
                <w:noProof/>
                <w:webHidden/>
              </w:rPr>
              <w:tab/>
            </w:r>
            <w:r>
              <w:rPr>
                <w:noProof/>
                <w:webHidden/>
              </w:rPr>
              <w:fldChar w:fldCharType="begin"/>
            </w:r>
            <w:r>
              <w:rPr>
                <w:noProof/>
                <w:webHidden/>
              </w:rPr>
              <w:instrText xml:space="preserve"> PAGEREF _Toc55496441 \h </w:instrText>
            </w:r>
            <w:r>
              <w:rPr>
                <w:noProof/>
                <w:webHidden/>
              </w:rPr>
            </w:r>
            <w:r>
              <w:rPr>
                <w:noProof/>
                <w:webHidden/>
              </w:rPr>
              <w:fldChar w:fldCharType="separate"/>
            </w:r>
            <w:r>
              <w:rPr>
                <w:noProof/>
                <w:webHidden/>
              </w:rPr>
              <w:t>19</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42" w:history="1">
            <w:r>
              <w:rPr>
                <w:rStyle w:val="Hyperlink"/>
                <w:noProof/>
                <w:lang w:eastAsia="en-GB"/>
              </w:rPr>
              <w:t>2.4</w:t>
            </w:r>
            <w:r>
              <w:rPr>
                <w:rFonts w:asciiTheme="minorHAnsi" w:eastAsiaTheme="minorEastAsia" w:hAnsiTheme="minorHAnsi" w:cstheme="minorBidi"/>
                <w:noProof/>
                <w:sz w:val="22"/>
                <w:szCs w:val="22"/>
                <w:lang w:eastAsia="en-GB"/>
              </w:rPr>
              <w:tab/>
            </w:r>
            <w:r>
              <w:rPr>
                <w:rStyle w:val="Hyperlink"/>
                <w:noProof/>
                <w:lang w:eastAsia="en-GB"/>
              </w:rPr>
              <w:t>Scope of the initiative</w:t>
            </w:r>
            <w:r>
              <w:rPr>
                <w:noProof/>
                <w:webHidden/>
              </w:rPr>
              <w:tab/>
            </w:r>
            <w:r>
              <w:rPr>
                <w:noProof/>
                <w:webHidden/>
              </w:rPr>
              <w:fldChar w:fldCharType="begin"/>
            </w:r>
            <w:r>
              <w:rPr>
                <w:noProof/>
                <w:webHidden/>
              </w:rPr>
              <w:instrText xml:space="preserve"> PAGEREF _Toc55496442 \h </w:instrText>
            </w:r>
            <w:r>
              <w:rPr>
                <w:noProof/>
                <w:webHidden/>
              </w:rPr>
            </w:r>
            <w:r>
              <w:rPr>
                <w:noProof/>
                <w:webHidden/>
              </w:rPr>
              <w:fldChar w:fldCharType="separate"/>
            </w:r>
            <w:r>
              <w:rPr>
                <w:noProof/>
                <w:webHidden/>
              </w:rPr>
              <w:t>20</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43"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_Toc55496443 \h </w:instrText>
            </w:r>
            <w:r>
              <w:rPr>
                <w:noProof/>
                <w:webHidden/>
              </w:rPr>
            </w:r>
            <w:r>
              <w:rPr>
                <w:noProof/>
                <w:webHidden/>
              </w:rPr>
              <w:fldChar w:fldCharType="separate"/>
            </w:r>
            <w:r>
              <w:rPr>
                <w:noProof/>
                <w:webHidden/>
              </w:rPr>
              <w:t>20</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44"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Legal basis</w:t>
            </w:r>
            <w:r>
              <w:rPr>
                <w:noProof/>
                <w:webHidden/>
              </w:rPr>
              <w:tab/>
            </w:r>
            <w:r>
              <w:rPr>
                <w:noProof/>
                <w:webHidden/>
              </w:rPr>
              <w:tab/>
            </w:r>
            <w:r>
              <w:rPr>
                <w:noProof/>
                <w:webHidden/>
              </w:rPr>
              <w:fldChar w:fldCharType="begin"/>
            </w:r>
            <w:r>
              <w:rPr>
                <w:noProof/>
                <w:webHidden/>
              </w:rPr>
              <w:instrText xml:space="preserve"> PAGEREF _Toc55496444 \h </w:instrText>
            </w:r>
            <w:r>
              <w:rPr>
                <w:noProof/>
                <w:webHidden/>
              </w:rPr>
            </w:r>
            <w:r>
              <w:rPr>
                <w:noProof/>
                <w:webHidden/>
              </w:rPr>
              <w:fldChar w:fldCharType="separate"/>
            </w:r>
            <w:r>
              <w:rPr>
                <w:noProof/>
                <w:webHidden/>
              </w:rPr>
              <w:t>20</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45"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Subsidiarity: Necessity of EU action</w:t>
            </w:r>
            <w:r>
              <w:rPr>
                <w:noProof/>
                <w:webHidden/>
              </w:rPr>
              <w:tab/>
            </w:r>
            <w:r>
              <w:rPr>
                <w:noProof/>
                <w:webHidden/>
              </w:rPr>
              <w:fldChar w:fldCharType="begin"/>
            </w:r>
            <w:r>
              <w:rPr>
                <w:noProof/>
                <w:webHidden/>
              </w:rPr>
              <w:instrText xml:space="preserve"> PAGEREF _Toc55496445 \h </w:instrText>
            </w:r>
            <w:r>
              <w:rPr>
                <w:noProof/>
                <w:webHidden/>
              </w:rPr>
            </w:r>
            <w:r>
              <w:rPr>
                <w:noProof/>
                <w:webHidden/>
              </w:rPr>
              <w:fldChar w:fldCharType="separate"/>
            </w:r>
            <w:r>
              <w:rPr>
                <w:noProof/>
                <w:webHidden/>
              </w:rPr>
              <w:t>21</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46"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Subsidiarity: Added value of EU action</w:t>
            </w:r>
            <w:r>
              <w:rPr>
                <w:noProof/>
                <w:webHidden/>
              </w:rPr>
              <w:tab/>
            </w:r>
            <w:r>
              <w:rPr>
                <w:noProof/>
                <w:webHidden/>
              </w:rPr>
              <w:fldChar w:fldCharType="begin"/>
            </w:r>
            <w:r>
              <w:rPr>
                <w:noProof/>
                <w:webHidden/>
              </w:rPr>
              <w:instrText xml:space="preserve"> PAGE</w:instrText>
            </w:r>
            <w:r>
              <w:rPr>
                <w:noProof/>
                <w:webHidden/>
              </w:rPr>
              <w:instrText xml:space="preserve">REF _Toc55496446 \h </w:instrText>
            </w:r>
            <w:r>
              <w:rPr>
                <w:noProof/>
                <w:webHidden/>
              </w:rPr>
            </w:r>
            <w:r>
              <w:rPr>
                <w:noProof/>
                <w:webHidden/>
              </w:rPr>
              <w:fldChar w:fldCharType="separate"/>
            </w:r>
            <w:r>
              <w:rPr>
                <w:noProof/>
                <w:webHidden/>
              </w:rPr>
              <w:t>21</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47"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_Toc55496447 \h </w:instrText>
            </w:r>
            <w:r>
              <w:rPr>
                <w:noProof/>
                <w:webHidden/>
              </w:rPr>
            </w:r>
            <w:r>
              <w:rPr>
                <w:noProof/>
                <w:webHidden/>
              </w:rPr>
              <w:fldChar w:fldCharType="separate"/>
            </w:r>
            <w:r>
              <w:rPr>
                <w:noProof/>
                <w:webHidden/>
              </w:rPr>
              <w:t>21</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48"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_Toc55496448 \h </w:instrText>
            </w:r>
            <w:r>
              <w:rPr>
                <w:noProof/>
                <w:webHidden/>
              </w:rPr>
            </w:r>
            <w:r>
              <w:rPr>
                <w:noProof/>
                <w:webHidden/>
              </w:rPr>
              <w:fldChar w:fldCharType="separate"/>
            </w:r>
            <w:r>
              <w:rPr>
                <w:noProof/>
                <w:webHidden/>
              </w:rPr>
              <w:t>21</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49"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w:t>
            </w:r>
            <w:r>
              <w:rPr>
                <w:rStyle w:val="Hyperlink"/>
                <w:noProof/>
              </w:rPr>
              <w:t>ic objectives</w:t>
            </w:r>
            <w:r>
              <w:rPr>
                <w:noProof/>
                <w:webHidden/>
              </w:rPr>
              <w:tab/>
            </w:r>
            <w:r>
              <w:rPr>
                <w:noProof/>
                <w:webHidden/>
              </w:rPr>
              <w:fldChar w:fldCharType="begin"/>
            </w:r>
            <w:r>
              <w:rPr>
                <w:noProof/>
                <w:webHidden/>
              </w:rPr>
              <w:instrText xml:space="preserve"> PAGEREF _Toc55496449 \h </w:instrText>
            </w:r>
            <w:r>
              <w:rPr>
                <w:noProof/>
                <w:webHidden/>
              </w:rPr>
            </w:r>
            <w:r>
              <w:rPr>
                <w:noProof/>
                <w:webHidden/>
              </w:rPr>
              <w:fldChar w:fldCharType="separate"/>
            </w:r>
            <w:r>
              <w:rPr>
                <w:noProof/>
                <w:webHidden/>
              </w:rPr>
              <w:t>22</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50"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_Toc55496450 \h </w:instrText>
            </w:r>
            <w:r>
              <w:rPr>
                <w:noProof/>
                <w:webHidden/>
              </w:rPr>
            </w:r>
            <w:r>
              <w:rPr>
                <w:noProof/>
                <w:webHidden/>
              </w:rPr>
              <w:fldChar w:fldCharType="separate"/>
            </w:r>
            <w:r>
              <w:rPr>
                <w:noProof/>
                <w:webHidden/>
              </w:rPr>
              <w:t>23</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51"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What is the baseline from which options are assessed?</w:t>
            </w:r>
            <w:r>
              <w:rPr>
                <w:noProof/>
                <w:webHidden/>
              </w:rPr>
              <w:tab/>
            </w:r>
            <w:r>
              <w:rPr>
                <w:noProof/>
                <w:webHidden/>
              </w:rPr>
              <w:fldChar w:fldCharType="begin"/>
            </w:r>
            <w:r>
              <w:rPr>
                <w:noProof/>
                <w:webHidden/>
              </w:rPr>
              <w:instrText xml:space="preserve"> PAGEREF _Toc55496451 \h </w:instrText>
            </w:r>
            <w:r>
              <w:rPr>
                <w:noProof/>
                <w:webHidden/>
              </w:rPr>
            </w:r>
            <w:r>
              <w:rPr>
                <w:noProof/>
                <w:webHidden/>
              </w:rPr>
              <w:fldChar w:fldCharType="separate"/>
            </w:r>
            <w:r>
              <w:rPr>
                <w:noProof/>
                <w:webHidden/>
              </w:rPr>
              <w:t>25</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52"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Description of the policy options</w:t>
            </w:r>
            <w:r>
              <w:rPr>
                <w:noProof/>
                <w:webHidden/>
              </w:rPr>
              <w:tab/>
            </w:r>
            <w:r>
              <w:rPr>
                <w:noProof/>
                <w:webHidden/>
              </w:rPr>
              <w:fldChar w:fldCharType="begin"/>
            </w:r>
            <w:r>
              <w:rPr>
                <w:noProof/>
                <w:webHidden/>
              </w:rPr>
              <w:instrText xml:space="preserve"> PAGEREF _Toc55496452 \h </w:instrText>
            </w:r>
            <w:r>
              <w:rPr>
                <w:noProof/>
                <w:webHidden/>
              </w:rPr>
            </w:r>
            <w:r>
              <w:rPr>
                <w:noProof/>
                <w:webHidden/>
              </w:rPr>
              <w:fldChar w:fldCharType="separate"/>
            </w:r>
            <w:r>
              <w:rPr>
                <w:noProof/>
                <w:webHidden/>
              </w:rPr>
              <w:t>26</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57"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Options discarded at an early stage</w:t>
            </w:r>
            <w:r>
              <w:rPr>
                <w:noProof/>
                <w:webHidden/>
              </w:rPr>
              <w:tab/>
            </w:r>
            <w:r>
              <w:rPr>
                <w:noProof/>
                <w:webHidden/>
              </w:rPr>
              <w:fldChar w:fldCharType="begin"/>
            </w:r>
            <w:r>
              <w:rPr>
                <w:noProof/>
                <w:webHidden/>
              </w:rPr>
              <w:instrText xml:space="preserve"> PAGEREF _Toc55496457 \h </w:instrText>
            </w:r>
            <w:r>
              <w:rPr>
                <w:noProof/>
                <w:webHidden/>
              </w:rPr>
            </w:r>
            <w:r>
              <w:rPr>
                <w:noProof/>
                <w:webHidden/>
              </w:rPr>
              <w:fldChar w:fldCharType="separate"/>
            </w:r>
            <w:r>
              <w:rPr>
                <w:noProof/>
                <w:webHidden/>
              </w:rPr>
              <w:t>35</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58"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_Toc55496458 \h </w:instrText>
            </w:r>
            <w:r>
              <w:rPr>
                <w:noProof/>
                <w:webHidden/>
              </w:rPr>
            </w:r>
            <w:r>
              <w:rPr>
                <w:noProof/>
                <w:webHidden/>
              </w:rPr>
              <w:fldChar w:fldCharType="separate"/>
            </w:r>
            <w:r>
              <w:rPr>
                <w:noProof/>
                <w:webHidden/>
              </w:rPr>
              <w:t>37</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59"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Scope</w:t>
            </w:r>
            <w:r>
              <w:rPr>
                <w:noProof/>
                <w:webHidden/>
              </w:rPr>
              <w:tab/>
            </w:r>
            <w:r>
              <w:rPr>
                <w:noProof/>
                <w:webHidden/>
              </w:rPr>
              <w:tab/>
            </w:r>
            <w:r>
              <w:rPr>
                <w:noProof/>
                <w:webHidden/>
              </w:rPr>
              <w:fldChar w:fldCharType="begin"/>
            </w:r>
            <w:r>
              <w:rPr>
                <w:noProof/>
                <w:webHidden/>
              </w:rPr>
              <w:instrText xml:space="preserve"> PAGEREF _Toc55496459 \h </w:instrText>
            </w:r>
            <w:r>
              <w:rPr>
                <w:noProof/>
                <w:webHidden/>
              </w:rPr>
            </w:r>
            <w:r>
              <w:rPr>
                <w:noProof/>
                <w:webHidden/>
              </w:rPr>
              <w:fldChar w:fldCharType="separate"/>
            </w:r>
            <w:r>
              <w:rPr>
                <w:noProof/>
                <w:webHidden/>
              </w:rPr>
              <w:t>37</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63"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Governance / Infra</w:t>
            </w:r>
            <w:r>
              <w:rPr>
                <w:rStyle w:val="Hyperlink"/>
                <w:noProof/>
              </w:rPr>
              <w:t>structure planning</w:t>
            </w:r>
            <w:r>
              <w:rPr>
                <w:noProof/>
                <w:webHidden/>
              </w:rPr>
              <w:tab/>
            </w:r>
            <w:r>
              <w:rPr>
                <w:noProof/>
                <w:webHidden/>
              </w:rPr>
              <w:fldChar w:fldCharType="begin"/>
            </w:r>
            <w:r>
              <w:rPr>
                <w:noProof/>
                <w:webHidden/>
              </w:rPr>
              <w:instrText xml:space="preserve"> PAGEREF _Toc55496463 \h </w:instrText>
            </w:r>
            <w:r>
              <w:rPr>
                <w:noProof/>
                <w:webHidden/>
              </w:rPr>
            </w:r>
            <w:r>
              <w:rPr>
                <w:noProof/>
                <w:webHidden/>
              </w:rPr>
              <w:fldChar w:fldCharType="separate"/>
            </w:r>
            <w:r>
              <w:rPr>
                <w:noProof/>
                <w:webHidden/>
              </w:rPr>
              <w:t>51</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66"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Permitting and public participation</w:t>
            </w:r>
            <w:r>
              <w:rPr>
                <w:noProof/>
                <w:webHidden/>
              </w:rPr>
              <w:tab/>
            </w:r>
            <w:r>
              <w:rPr>
                <w:noProof/>
                <w:webHidden/>
              </w:rPr>
              <w:fldChar w:fldCharType="begin"/>
            </w:r>
            <w:r>
              <w:rPr>
                <w:noProof/>
                <w:webHidden/>
              </w:rPr>
              <w:instrText xml:space="preserve"> PAGEREF _Toc55496466 \h </w:instrText>
            </w:r>
            <w:r>
              <w:rPr>
                <w:noProof/>
                <w:webHidden/>
              </w:rPr>
            </w:r>
            <w:r>
              <w:rPr>
                <w:noProof/>
                <w:webHidden/>
              </w:rPr>
              <w:fldChar w:fldCharType="separate"/>
            </w:r>
            <w:r>
              <w:rPr>
                <w:noProof/>
                <w:webHidden/>
              </w:rPr>
              <w:t>55</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68" w:history="1">
            <w:r>
              <w:rPr>
                <w:rStyle w:val="Hyperlink"/>
                <w:noProof/>
              </w:rPr>
              <w:t>6.4</w:t>
            </w:r>
            <w:r>
              <w:rPr>
                <w:rFonts w:asciiTheme="minorHAnsi" w:eastAsiaTheme="minorEastAsia" w:hAnsiTheme="minorHAnsi" w:cstheme="minorBidi"/>
                <w:noProof/>
                <w:sz w:val="22"/>
                <w:szCs w:val="22"/>
                <w:lang w:eastAsia="en-GB"/>
              </w:rPr>
              <w:tab/>
            </w:r>
            <w:r>
              <w:rPr>
                <w:rStyle w:val="Hyperlink"/>
                <w:noProof/>
              </w:rPr>
              <w:t>Regulatory treatment</w:t>
            </w:r>
            <w:r>
              <w:rPr>
                <w:noProof/>
                <w:webHidden/>
              </w:rPr>
              <w:tab/>
            </w:r>
            <w:r>
              <w:rPr>
                <w:noProof/>
                <w:webHidden/>
              </w:rPr>
              <w:fldChar w:fldCharType="begin"/>
            </w:r>
            <w:r>
              <w:rPr>
                <w:noProof/>
                <w:webHidden/>
              </w:rPr>
              <w:instrText xml:space="preserve"> PAGEREF _Toc55496468 \h </w:instrText>
            </w:r>
            <w:r>
              <w:rPr>
                <w:noProof/>
                <w:webHidden/>
              </w:rPr>
            </w:r>
            <w:r>
              <w:rPr>
                <w:noProof/>
                <w:webHidden/>
              </w:rPr>
              <w:fldChar w:fldCharType="separate"/>
            </w:r>
            <w:r>
              <w:rPr>
                <w:noProof/>
                <w:webHidden/>
              </w:rPr>
              <w:t>58</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69"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_Toc55496469 \h </w:instrText>
            </w:r>
            <w:r>
              <w:rPr>
                <w:noProof/>
                <w:webHidden/>
              </w:rPr>
            </w:r>
            <w:r>
              <w:rPr>
                <w:noProof/>
                <w:webHidden/>
              </w:rPr>
              <w:fldChar w:fldCharType="separate"/>
            </w:r>
            <w:r>
              <w:rPr>
                <w:noProof/>
                <w:webHidden/>
              </w:rPr>
              <w:t>60</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70"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Preferred option</w:t>
            </w:r>
            <w:r>
              <w:rPr>
                <w:noProof/>
                <w:webHidden/>
              </w:rPr>
              <w:tab/>
            </w:r>
            <w:r>
              <w:rPr>
                <w:noProof/>
                <w:webHidden/>
              </w:rPr>
              <w:fldChar w:fldCharType="begin"/>
            </w:r>
            <w:r>
              <w:rPr>
                <w:noProof/>
                <w:webHidden/>
              </w:rPr>
              <w:instrText xml:space="preserve"> PAGEREF _Toc55496470 \h </w:instrText>
            </w:r>
            <w:r>
              <w:rPr>
                <w:noProof/>
                <w:webHidden/>
              </w:rPr>
            </w:r>
            <w:r>
              <w:rPr>
                <w:noProof/>
                <w:webHidden/>
              </w:rPr>
              <w:fldChar w:fldCharType="separate"/>
            </w:r>
            <w:r>
              <w:rPr>
                <w:noProof/>
                <w:webHidden/>
              </w:rPr>
              <w:t>68</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71"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Package of preferred policy options</w:t>
            </w:r>
            <w:r>
              <w:rPr>
                <w:noProof/>
                <w:webHidden/>
              </w:rPr>
              <w:tab/>
            </w:r>
            <w:r>
              <w:rPr>
                <w:noProof/>
                <w:webHidden/>
              </w:rPr>
              <w:fldChar w:fldCharType="begin"/>
            </w:r>
            <w:r>
              <w:rPr>
                <w:noProof/>
                <w:webHidden/>
              </w:rPr>
              <w:instrText xml:space="preserve"> PAGEREF _Toc55496471 \h </w:instrText>
            </w:r>
            <w:r>
              <w:rPr>
                <w:noProof/>
                <w:webHidden/>
              </w:rPr>
            </w:r>
            <w:r>
              <w:rPr>
                <w:noProof/>
                <w:webHidden/>
              </w:rPr>
              <w:fldChar w:fldCharType="separate"/>
            </w:r>
            <w:r>
              <w:rPr>
                <w:noProof/>
                <w:webHidden/>
              </w:rPr>
              <w:t>68</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72"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REFIT (simplification and improved efficiency)</w:t>
            </w:r>
            <w:r>
              <w:rPr>
                <w:noProof/>
                <w:webHidden/>
              </w:rPr>
              <w:tab/>
            </w:r>
            <w:r>
              <w:rPr>
                <w:noProof/>
                <w:webHidden/>
              </w:rPr>
              <w:fldChar w:fldCharType="begin"/>
            </w:r>
            <w:r>
              <w:rPr>
                <w:noProof/>
                <w:webHidden/>
              </w:rPr>
              <w:instrText xml:space="preserve"> PAGEREF _Toc55496472 \h </w:instrText>
            </w:r>
            <w:r>
              <w:rPr>
                <w:noProof/>
                <w:webHidden/>
              </w:rPr>
            </w:r>
            <w:r>
              <w:rPr>
                <w:noProof/>
                <w:webHidden/>
              </w:rPr>
              <w:fldChar w:fldCharType="separate"/>
            </w:r>
            <w:r>
              <w:rPr>
                <w:noProof/>
                <w:webHidden/>
              </w:rPr>
              <w:t>71</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73"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_Toc55496473 \h </w:instrText>
            </w:r>
            <w:r>
              <w:rPr>
                <w:noProof/>
                <w:webHidden/>
              </w:rPr>
            </w:r>
            <w:r>
              <w:rPr>
                <w:noProof/>
                <w:webHidden/>
              </w:rPr>
              <w:fldChar w:fldCharType="separate"/>
            </w:r>
            <w:r>
              <w:rPr>
                <w:noProof/>
                <w:webHidden/>
              </w:rPr>
              <w:t>72</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74" w:history="1">
            <w:r>
              <w:rPr>
                <w:rStyle w:val="Hyperlink"/>
                <w:noProof/>
              </w:rPr>
              <w:t>9.1</w:t>
            </w:r>
            <w:r>
              <w:rPr>
                <w:rFonts w:asciiTheme="minorHAnsi" w:eastAsiaTheme="minorEastAsia" w:hAnsiTheme="minorHAnsi" w:cstheme="minorBidi"/>
                <w:noProof/>
                <w:sz w:val="22"/>
                <w:szCs w:val="22"/>
                <w:lang w:eastAsia="en-GB"/>
              </w:rPr>
              <w:tab/>
            </w:r>
            <w:r>
              <w:rPr>
                <w:rStyle w:val="Hyperlink"/>
                <w:noProof/>
              </w:rPr>
              <w:t>Indicators</w:t>
            </w:r>
            <w:r>
              <w:rPr>
                <w:noProof/>
                <w:webHidden/>
              </w:rPr>
              <w:tab/>
            </w:r>
            <w:r>
              <w:rPr>
                <w:noProof/>
                <w:webHidden/>
              </w:rPr>
              <w:tab/>
            </w:r>
            <w:r>
              <w:rPr>
                <w:noProof/>
                <w:webHidden/>
              </w:rPr>
              <w:fldChar w:fldCharType="begin"/>
            </w:r>
            <w:r>
              <w:rPr>
                <w:noProof/>
                <w:webHidden/>
              </w:rPr>
              <w:instrText xml:space="preserve"> PAGEREF _Toc55496474 \h </w:instrText>
            </w:r>
            <w:r>
              <w:rPr>
                <w:noProof/>
                <w:webHidden/>
              </w:rPr>
            </w:r>
            <w:r>
              <w:rPr>
                <w:noProof/>
                <w:webHidden/>
              </w:rPr>
              <w:fldChar w:fldCharType="separate"/>
            </w:r>
            <w:r>
              <w:rPr>
                <w:noProof/>
                <w:webHidden/>
              </w:rPr>
              <w:t>72</w:t>
            </w:r>
            <w:r>
              <w:rPr>
                <w:noProof/>
                <w:webHidden/>
              </w:rPr>
              <w:fldChar w:fldCharType="end"/>
            </w:r>
          </w:hyperlink>
        </w:p>
        <w:p w:rsidR="00B60846" w:rsidRDefault="008069FF">
          <w:pPr>
            <w:pStyle w:val="TOC2"/>
            <w:rPr>
              <w:rFonts w:asciiTheme="minorHAnsi" w:eastAsiaTheme="minorEastAsia" w:hAnsiTheme="minorHAnsi" w:cstheme="minorBidi"/>
              <w:noProof/>
              <w:sz w:val="22"/>
              <w:szCs w:val="22"/>
              <w:lang w:eastAsia="en-GB"/>
            </w:rPr>
          </w:pPr>
          <w:hyperlink w:anchor="_Toc55496475" w:history="1">
            <w:r>
              <w:rPr>
                <w:rStyle w:val="Hyperlink"/>
                <w:noProof/>
              </w:rPr>
              <w:t>9.2</w:t>
            </w:r>
            <w:r>
              <w:rPr>
                <w:rFonts w:asciiTheme="minorHAnsi" w:eastAsiaTheme="minorEastAsia" w:hAnsiTheme="minorHAnsi" w:cstheme="minorBidi"/>
                <w:noProof/>
                <w:sz w:val="22"/>
                <w:szCs w:val="22"/>
                <w:lang w:eastAsia="en-GB"/>
              </w:rPr>
              <w:tab/>
            </w:r>
            <w:r>
              <w:rPr>
                <w:rStyle w:val="Hyperlink"/>
                <w:noProof/>
              </w:rPr>
              <w:t>Operational objectives</w:t>
            </w:r>
            <w:r>
              <w:rPr>
                <w:noProof/>
                <w:webHidden/>
              </w:rPr>
              <w:tab/>
            </w:r>
            <w:r>
              <w:rPr>
                <w:noProof/>
                <w:webHidden/>
              </w:rPr>
              <w:fldChar w:fldCharType="begin"/>
            </w:r>
            <w:r>
              <w:rPr>
                <w:noProof/>
                <w:webHidden/>
              </w:rPr>
              <w:instrText xml:space="preserve"> PAGEREF _Toc55496475 \h </w:instrText>
            </w:r>
            <w:r>
              <w:rPr>
                <w:noProof/>
                <w:webHidden/>
              </w:rPr>
            </w:r>
            <w:r>
              <w:rPr>
                <w:noProof/>
                <w:webHidden/>
              </w:rPr>
              <w:fldChar w:fldCharType="separate"/>
            </w:r>
            <w:r>
              <w:rPr>
                <w:noProof/>
                <w:webHidden/>
              </w:rPr>
              <w:t>73</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76" w:history="1">
            <w:r>
              <w:rPr>
                <w:rStyle w:val="Hyperlink"/>
                <w:noProof/>
              </w:rPr>
              <w:t>10</w:t>
            </w:r>
            <w:r>
              <w:rPr>
                <w:rFonts w:asciiTheme="minorHAnsi" w:eastAsiaTheme="minorEastAsia" w:hAnsiTheme="minorHAnsi" w:cstheme="minorBidi"/>
                <w:caps w:val="0"/>
                <w:noProof/>
                <w:sz w:val="22"/>
                <w:szCs w:val="22"/>
                <w:lang w:eastAsia="en-GB"/>
              </w:rPr>
              <w:tab/>
            </w:r>
            <w:r>
              <w:rPr>
                <w:rStyle w:val="Hyperlink"/>
                <w:noProof/>
              </w:rPr>
              <w:t>Glossary</w:t>
            </w:r>
            <w:r>
              <w:rPr>
                <w:noProof/>
                <w:webHidden/>
              </w:rPr>
              <w:tab/>
            </w:r>
            <w:r>
              <w:rPr>
                <w:noProof/>
                <w:webHidden/>
              </w:rPr>
              <w:tab/>
            </w:r>
            <w:r>
              <w:rPr>
                <w:noProof/>
                <w:webHidden/>
              </w:rPr>
              <w:fldChar w:fldCharType="begin"/>
            </w:r>
            <w:r>
              <w:rPr>
                <w:noProof/>
                <w:webHidden/>
              </w:rPr>
              <w:instrText xml:space="preserve"> PAGEREF _Toc55496476 \h </w:instrText>
            </w:r>
            <w:r>
              <w:rPr>
                <w:noProof/>
                <w:webHidden/>
              </w:rPr>
            </w:r>
            <w:r>
              <w:rPr>
                <w:noProof/>
                <w:webHidden/>
              </w:rPr>
              <w:fldChar w:fldCharType="separate"/>
            </w:r>
            <w:r>
              <w:rPr>
                <w:noProof/>
                <w:webHidden/>
              </w:rPr>
              <w:t>74</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77" w:history="1">
            <w:r>
              <w:rPr>
                <w:rStyle w:val="Hyperlink"/>
                <w:noProof/>
              </w:rPr>
              <w:t>Annex 1: Procedural information</w:t>
            </w:r>
            <w:r>
              <w:rPr>
                <w:noProof/>
                <w:webHidden/>
              </w:rPr>
              <w:tab/>
            </w:r>
            <w:r>
              <w:rPr>
                <w:noProof/>
                <w:webHidden/>
              </w:rPr>
              <w:fldChar w:fldCharType="begin"/>
            </w:r>
            <w:r>
              <w:rPr>
                <w:noProof/>
                <w:webHidden/>
              </w:rPr>
              <w:instrText xml:space="preserve"> PAGEREF _Toc55496477 \h </w:instrText>
            </w:r>
            <w:r>
              <w:rPr>
                <w:noProof/>
                <w:webHidden/>
              </w:rPr>
            </w:r>
            <w:r>
              <w:rPr>
                <w:noProof/>
                <w:webHidden/>
              </w:rPr>
              <w:fldChar w:fldCharType="separate"/>
            </w:r>
            <w:r>
              <w:rPr>
                <w:noProof/>
                <w:webHidden/>
              </w:rPr>
              <w:t>75</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80" w:history="1">
            <w:r>
              <w:rPr>
                <w:rStyle w:val="Hyperlink"/>
                <w:noProof/>
              </w:rPr>
              <w:t>An</w:t>
            </w:r>
            <w:r>
              <w:rPr>
                <w:rStyle w:val="Hyperlink"/>
                <w:noProof/>
              </w:rPr>
              <w:t>nex 2: Stakeholder consultation</w:t>
            </w:r>
            <w:r>
              <w:rPr>
                <w:noProof/>
                <w:webHidden/>
              </w:rPr>
              <w:tab/>
            </w:r>
            <w:r>
              <w:rPr>
                <w:noProof/>
                <w:webHidden/>
              </w:rPr>
              <w:fldChar w:fldCharType="begin"/>
            </w:r>
            <w:r>
              <w:rPr>
                <w:noProof/>
                <w:webHidden/>
              </w:rPr>
              <w:instrText xml:space="preserve"> PAGEREF _Toc55496480 \h </w:instrText>
            </w:r>
            <w:r>
              <w:rPr>
                <w:noProof/>
                <w:webHidden/>
              </w:rPr>
            </w:r>
            <w:r>
              <w:rPr>
                <w:noProof/>
                <w:webHidden/>
              </w:rPr>
              <w:fldChar w:fldCharType="separate"/>
            </w:r>
            <w:r>
              <w:rPr>
                <w:noProof/>
                <w:webHidden/>
              </w:rPr>
              <w:t>82</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81" w:history="1">
            <w:r>
              <w:rPr>
                <w:rStyle w:val="Hyperlink"/>
                <w:noProof/>
              </w:rPr>
              <w:t>Annex 3: Who is affected and how?</w:t>
            </w:r>
            <w:r>
              <w:rPr>
                <w:noProof/>
                <w:webHidden/>
              </w:rPr>
              <w:tab/>
            </w:r>
            <w:r>
              <w:rPr>
                <w:noProof/>
                <w:webHidden/>
              </w:rPr>
              <w:fldChar w:fldCharType="begin"/>
            </w:r>
            <w:r>
              <w:rPr>
                <w:noProof/>
                <w:webHidden/>
              </w:rPr>
              <w:instrText xml:space="preserve"> PAGEREF _Toc55496481 \h </w:instrText>
            </w:r>
            <w:r>
              <w:rPr>
                <w:noProof/>
                <w:webHidden/>
              </w:rPr>
            </w:r>
            <w:r>
              <w:rPr>
                <w:noProof/>
                <w:webHidden/>
              </w:rPr>
              <w:fldChar w:fldCharType="separate"/>
            </w:r>
            <w:r>
              <w:rPr>
                <w:noProof/>
                <w:webHidden/>
              </w:rPr>
              <w:t>92</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84" w:history="1">
            <w:r>
              <w:rPr>
                <w:rStyle w:val="Hyperlink"/>
                <w:noProof/>
              </w:rPr>
              <w:t>Annex 4: Analytical methods</w:t>
            </w:r>
            <w:r>
              <w:rPr>
                <w:noProof/>
                <w:webHidden/>
              </w:rPr>
              <w:tab/>
            </w:r>
            <w:r>
              <w:rPr>
                <w:noProof/>
                <w:webHidden/>
              </w:rPr>
              <w:fldChar w:fldCharType="begin"/>
            </w:r>
            <w:r>
              <w:rPr>
                <w:noProof/>
                <w:webHidden/>
              </w:rPr>
              <w:instrText xml:space="preserve"> PAGEREF _Toc55496484 \h </w:instrText>
            </w:r>
            <w:r>
              <w:rPr>
                <w:noProof/>
                <w:webHidden/>
              </w:rPr>
            </w:r>
            <w:r>
              <w:rPr>
                <w:noProof/>
                <w:webHidden/>
              </w:rPr>
              <w:fldChar w:fldCharType="separate"/>
            </w:r>
            <w:r>
              <w:rPr>
                <w:noProof/>
                <w:webHidden/>
              </w:rPr>
              <w:t>102</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85" w:history="1">
            <w:r>
              <w:rPr>
                <w:rStyle w:val="Hyperlink"/>
                <w:noProof/>
              </w:rPr>
              <w:t>Annex 5: Evaluation report</w:t>
            </w:r>
            <w:r>
              <w:rPr>
                <w:noProof/>
                <w:webHidden/>
              </w:rPr>
              <w:tab/>
            </w:r>
            <w:r>
              <w:rPr>
                <w:noProof/>
                <w:webHidden/>
              </w:rPr>
              <w:fldChar w:fldCharType="begin"/>
            </w:r>
            <w:r>
              <w:rPr>
                <w:noProof/>
                <w:webHidden/>
              </w:rPr>
              <w:instrText xml:space="preserve"> PAGEREF _Toc55496485 \h </w:instrText>
            </w:r>
            <w:r>
              <w:rPr>
                <w:noProof/>
                <w:webHidden/>
              </w:rPr>
            </w:r>
            <w:r>
              <w:rPr>
                <w:noProof/>
                <w:webHidden/>
              </w:rPr>
              <w:fldChar w:fldCharType="separate"/>
            </w:r>
            <w:r>
              <w:rPr>
                <w:noProof/>
                <w:webHidden/>
              </w:rPr>
              <w:t>104</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91" w:history="1">
            <w:r>
              <w:rPr>
                <w:rStyle w:val="Hyperlink"/>
                <w:noProof/>
              </w:rPr>
              <w:t>Annex 6: PCIs and CEF financial assistance</w:t>
            </w:r>
            <w:r>
              <w:rPr>
                <w:noProof/>
                <w:webHidden/>
              </w:rPr>
              <w:tab/>
            </w:r>
            <w:r>
              <w:rPr>
                <w:noProof/>
                <w:webHidden/>
              </w:rPr>
              <w:fldChar w:fldCharType="begin"/>
            </w:r>
            <w:r>
              <w:rPr>
                <w:noProof/>
                <w:webHidden/>
              </w:rPr>
              <w:instrText xml:space="preserve"> PAGEREF _Toc55496491 \h </w:instrText>
            </w:r>
            <w:r>
              <w:rPr>
                <w:noProof/>
                <w:webHidden/>
              </w:rPr>
            </w:r>
            <w:r>
              <w:rPr>
                <w:noProof/>
                <w:webHidden/>
              </w:rPr>
              <w:fldChar w:fldCharType="separate"/>
            </w:r>
            <w:r>
              <w:rPr>
                <w:noProof/>
                <w:webHidden/>
              </w:rPr>
              <w:t>132</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92" w:history="1">
            <w:r>
              <w:rPr>
                <w:rStyle w:val="Hyperlink"/>
                <w:noProof/>
              </w:rPr>
              <w:t>Annex 7: Additional discarded options</w:t>
            </w:r>
            <w:r>
              <w:rPr>
                <w:noProof/>
                <w:webHidden/>
              </w:rPr>
              <w:tab/>
            </w:r>
            <w:r>
              <w:rPr>
                <w:noProof/>
                <w:webHidden/>
              </w:rPr>
              <w:fldChar w:fldCharType="begin"/>
            </w:r>
            <w:r>
              <w:rPr>
                <w:noProof/>
                <w:webHidden/>
              </w:rPr>
              <w:instrText xml:space="preserve"> PAGEREF _Toc55496492 \h </w:instrText>
            </w:r>
            <w:r>
              <w:rPr>
                <w:noProof/>
                <w:webHidden/>
              </w:rPr>
            </w:r>
            <w:r>
              <w:rPr>
                <w:noProof/>
                <w:webHidden/>
              </w:rPr>
              <w:fldChar w:fldCharType="separate"/>
            </w:r>
            <w:r>
              <w:rPr>
                <w:noProof/>
                <w:webHidden/>
              </w:rPr>
              <w:t>137</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93" w:history="1">
            <w:r>
              <w:rPr>
                <w:rStyle w:val="Hyperlink"/>
                <w:noProof/>
              </w:rPr>
              <w:t>Annex 8: Introduction of a mandatory sustainability criterion</w:t>
            </w:r>
            <w:r>
              <w:rPr>
                <w:noProof/>
                <w:webHidden/>
              </w:rPr>
              <w:tab/>
            </w:r>
            <w:r>
              <w:rPr>
                <w:noProof/>
                <w:webHidden/>
              </w:rPr>
              <w:fldChar w:fldCharType="begin"/>
            </w:r>
            <w:r>
              <w:rPr>
                <w:noProof/>
                <w:webHidden/>
              </w:rPr>
              <w:instrText xml:space="preserve"> PAGEREF _Toc55496493 \h </w:instrText>
            </w:r>
            <w:r>
              <w:rPr>
                <w:noProof/>
                <w:webHidden/>
              </w:rPr>
            </w:r>
            <w:r>
              <w:rPr>
                <w:noProof/>
                <w:webHidden/>
              </w:rPr>
              <w:fldChar w:fldCharType="separate"/>
            </w:r>
            <w:r>
              <w:rPr>
                <w:noProof/>
                <w:webHidden/>
              </w:rPr>
              <w:t>139</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94" w:history="1">
            <w:r>
              <w:rPr>
                <w:rStyle w:val="Hyperlink"/>
                <w:noProof/>
              </w:rPr>
              <w:t>Annex 9: Assessment of additional policy options</w:t>
            </w:r>
            <w:r>
              <w:rPr>
                <w:noProof/>
                <w:webHidden/>
              </w:rPr>
              <w:tab/>
            </w:r>
            <w:r>
              <w:rPr>
                <w:noProof/>
                <w:webHidden/>
              </w:rPr>
              <w:fldChar w:fldCharType="begin"/>
            </w:r>
            <w:r>
              <w:rPr>
                <w:noProof/>
                <w:webHidden/>
              </w:rPr>
              <w:instrText xml:space="preserve"> PAGEREF _T</w:instrText>
            </w:r>
            <w:r>
              <w:rPr>
                <w:noProof/>
                <w:webHidden/>
              </w:rPr>
              <w:instrText xml:space="preserve">oc55496494 \h </w:instrText>
            </w:r>
            <w:r>
              <w:rPr>
                <w:noProof/>
                <w:webHidden/>
              </w:rPr>
            </w:r>
            <w:r>
              <w:rPr>
                <w:noProof/>
                <w:webHidden/>
              </w:rPr>
              <w:fldChar w:fldCharType="separate"/>
            </w:r>
            <w:r>
              <w:rPr>
                <w:noProof/>
                <w:webHidden/>
              </w:rPr>
              <w:t>140</w:t>
            </w:r>
            <w:r>
              <w:rPr>
                <w:noProof/>
                <w:webHidden/>
              </w:rPr>
              <w:fldChar w:fldCharType="end"/>
            </w:r>
          </w:hyperlink>
        </w:p>
        <w:p w:rsidR="00B60846" w:rsidRDefault="008069FF">
          <w:pPr>
            <w:pStyle w:val="TOC1"/>
            <w:rPr>
              <w:rFonts w:asciiTheme="minorHAnsi" w:eastAsiaTheme="minorEastAsia" w:hAnsiTheme="minorHAnsi" w:cstheme="minorBidi"/>
              <w:caps w:val="0"/>
              <w:noProof/>
              <w:sz w:val="22"/>
              <w:szCs w:val="22"/>
              <w:lang w:eastAsia="en-GB"/>
            </w:rPr>
          </w:pPr>
          <w:hyperlink w:anchor="_Toc55496499" w:history="1">
            <w:r>
              <w:rPr>
                <w:rStyle w:val="Hyperlink"/>
                <w:noProof/>
              </w:rPr>
              <w:t>Annex 10: REFIT (simplification and improved efficiency)</w:t>
            </w:r>
            <w:r>
              <w:rPr>
                <w:noProof/>
                <w:webHidden/>
              </w:rPr>
              <w:tab/>
            </w:r>
            <w:r>
              <w:rPr>
                <w:noProof/>
                <w:webHidden/>
              </w:rPr>
              <w:fldChar w:fldCharType="begin"/>
            </w:r>
            <w:r>
              <w:rPr>
                <w:noProof/>
                <w:webHidden/>
              </w:rPr>
              <w:instrText xml:space="preserve"> PAGEREF _Toc55496499 \h </w:instrText>
            </w:r>
            <w:r>
              <w:rPr>
                <w:noProof/>
                <w:webHidden/>
              </w:rPr>
            </w:r>
            <w:r>
              <w:rPr>
                <w:noProof/>
                <w:webHidden/>
              </w:rPr>
              <w:fldChar w:fldCharType="separate"/>
            </w:r>
            <w:r>
              <w:rPr>
                <w:noProof/>
                <w:webHidden/>
              </w:rPr>
              <w:t>148</w:t>
            </w:r>
            <w:r>
              <w:rPr>
                <w:noProof/>
                <w:webHidden/>
              </w:rPr>
              <w:fldChar w:fldCharType="end"/>
            </w:r>
          </w:hyperlink>
        </w:p>
        <w:p w:rsidR="00B60846" w:rsidRDefault="008069FF">
          <w:pPr>
            <w:pStyle w:val="TOC1"/>
            <w:rPr>
              <w:noProof/>
            </w:rPr>
          </w:pPr>
          <w:r>
            <w:rPr>
              <w:b/>
              <w:bCs/>
              <w:noProof/>
            </w:rPr>
            <w:fldChar w:fldCharType="end"/>
          </w:r>
        </w:p>
      </w:sdtContent>
    </w:sdt>
    <w:p w:rsidR="00B60846" w:rsidRDefault="008069FF">
      <w:pPr>
        <w:tabs>
          <w:tab w:val="clear" w:pos="2302"/>
        </w:tabs>
        <w:spacing w:after="200" w:line="276" w:lineRule="auto"/>
        <w:jc w:val="left"/>
        <w:rPr>
          <w:b/>
          <w:smallCaps/>
          <w:noProof/>
        </w:rPr>
      </w:pPr>
      <w:bookmarkStart w:id="2" w:name="_Toc39234297"/>
      <w:bookmarkStart w:id="3" w:name="_Toc39234408"/>
      <w:bookmarkStart w:id="4" w:name="_Toc49351316"/>
      <w:bookmarkStart w:id="5" w:name="_Toc49357709"/>
      <w:bookmarkStart w:id="6" w:name="_Toc49359387"/>
      <w:bookmarkStart w:id="7" w:name="_Toc49359722"/>
      <w:bookmarkStart w:id="8" w:name="_Toc49507967"/>
      <w:bookmarkStart w:id="9" w:name="_Toc49508411"/>
      <w:bookmarkStart w:id="10" w:name="_Toc49512322"/>
      <w:bookmarkStart w:id="11" w:name="_Toc49514206"/>
      <w:bookmarkStart w:id="12" w:name="_Toc49516441"/>
      <w:bookmarkStart w:id="13" w:name="_Toc50028453"/>
      <w:bookmarkStart w:id="14" w:name="_Toc50056948"/>
      <w:bookmarkStart w:id="15" w:name="_Toc50452054"/>
      <w:bookmarkStart w:id="16" w:name="_Toc50573873"/>
      <w:bookmarkStart w:id="17" w:name="_Toc50581856"/>
      <w:bookmarkStart w:id="18" w:name="_Toc50582639"/>
      <w:bookmarkStart w:id="19" w:name="_Toc51168535"/>
      <w:bookmarkStart w:id="20" w:name="_Toc51169024"/>
      <w:bookmarkStart w:id="21" w:name="_Toc51231518"/>
      <w:bookmarkStart w:id="22" w:name="_Toc51235454"/>
      <w:bookmarkStart w:id="23" w:name="_Toc51237244"/>
      <w:bookmarkStart w:id="24" w:name="_Toc51238629"/>
      <w:bookmarkStart w:id="25" w:name="_Toc51239354"/>
      <w:r>
        <w:rPr>
          <w:noProof/>
        </w:rPr>
        <w:br w:type="page"/>
      </w:r>
    </w:p>
    <w:p w:rsidR="00B60846" w:rsidRDefault="008069FF">
      <w:pPr>
        <w:pStyle w:val="Heading1"/>
        <w:rPr>
          <w:noProof/>
        </w:rPr>
      </w:pPr>
      <w:bookmarkStart w:id="26" w:name="_Toc51788266"/>
      <w:bookmarkStart w:id="27" w:name="_Toc51791804"/>
      <w:bookmarkStart w:id="28" w:name="_Toc51793236"/>
      <w:bookmarkStart w:id="29" w:name="_Toc55496434"/>
      <w:r>
        <w:rPr>
          <w:noProof/>
        </w:rPr>
        <w:t>Introduction: Political and legal context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B60846" w:rsidRDefault="008069FF">
      <w:pPr>
        <w:pStyle w:val="Heading2"/>
        <w:ind w:left="1287" w:hanging="578"/>
        <w:rPr>
          <w:noProof/>
        </w:rPr>
      </w:pPr>
      <w:bookmarkStart w:id="30" w:name="_Toc55496435"/>
      <w:bookmarkStart w:id="31" w:name="_Ref54788855"/>
      <w:r>
        <w:rPr>
          <w:noProof/>
        </w:rPr>
        <w:t>Legal framework</w:t>
      </w:r>
      <w:bookmarkEnd w:id="30"/>
    </w:p>
    <w:p w:rsidR="00B60846" w:rsidRDefault="008069FF">
      <w:pPr>
        <w:rPr>
          <w:noProof/>
          <w:szCs w:val="24"/>
        </w:rPr>
      </w:pPr>
      <w:r>
        <w:rPr>
          <w:noProof/>
          <w:szCs w:val="24"/>
        </w:rPr>
        <w:t>The Regulation on trans-European energy networks (TEN-E), adopted in 2013, lays down rules for the timely development and inte</w:t>
      </w:r>
      <w:r>
        <w:rPr>
          <w:noProof/>
          <w:szCs w:val="24"/>
        </w:rPr>
        <w:t>roperability of trans-European energy networks in order to achieve the energy policy objectives of the Treaty on the Functioning of the European Union (TFEU)</w:t>
      </w:r>
      <w:r>
        <w:rPr>
          <w:rStyle w:val="FootnoteReference"/>
          <w:noProof/>
          <w:lang w:val="en-IE"/>
        </w:rPr>
        <w:footnoteReference w:id="2"/>
      </w:r>
      <w:r>
        <w:rPr>
          <w:noProof/>
          <w:lang w:val="en-IE"/>
        </w:rPr>
        <w:t xml:space="preserve"> to ensure the functioning of the internal energy market and security of supply in the Union, to p</w:t>
      </w:r>
      <w:r>
        <w:rPr>
          <w:noProof/>
          <w:lang w:val="en-IE"/>
        </w:rPr>
        <w:t>romote energy efficiency and energy saving and the development of new and renewable forms of energy, and to promote the interconnection of energy networks.</w:t>
      </w:r>
    </w:p>
    <w:p w:rsidR="00B60846" w:rsidRDefault="008069FF">
      <w:pPr>
        <w:rPr>
          <w:noProof/>
          <w:szCs w:val="24"/>
        </w:rPr>
      </w:pPr>
      <w:r>
        <w:rPr>
          <w:noProof/>
          <w:szCs w:val="24"/>
        </w:rPr>
        <w:t>The TEN-E is a policy that is focused on linking the energy infrastructure – electricity, natural an</w:t>
      </w:r>
      <w:r>
        <w:rPr>
          <w:noProof/>
          <w:szCs w:val="24"/>
        </w:rPr>
        <w:t>d biogas, oil, CO</w:t>
      </w:r>
      <w:r>
        <w:rPr>
          <w:noProof/>
          <w:szCs w:val="24"/>
          <w:vertAlign w:val="subscript"/>
        </w:rPr>
        <w:t>2</w:t>
      </w:r>
      <w:r>
        <w:rPr>
          <w:noProof/>
          <w:szCs w:val="24"/>
        </w:rPr>
        <w:t xml:space="preserve"> – of EU countries. The TEN-E Regulation puts in place a framework for Member States and relevant stakeholders to work together in a regional setting to develop better connected energy networks with the aim to connect regions currently is</w:t>
      </w:r>
      <w:r>
        <w:rPr>
          <w:noProof/>
          <w:szCs w:val="24"/>
        </w:rPr>
        <w:t>olated from European energy markets, strengthen existing cross-border interconnections, and help integrate renewable energy.</w:t>
      </w:r>
    </w:p>
    <w:p w:rsidR="00B60846" w:rsidRDefault="008069FF">
      <w:pPr>
        <w:rPr>
          <w:noProof/>
          <w:szCs w:val="24"/>
        </w:rPr>
      </w:pPr>
      <w:r>
        <w:rPr>
          <w:noProof/>
        </w:rPr>
        <w:t>As such, the TEN-E is a central instrument in the development of an internal energy market and necessary to achieve the European Gr</w:t>
      </w:r>
      <w:r>
        <w:rPr>
          <w:noProof/>
        </w:rPr>
        <w:t>een Deal objectives. To achieve climate neutrality by 2050 and higher levels of greenhouse gas emission reductions by 2030, Europe will need a more integrated energy system, relying on higher levels of electrification based on renewable sources and the dec</w:t>
      </w:r>
      <w:r>
        <w:rPr>
          <w:noProof/>
        </w:rPr>
        <w:t>arbonisation of the gas sector</w:t>
      </w:r>
      <w:r>
        <w:rPr>
          <w:noProof/>
          <w:vertAlign w:val="superscript"/>
        </w:rPr>
        <w:footnoteReference w:id="3"/>
      </w:r>
      <w:r>
        <w:rPr>
          <w:noProof/>
        </w:rPr>
        <w:t xml:space="preserve">. The TEN-E can ensure that the EU energy infrastructure development supports the required energy transition. </w:t>
      </w:r>
    </w:p>
    <w:p w:rsidR="00B60846" w:rsidRDefault="008069FF">
      <w:pPr>
        <w:rPr>
          <w:noProof/>
          <w:szCs w:val="24"/>
        </w:rPr>
      </w:pPr>
      <w:r>
        <w:rPr>
          <w:noProof/>
          <w:szCs w:val="24"/>
        </w:rPr>
        <w:t>The key tools of the current TEN-E guidelines to identify and speed up the implementation of the key infrastructur</w:t>
      </w:r>
      <w:r>
        <w:rPr>
          <w:noProof/>
          <w:szCs w:val="24"/>
        </w:rPr>
        <w:t>e projects are to address the following problems: a) market and regulatory failures for cross-border energy infrastructure investments also due to asymmetric benefits and costs among Member States, b) too strong focus on national priorities in infrastructu</w:t>
      </w:r>
      <w:r>
        <w:rPr>
          <w:noProof/>
          <w:szCs w:val="24"/>
        </w:rPr>
        <w:t>re investments decision and the need to align cross-border infrastructure projects with European infrastructure priorities to achieve synergies, and c) insufficient market based financing  to address the investments needs in cross-border energy infrastruct</w:t>
      </w:r>
      <w:r>
        <w:rPr>
          <w:noProof/>
          <w:szCs w:val="24"/>
        </w:rPr>
        <w:t>ure.</w:t>
      </w:r>
    </w:p>
    <w:p w:rsidR="00B60846" w:rsidRDefault="008069FF">
      <w:pPr>
        <w:rPr>
          <w:noProof/>
        </w:rPr>
      </w:pPr>
      <w:r>
        <w:rPr>
          <w:noProof/>
          <w:lang w:val="en-IE"/>
        </w:rPr>
        <w:t>Under the TEN-E Regulation, t</w:t>
      </w:r>
      <w:r>
        <w:rPr>
          <w:noProof/>
        </w:rPr>
        <w:t>he Commission shall ensure that a Union list of PCIs is established every two years. The TEN-E Regulation sets general and specific criteria for the selection of PCIs. PCIs span Member State borders or, while remaining wit</w:t>
      </w:r>
      <w:r>
        <w:rPr>
          <w:noProof/>
        </w:rPr>
        <w:t xml:space="preserve">hin the territory of a single Member State, address an important bottleneck with significant impact on cross-border trade. Specific selection criteria are defined for each infrastructure category considering specific policy objectives (see Annex 5). While </w:t>
      </w:r>
      <w:r>
        <w:rPr>
          <w:noProof/>
        </w:rPr>
        <w:t xml:space="preserve">the current framework includes the mid- and long-term decarbonisation objectives, it is not systematically applied to all candidate PCI projects and hence limits the possibility to identify projects that support the energy transition to reach the European </w:t>
      </w:r>
      <w:r>
        <w:rPr>
          <w:noProof/>
        </w:rPr>
        <w:t>Green Deal objectives.</w:t>
      </w:r>
    </w:p>
    <w:p w:rsidR="00B60846" w:rsidRDefault="008069FF">
      <w:pPr>
        <w:rPr>
          <w:noProof/>
        </w:rPr>
      </w:pPr>
      <w:r>
        <w:rPr>
          <w:noProof/>
        </w:rPr>
        <w:t xml:space="preserve">For electricity and gas projects, in order to be eligible for inclusion in the PCI list, projects must be part of the latest available </w:t>
      </w:r>
      <w:r>
        <w:rPr>
          <w:bCs/>
          <w:noProof/>
        </w:rPr>
        <w:t>10-year network development plan (TYNDP)</w:t>
      </w:r>
      <w:r>
        <w:rPr>
          <w:noProof/>
        </w:rPr>
        <w:t>. Every two years the European Network of Transmission Sys</w:t>
      </w:r>
      <w:r>
        <w:rPr>
          <w:noProof/>
        </w:rPr>
        <w:t xml:space="preserve">tem Operators (ENTSOs for Electricity and for Gas) establishes first the system needs under different future and disruption scenarios. Then, a cost-benefit analysis (CBA) is performed for every submitted project, assessing their contribution to the system </w:t>
      </w:r>
      <w:r>
        <w:rPr>
          <w:noProof/>
        </w:rPr>
        <w:t>needs. For smart grids, CO</w:t>
      </w:r>
      <w:r>
        <w:rPr>
          <w:noProof/>
          <w:vertAlign w:val="subscript"/>
        </w:rPr>
        <w:t>2</w:t>
      </w:r>
      <w:r>
        <w:rPr>
          <w:noProof/>
        </w:rPr>
        <w:t xml:space="preserve"> networks and oil projects specific assessment methods are used.</w:t>
      </w:r>
    </w:p>
    <w:p w:rsidR="00B60846" w:rsidRDefault="008069FF">
      <w:pPr>
        <w:rPr>
          <w:noProof/>
        </w:rPr>
      </w:pPr>
      <w:r>
        <w:rPr>
          <w:noProof/>
        </w:rPr>
        <w:t xml:space="preserve">Project promoters submit their projects for selection as PCIs. The </w:t>
      </w:r>
      <w:r>
        <w:rPr>
          <w:bCs/>
          <w:noProof/>
        </w:rPr>
        <w:t>Regional Groups</w:t>
      </w:r>
      <w:r>
        <w:rPr>
          <w:noProof/>
        </w:rPr>
        <w:t xml:space="preserve">, chaired by the Commission and including representatives from the Member States, </w:t>
      </w:r>
      <w:r>
        <w:rPr>
          <w:noProof/>
        </w:rPr>
        <w:t>transmission system operators and their European networks, project promoters, national regulatory authorities, as well as the Agency for the Cooperation of Energy Regulators (ACER), assess the projects' contribution to implementing the priorities, the fulf</w:t>
      </w:r>
      <w:r>
        <w:rPr>
          <w:noProof/>
        </w:rPr>
        <w:t>ilment of the relevant criteria and their maturity. Stakeholders are invited to take part in these meetings and bring their insight on the infrastructure bottlenecks and on the candidate PCIs into the assessment process. The decision-making power in the Re</w:t>
      </w:r>
      <w:r>
        <w:rPr>
          <w:noProof/>
        </w:rPr>
        <w:t>gional Groups is restricted to a body comprising Member States and the Commission.</w:t>
      </w:r>
    </w:p>
    <w:p w:rsidR="00B60846" w:rsidRDefault="008069FF">
      <w:pPr>
        <w:rPr>
          <w:noProof/>
        </w:rPr>
      </w:pPr>
      <w:r>
        <w:rPr>
          <w:noProof/>
        </w:rPr>
        <w:t>Based on this assessment, the Regional Groups propose regional lists of PCIs. Based on the agreed regional lists, the Commission adopts the Union list of PCIs in the form of</w:t>
      </w:r>
      <w:r>
        <w:rPr>
          <w:noProof/>
        </w:rPr>
        <w:t xml:space="preserve"> a delegated regulation. When doing so, the Commission ensures compliance with the relevant criteria, cross-regional consistency, and aims for a manageable total number of PCIs. A Member State to whose territory a proposed project relates may not approve i</w:t>
      </w:r>
      <w:r>
        <w:rPr>
          <w:noProof/>
        </w:rPr>
        <w:t>ts inclusion in the PCI list.</w:t>
      </w:r>
    </w:p>
    <w:p w:rsidR="00B60846" w:rsidRDefault="008069FF">
      <w:pPr>
        <w:rPr>
          <w:noProof/>
        </w:rPr>
      </w:pPr>
      <w:r>
        <w:rPr>
          <w:noProof/>
        </w:rPr>
        <w:t>So far, four Union lists of PCIs have been established. The 4</w:t>
      </w:r>
      <w:r>
        <w:rPr>
          <w:noProof/>
          <w:vertAlign w:val="superscript"/>
        </w:rPr>
        <w:t>th</w:t>
      </w:r>
      <w:r>
        <w:rPr>
          <w:noProof/>
        </w:rPr>
        <w:t xml:space="preserve"> PCI list was adopted in 2019 and entered into force in March 2020. Since the first PCI list the total number of PCIs per list has been significantly reduced and t</w:t>
      </w:r>
      <w:r>
        <w:rPr>
          <w:noProof/>
        </w:rPr>
        <w:t>he distribution across the different sectors has changed significantly with electricity PCIs representing two thirds of the total number of projects in the latest PCI lists. Oil, CO</w:t>
      </w:r>
      <w:r>
        <w:rPr>
          <w:noProof/>
          <w:vertAlign w:val="subscript"/>
        </w:rPr>
        <w:t>2</w:t>
      </w:r>
      <w:r>
        <w:rPr>
          <w:noProof/>
        </w:rPr>
        <w:t xml:space="preserve"> and smart electricity grids have represented a minor share (see </w:t>
      </w:r>
      <w:r>
        <w:rPr>
          <w:noProof/>
        </w:rPr>
        <w:fldChar w:fldCharType="begin"/>
      </w:r>
      <w:r>
        <w:rPr>
          <w:noProof/>
        </w:rPr>
        <w:instrText xml:space="preserve"> REF _Ref</w:instrText>
      </w:r>
      <w:r>
        <w:rPr>
          <w:noProof/>
        </w:rPr>
        <w:instrText xml:space="preserve">54707155 \h  \* MERGEFORMAT </w:instrText>
      </w:r>
      <w:r>
        <w:rPr>
          <w:noProof/>
        </w:rPr>
      </w:r>
      <w:r>
        <w:rPr>
          <w:noProof/>
        </w:rPr>
        <w:fldChar w:fldCharType="separate"/>
      </w:r>
      <w:r>
        <w:rPr>
          <w:noProof/>
        </w:rPr>
        <w:t>Figure 1</w:t>
      </w:r>
      <w:r>
        <w:rPr>
          <w:noProof/>
        </w:rPr>
        <w:fldChar w:fldCharType="end"/>
      </w:r>
      <w:r>
        <w:rPr>
          <w:noProof/>
        </w:rPr>
        <w:t>).</w:t>
      </w:r>
    </w:p>
    <w:p w:rsidR="00B60846" w:rsidRDefault="008069FF">
      <w:pPr>
        <w:pStyle w:val="Caption"/>
        <w:rPr>
          <w:noProof/>
        </w:rPr>
      </w:pPr>
      <w:bookmarkStart w:id="32" w:name="_Ref54707155"/>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32"/>
      <w:r>
        <w:rPr>
          <w:noProof/>
        </w:rPr>
        <w:t>: Number of PCIs per infrastructure category per PCI list</w:t>
      </w:r>
    </w:p>
    <w:p w:rsidR="00B60846" w:rsidRDefault="008069FF">
      <w:pPr>
        <w:jc w:val="center"/>
        <w:rPr>
          <w:noProof/>
        </w:rPr>
      </w:pPr>
      <w:r>
        <w:rPr>
          <w:noProof/>
          <w:lang w:eastAsia="en-GB"/>
        </w:rPr>
        <w:drawing>
          <wp:inline distT="0" distB="0" distL="0" distR="0">
            <wp:extent cx="4044950" cy="1998980"/>
            <wp:effectExtent l="0" t="0" r="0" b="1270"/>
            <wp:docPr id="6" name="Chart 6">
              <a:extLst xmlns:a="http://schemas.openxmlformats.org/drawingml/2006/main">
                <a:ext uri="{FF2B5EF4-FFF2-40B4-BE49-F238E27FC236}">
                  <a16:creationId xmlns:a16="http://schemas.microsoft.com/office/drawing/2014/main" id="{272F36FF-2340-43E2-AB9C-14B80DE98764}"/>
                </a:ext>
                <a:ext uri="{147F2762-F138-4A5C-976F-8EAC2B608ADB}">
                  <a16:predDERef xmlns:a16="http://schemas.microsoft.com/office/drawing/2014/main" pred="{78448559-4402-4084-9C54-7738444B5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0846" w:rsidRDefault="008069FF">
      <w:pPr>
        <w:rPr>
          <w:noProof/>
        </w:rPr>
      </w:pPr>
      <w:r>
        <w:rPr>
          <w:noProof/>
        </w:rPr>
        <w:t>There is no automatism between the PCI status and CEF fun</w:t>
      </w:r>
      <w:r>
        <w:rPr>
          <w:noProof/>
        </w:rPr>
        <w:t>ding. Most PCIs are expected to be commercially viable and financed through regulated network tariffs, CEF funding for works is considered as ‘last resort option’ for the financing of PCIs. CEF is designed to address the gap between the socioeconomic value</w:t>
      </w:r>
      <w:r>
        <w:rPr>
          <w:noProof/>
        </w:rPr>
        <w:t xml:space="preserve"> at regional/European level (such as security of supply, innovation and solidarity) and the commercial viability of projects. CEF promotes cooperation between countries to develop and implement energy interconnection PCIs that otherwise would not happen. T</w:t>
      </w:r>
      <w:r>
        <w:rPr>
          <w:noProof/>
        </w:rPr>
        <w:t>his is especially the case for cross-border projects located in countries with smaller population sizes or in a more remote location, where energy tariffs would need to be increased substantially to cover the investment needs.</w:t>
      </w:r>
    </w:p>
    <w:p w:rsidR="00B60846" w:rsidRDefault="008069FF">
      <w:pPr>
        <w:rPr>
          <w:noProof/>
        </w:rPr>
      </w:pPr>
      <w:r>
        <w:rPr>
          <w:noProof/>
        </w:rPr>
        <w:t>The key elements of the TEN-E</w:t>
      </w:r>
      <w:r>
        <w:rPr>
          <w:noProof/>
        </w:rPr>
        <w:t xml:space="preserve"> Regulation are summarised in </w:t>
      </w:r>
      <w:r>
        <w:rPr>
          <w:noProof/>
        </w:rPr>
        <w:fldChar w:fldCharType="begin"/>
      </w:r>
      <w:r>
        <w:rPr>
          <w:noProof/>
        </w:rPr>
        <w:instrText xml:space="preserve"> REF _Ref55475555 \h  \* MERGEFORMAT </w:instrText>
      </w:r>
      <w:r>
        <w:rPr>
          <w:noProof/>
        </w:rPr>
      </w:r>
      <w:r>
        <w:rPr>
          <w:noProof/>
        </w:rPr>
        <w:fldChar w:fldCharType="separate"/>
      </w:r>
      <w:r>
        <w:rPr>
          <w:noProof/>
        </w:rPr>
        <w:t>Figure 2</w:t>
      </w:r>
      <w:r>
        <w:rPr>
          <w:noProof/>
        </w:rPr>
        <w:fldChar w:fldCharType="end"/>
      </w:r>
      <w:r>
        <w:rPr>
          <w:noProof/>
        </w:rPr>
        <w:t xml:space="preserve"> and Annex 5. </w:t>
      </w:r>
    </w:p>
    <w:p w:rsidR="00B60846" w:rsidRDefault="008069FF">
      <w:pPr>
        <w:pStyle w:val="Caption"/>
        <w:rPr>
          <w:noProof/>
        </w:rPr>
      </w:pPr>
      <w:bookmarkStart w:id="33" w:name="_Ref55475555"/>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3"/>
      <w:r>
        <w:rPr>
          <w:noProof/>
        </w:rPr>
        <w:t>: Key elements of the TEN-E Regulation</w:t>
      </w:r>
    </w:p>
    <w:p w:rsidR="00B60846" w:rsidRDefault="008069FF">
      <w:pPr>
        <w:jc w:val="center"/>
        <w:rPr>
          <w:noProof/>
        </w:rPr>
      </w:pPr>
      <w:r>
        <w:rPr>
          <w:noProof/>
          <w:lang w:eastAsia="en-GB"/>
        </w:rPr>
        <w:drawing>
          <wp:inline distT="0" distB="0" distL="0" distR="0">
            <wp:extent cx="4622363" cy="2496158"/>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4053" cy="2513271"/>
                    </a:xfrm>
                    <a:prstGeom prst="rect">
                      <a:avLst/>
                    </a:prstGeom>
                    <a:noFill/>
                  </pic:spPr>
                </pic:pic>
              </a:graphicData>
            </a:graphic>
          </wp:inline>
        </w:drawing>
      </w:r>
    </w:p>
    <w:p w:rsidR="00B60846" w:rsidRDefault="008069FF">
      <w:pPr>
        <w:pStyle w:val="Heading2"/>
        <w:ind w:left="1287" w:hanging="578"/>
        <w:rPr>
          <w:noProof/>
        </w:rPr>
      </w:pPr>
      <w:bookmarkStart w:id="34" w:name="_Toc55496436"/>
      <w:r>
        <w:rPr>
          <w:noProof/>
        </w:rPr>
        <w:t>Benefits of the TEN-E Regu</w:t>
      </w:r>
      <w:r>
        <w:rPr>
          <w:noProof/>
        </w:rPr>
        <w:t>lation</w:t>
      </w:r>
      <w:bookmarkEnd w:id="31"/>
      <w:bookmarkEnd w:id="34"/>
    </w:p>
    <w:p w:rsidR="00B60846" w:rsidRDefault="008069FF">
      <w:pPr>
        <w:rPr>
          <w:noProof/>
          <w:szCs w:val="24"/>
        </w:rPr>
      </w:pPr>
      <w:r>
        <w:rPr>
          <w:noProof/>
        </w:rPr>
        <w:t>The TEN-E Regulation</w:t>
      </w:r>
      <w:r>
        <w:rPr>
          <w:rStyle w:val="FootnoteReference"/>
          <w:noProof/>
        </w:rPr>
        <w:footnoteReference w:id="4"/>
      </w:r>
      <w:r>
        <w:rPr>
          <w:noProof/>
        </w:rPr>
        <w:t xml:space="preserve"> has established a new approach to cross-border energy </w:t>
      </w:r>
      <w:r>
        <w:rPr>
          <w:bCs/>
          <w:noProof/>
        </w:rPr>
        <w:t>infrastructure planning</w:t>
      </w:r>
      <w:r>
        <w:rPr>
          <w:noProof/>
        </w:rPr>
        <w:t xml:space="preserve">. It brings together stakeholders in regional groups to identify and help implement projects of common interest (PCIs) that contribute to the development of energy infrastructure priority corridors and thematic areas. </w:t>
      </w:r>
    </w:p>
    <w:p w:rsidR="00B60846" w:rsidRDefault="008069FF">
      <w:pPr>
        <w:rPr>
          <w:noProof/>
          <w:szCs w:val="24"/>
        </w:rPr>
      </w:pPr>
      <w:r>
        <w:rPr>
          <w:noProof/>
        </w:rPr>
        <w:t>In addition to an effective and cost-</w:t>
      </w:r>
      <w:r>
        <w:rPr>
          <w:noProof/>
        </w:rPr>
        <w:t xml:space="preserve">efficient approach to infrastructure planning, the regulation has improved the </w:t>
      </w:r>
      <w:r>
        <w:rPr>
          <w:bCs/>
          <w:noProof/>
        </w:rPr>
        <w:t>permitting procedures</w:t>
      </w:r>
      <w:r>
        <w:rPr>
          <w:noProof/>
        </w:rPr>
        <w:t>. It requires Member States to ensure a streamlined permit granting process for PCIs within a timeframe of 3½ year for a permitting decision. They are to re</w:t>
      </w:r>
      <w:r>
        <w:rPr>
          <w:noProof/>
        </w:rPr>
        <w:t xml:space="preserve">ceive the highest national priority status and be included in national network development plans. The regulation also provides for regulatory assistance, rules and guidance for the cross-border allocation of costs and risk-related incentives, and provides </w:t>
      </w:r>
      <w:r>
        <w:rPr>
          <w:noProof/>
        </w:rPr>
        <w:t>access to financing opportunities from the Connecting Europe Facility (CEF).</w:t>
      </w:r>
    </w:p>
    <w:p w:rsidR="00B60846" w:rsidRDefault="008069FF">
      <w:pPr>
        <w:rPr>
          <w:noProof/>
          <w:szCs w:val="24"/>
        </w:rPr>
      </w:pPr>
      <w:r>
        <w:rPr>
          <w:noProof/>
        </w:rPr>
        <w:t xml:space="preserve">The evaluation of the current TEN-E Regulation shows that it has effectively contributed to connecting Member States networks and removing bottlenecks. Market integration between </w:t>
      </w:r>
      <w:r>
        <w:rPr>
          <w:noProof/>
        </w:rPr>
        <w:t>Member States and competitiveness have improved, as reflected in the progress towards the interconnection targets and the convergence of energy prices across the EU (see Annex 5 for more details). The implementation of electricity PCIs will help most Membe</w:t>
      </w:r>
      <w:r>
        <w:rPr>
          <w:noProof/>
        </w:rPr>
        <w:t>r States reach the 10% interconnection target for 2020. As a result, the EU energy market is more integrated and competitive than it was in 2013. The projects also enable the integration of renewable electricity and power exchange across borders reducing t</w:t>
      </w:r>
      <w:r>
        <w:rPr>
          <w:noProof/>
        </w:rPr>
        <w:t xml:space="preserve">he need to curtailment. </w:t>
      </w:r>
    </w:p>
    <w:p w:rsidR="00B60846" w:rsidRDefault="008069FF">
      <w:pPr>
        <w:rPr>
          <w:noProof/>
        </w:rPr>
      </w:pPr>
      <w:r>
        <w:rPr>
          <w:noProof/>
        </w:rPr>
        <w:t>Security of supply, as one main driver behind the current TEN-E Regulation, has been significantly improved through PCIs. By the early 2020s, when the gas PCIs currently under implementation will be in operation, Europe should achi</w:t>
      </w:r>
      <w:r>
        <w:rPr>
          <w:noProof/>
        </w:rPr>
        <w:t>eve a well-interconnected and shock-resilient gas grid and all Member States will have access to at least three gas sources or the global liquefied natural gas (LNG) market, a key element to improve the Union’s energy security through the diversification o</w:t>
      </w:r>
      <w:r>
        <w:rPr>
          <w:noProof/>
        </w:rPr>
        <w:t xml:space="preserve">f gas sources. </w:t>
      </w:r>
    </w:p>
    <w:p w:rsidR="00B60846" w:rsidRDefault="008069FF">
      <w:pPr>
        <w:rPr>
          <w:noProof/>
          <w:lang w:val="en-IE"/>
        </w:rPr>
      </w:pPr>
      <w:r>
        <w:rPr>
          <w:noProof/>
          <w:lang w:val="en-IE"/>
        </w:rPr>
        <w:t>Since its adoption in 2013, TEN-E enabled the implementation of over 40 key energy infrastructure projects and further 75 projects are expected to be implemented by 2022. The financing support provided by CEF of EUR 4.7 billion in total ena</w:t>
      </w:r>
      <w:r>
        <w:rPr>
          <w:noProof/>
          <w:lang w:val="en-IE"/>
        </w:rPr>
        <w:t xml:space="preserve">bled the implementation of 95 PCIs. Since 2014, CEF has provided financing to 149 actions of which 114 (EUR 519 million) for studies and 35 (EUR 4.2 billion) for works. Of the total budget of EUR 4.7 billion, EUR 1.5 billion were allocated to gas projects </w:t>
      </w:r>
      <w:r>
        <w:rPr>
          <w:noProof/>
          <w:lang w:val="en-IE"/>
        </w:rPr>
        <w:t>and EUR 2.8 billion to electricity projects. So far, around one fifth of all PCIs have received CEF financial assistance for studies and/or works</w:t>
      </w:r>
      <w:r>
        <w:rPr>
          <w:rStyle w:val="FootnoteReference"/>
          <w:noProof/>
          <w:lang w:val="en-IE"/>
        </w:rPr>
        <w:footnoteReference w:id="5"/>
      </w:r>
      <w:r>
        <w:rPr>
          <w:noProof/>
          <w:lang w:val="en-IE"/>
        </w:rPr>
        <w:t>.</w:t>
      </w:r>
      <w:r>
        <w:rPr>
          <w:noProof/>
        </w:rPr>
        <w:t xml:space="preserve"> </w:t>
      </w:r>
    </w:p>
    <w:p w:rsidR="00B60846" w:rsidRDefault="008069FF">
      <w:pPr>
        <w:pStyle w:val="Heading2"/>
        <w:ind w:left="1287" w:hanging="578"/>
        <w:rPr>
          <w:noProof/>
        </w:rPr>
      </w:pPr>
      <w:bookmarkStart w:id="35" w:name="_Toc49351319"/>
      <w:bookmarkStart w:id="36" w:name="_Toc49357712"/>
      <w:bookmarkStart w:id="37" w:name="_Toc49359390"/>
      <w:bookmarkStart w:id="38" w:name="_Toc49359725"/>
      <w:bookmarkStart w:id="39" w:name="_Toc49507970"/>
      <w:bookmarkStart w:id="40" w:name="_Toc49508414"/>
      <w:bookmarkStart w:id="41" w:name="_Toc49512325"/>
      <w:bookmarkStart w:id="42" w:name="_Toc49514209"/>
      <w:bookmarkStart w:id="43" w:name="_Toc49516444"/>
      <w:bookmarkStart w:id="44" w:name="_Toc50028456"/>
      <w:bookmarkStart w:id="45" w:name="_Toc50056951"/>
      <w:bookmarkStart w:id="46" w:name="_Toc50452057"/>
      <w:bookmarkStart w:id="47" w:name="_Toc50573876"/>
      <w:bookmarkStart w:id="48" w:name="_Toc50581859"/>
      <w:bookmarkStart w:id="49" w:name="_Toc50582642"/>
      <w:bookmarkStart w:id="50" w:name="_Toc51168536"/>
      <w:bookmarkStart w:id="51" w:name="_Toc51169025"/>
      <w:bookmarkStart w:id="52" w:name="_Toc51231519"/>
      <w:bookmarkStart w:id="53" w:name="_Toc51235455"/>
      <w:bookmarkStart w:id="54" w:name="_Toc51237245"/>
      <w:bookmarkStart w:id="55" w:name="_Toc51238630"/>
      <w:bookmarkStart w:id="56" w:name="_Toc51239355"/>
      <w:bookmarkStart w:id="57" w:name="_Toc51788267"/>
      <w:bookmarkStart w:id="58" w:name="_Toc51791805"/>
      <w:bookmarkStart w:id="59" w:name="_Toc51793237"/>
      <w:bookmarkStart w:id="60" w:name="_Toc55496437"/>
      <w:r>
        <w:rPr>
          <w:noProof/>
        </w:rPr>
        <w:t>Political context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B60846" w:rsidRDefault="008069FF">
      <w:pPr>
        <w:rPr>
          <w:noProof/>
        </w:rPr>
      </w:pPr>
      <w:r>
        <w:rPr>
          <w:noProof/>
        </w:rPr>
        <w:t>Achieving climate neutrality by 2050, starting with a 55% reduction in GHG emissions by 2</w:t>
      </w:r>
      <w:r>
        <w:rPr>
          <w:noProof/>
        </w:rPr>
        <w:t>030, is the key climate objective of the European Green Deal presented by the von der Leyen Commission in December 2019</w:t>
      </w:r>
      <w:r>
        <w:rPr>
          <w:rStyle w:val="FootnoteReference"/>
          <w:noProof/>
        </w:rPr>
        <w:footnoteReference w:id="6"/>
      </w:r>
      <w:r>
        <w:rPr>
          <w:noProof/>
        </w:rPr>
        <w:t>. With the current climate and energy policy framework, the EU is not on track to achieve carbon neutrality by mid-century. The impact assessment carried out for the climate target plan estimates that full achievement of the currently legislated 2030 energ</w:t>
      </w:r>
      <w:r>
        <w:rPr>
          <w:noProof/>
        </w:rPr>
        <w:t xml:space="preserve">y targets </w:t>
      </w:r>
      <w:r>
        <w:rPr>
          <w:noProof/>
          <w:lang w:val="en-US"/>
        </w:rPr>
        <w:t>would lead to a reduction of 60% below 1990 by 2050</w:t>
      </w:r>
      <w:r>
        <w:rPr>
          <w:noProof/>
          <w:vertAlign w:val="superscript"/>
        </w:rPr>
        <w:footnoteReference w:id="7"/>
      </w:r>
      <w:r>
        <w:rPr>
          <w:noProof/>
        </w:rPr>
        <w:t>. Adopted before the climate neutrality objective, current climate and energy legislation is thus not sufficiently ambitious to deliver a 2030 climate target of at least 55% GHG emission reducti</w:t>
      </w:r>
      <w:r>
        <w:rPr>
          <w:noProof/>
        </w:rPr>
        <w:t>ons, as proposed by the Commission</w:t>
      </w:r>
      <w:r>
        <w:rPr>
          <w:rStyle w:val="FootnoteReference"/>
          <w:noProof/>
        </w:rPr>
        <w:footnoteReference w:id="8"/>
      </w:r>
      <w:r>
        <w:rPr>
          <w:noProof/>
        </w:rPr>
        <w:t xml:space="preserve">. </w:t>
      </w:r>
    </w:p>
    <w:p w:rsidR="00B60846" w:rsidRDefault="008069FF">
      <w:pPr>
        <w:rPr>
          <w:noProof/>
        </w:rPr>
      </w:pPr>
      <w:r>
        <w:rPr>
          <w:noProof/>
        </w:rPr>
        <w:t xml:space="preserve">Energy production and consumption represent 75% of total EU GHG emissions. To achieve the 55% target and to become climate neutral by 2050 Europe needs to lower its energy consumption and transition to cleaner energy. </w:t>
      </w:r>
      <w:r>
        <w:rPr>
          <w:noProof/>
        </w:rPr>
        <w:t>Energy infrastructure is a key enabler for the energy transition as reflected in the Commission’s communication on the European Green Deal and A Clean Planet for all</w:t>
      </w:r>
      <w:r>
        <w:rPr>
          <w:noProof/>
          <w:vertAlign w:val="superscript"/>
        </w:rPr>
        <w:footnoteReference w:id="9"/>
      </w:r>
      <w:r>
        <w:rPr>
          <w:noProof/>
        </w:rPr>
        <w:t>. Infrastructure is a long-lived asset and will therefore need to be consistent with the c</w:t>
      </w:r>
      <w:r>
        <w:rPr>
          <w:noProof/>
        </w:rPr>
        <w:t>limate neutrality objective so as to enable rapid and cost-effective decarbonisation of the energy system and more broadly the economy. This will require stepping up electrification of the economy; the average annual investments needed for the period 2021-</w:t>
      </w:r>
      <w:r>
        <w:rPr>
          <w:noProof/>
        </w:rPr>
        <w:t>2030 amount to EUR 50.5 billion for the power grid including both the transmission and distribution networks – more than twice the investments in the period 2011-2020</w:t>
      </w:r>
      <w:r>
        <w:rPr>
          <w:noProof/>
          <w:vertAlign w:val="superscript"/>
        </w:rPr>
        <w:footnoteReference w:id="10"/>
      </w:r>
      <w:r>
        <w:rPr>
          <w:noProof/>
        </w:rPr>
        <w:t xml:space="preserve">. </w:t>
      </w:r>
    </w:p>
    <w:p w:rsidR="00B60846" w:rsidRDefault="008069FF">
      <w:pPr>
        <w:rPr>
          <w:noProof/>
        </w:rPr>
      </w:pPr>
      <w:r>
        <w:rPr>
          <w:noProof/>
        </w:rPr>
        <w:t>Furthermore, to achieve the levels of renewable energy for a 55% reduction of GHG emis</w:t>
      </w:r>
      <w:r>
        <w:rPr>
          <w:noProof/>
        </w:rPr>
        <w:t xml:space="preserve">sions by 2030, Europe needs to significantly scale up renewable electricity generation. This requires investment in offshore renewable energy, which can bring the scale that is needed. The Commission adopted an EU strategy for offshore renewable energy in </w:t>
      </w:r>
      <w:r>
        <w:rPr>
          <w:noProof/>
        </w:rPr>
        <w:t>November</w:t>
      </w:r>
      <w:r>
        <w:rPr>
          <w:rStyle w:val="FootnoteReference"/>
          <w:noProof/>
        </w:rPr>
        <w:footnoteReference w:id="11"/>
      </w:r>
      <w:r>
        <w:rPr>
          <w:noProof/>
        </w:rPr>
        <w:t>. In order to achieve the required massive scale up of offshore renewable energy in the whole EU up to 2050, the strategy will also address the issue of coordinating long-term planning and development of offshore and onshore electricity grids, whi</w:t>
      </w:r>
      <w:r>
        <w:rPr>
          <w:noProof/>
        </w:rPr>
        <w:t>ch are assessed as part of this impact assessment. Other on-going policy initiatives of direct relevance include the revision of the TEN-T Regulation</w:t>
      </w:r>
      <w:r>
        <w:rPr>
          <w:noProof/>
          <w:vertAlign w:val="superscript"/>
        </w:rPr>
        <w:footnoteReference w:id="12"/>
      </w:r>
      <w:r>
        <w:rPr>
          <w:noProof/>
        </w:rPr>
        <w:t xml:space="preserve"> and the EU taxonomy for sustainable investments</w:t>
      </w:r>
      <w:r>
        <w:rPr>
          <w:noProof/>
          <w:vertAlign w:val="superscript"/>
        </w:rPr>
        <w:footnoteReference w:id="13"/>
      </w:r>
      <w:r>
        <w:rPr>
          <w:noProof/>
        </w:rPr>
        <w:t>, as well as the review of the Renewable Energy Directive</w:t>
      </w:r>
      <w:r>
        <w:rPr>
          <w:noProof/>
        </w:rPr>
        <w:t xml:space="preserve"> envisaged for 2021.  </w:t>
      </w:r>
    </w:p>
    <w:p w:rsidR="00B60846" w:rsidRDefault="008069FF">
      <w:pPr>
        <w:rPr>
          <w:noProof/>
        </w:rPr>
      </w:pPr>
      <w:r>
        <w:rPr>
          <w:noProof/>
        </w:rPr>
        <w:t>At the same time, the Commission’s communication on energy system integration</w:t>
      </w:r>
      <w:r>
        <w:rPr>
          <w:rStyle w:val="FootnoteReference"/>
          <w:noProof/>
        </w:rPr>
        <w:footnoteReference w:id="14"/>
      </w:r>
      <w:r>
        <w:rPr>
          <w:noProof/>
        </w:rPr>
        <w:t xml:space="preserve"> underlines the need for integrated energy infrastructure planning across energy carriers, infrastructures, and consumption sectors. Such system integratio</w:t>
      </w:r>
      <w:r>
        <w:rPr>
          <w:noProof/>
        </w:rPr>
        <w:t>n addresses in particular the decarbonisation needs of the hard to abate sectors, such as industry or transport, where electrification can be technically or economically challenging. Such investments include emerging technologies such as hydrogen, power-to</w:t>
      </w:r>
      <w:r>
        <w:rPr>
          <w:noProof/>
        </w:rPr>
        <w:t>-gas which are progressing towards commercial large-scale deployment.</w:t>
      </w:r>
    </w:p>
    <w:p w:rsidR="00B60846" w:rsidRDefault="008069FF">
      <w:pPr>
        <w:rPr>
          <w:noProof/>
        </w:rPr>
      </w:pPr>
      <w:r>
        <w:rPr>
          <w:noProof/>
        </w:rPr>
        <w:t>Already in March 2019, as part of the political agreement between the European Parliament and the Council on the Connecting Europe Facility for the period 2021-2027, the co-legislators a</w:t>
      </w:r>
      <w:r>
        <w:rPr>
          <w:noProof/>
        </w:rPr>
        <w:t>greed that the Commission should evaluate the effectiveness and policy coherence of the TEN-E Regulation and submit an evaluation to the European Parliament and to the Council by 31 December 2020. The Commission is requested, if appropriate, to accompany t</w:t>
      </w:r>
      <w:r>
        <w:rPr>
          <w:noProof/>
        </w:rPr>
        <w:t>he evaluation by a legislative proposal for the revision of the guidelines.</w:t>
      </w:r>
      <w:r>
        <w:rPr>
          <w:noProof/>
          <w:vertAlign w:val="superscript"/>
        </w:rPr>
        <w:footnoteReference w:id="15"/>
      </w:r>
      <w:r>
        <w:rPr>
          <w:noProof/>
        </w:rPr>
        <w:t xml:space="preserve"> Stakeholders as well have called for this revision to align the TEN-E policy framework with the new policy context.</w:t>
      </w:r>
      <w:bookmarkStart w:id="61" w:name="_Toc39234298"/>
      <w:bookmarkStart w:id="62" w:name="_Toc39234409"/>
      <w:bookmarkStart w:id="63" w:name="_Toc49351320"/>
      <w:bookmarkStart w:id="64" w:name="_Toc49357713"/>
      <w:bookmarkStart w:id="65" w:name="_Toc49359391"/>
      <w:bookmarkStart w:id="66" w:name="_Toc49359726"/>
      <w:bookmarkStart w:id="67" w:name="_Toc49507971"/>
      <w:bookmarkStart w:id="68" w:name="_Toc49508415"/>
      <w:bookmarkStart w:id="69" w:name="_Toc49512326"/>
      <w:bookmarkStart w:id="70" w:name="_Toc49514210"/>
      <w:bookmarkStart w:id="71" w:name="_Toc49516445"/>
      <w:bookmarkStart w:id="72" w:name="_Toc50028457"/>
      <w:bookmarkStart w:id="73" w:name="_Toc50056952"/>
      <w:bookmarkStart w:id="74" w:name="_Toc50452058"/>
      <w:bookmarkStart w:id="75" w:name="_Toc50573877"/>
      <w:bookmarkStart w:id="76" w:name="_Toc50581860"/>
      <w:bookmarkStart w:id="77" w:name="_Toc50582643"/>
      <w:bookmarkStart w:id="78" w:name="_Toc51168539"/>
      <w:bookmarkStart w:id="79" w:name="_Toc51169028"/>
      <w:bookmarkStart w:id="80" w:name="_Toc51231522"/>
      <w:bookmarkStart w:id="81" w:name="_Toc51235458"/>
      <w:bookmarkStart w:id="82" w:name="_Toc51237248"/>
      <w:bookmarkStart w:id="83" w:name="_Toc51238633"/>
      <w:bookmarkStart w:id="84" w:name="_Toc51239358"/>
      <w:bookmarkStart w:id="85" w:name="_Toc51788270"/>
      <w:bookmarkStart w:id="86" w:name="_Toc51791808"/>
      <w:bookmarkStart w:id="87" w:name="_Toc51793240"/>
    </w:p>
    <w:p w:rsidR="00B60846" w:rsidRDefault="008069FF">
      <w:pPr>
        <w:pStyle w:val="Heading1"/>
        <w:rPr>
          <w:noProof/>
        </w:rPr>
      </w:pPr>
      <w:bookmarkStart w:id="88" w:name="_Toc55496438"/>
      <w:r>
        <w:rPr>
          <w:noProof/>
        </w:rPr>
        <w:t>Problem definition</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B60846" w:rsidRDefault="008069FF">
      <w:pPr>
        <w:rPr>
          <w:noProof/>
        </w:rPr>
      </w:pPr>
      <w:r>
        <w:rPr>
          <w:noProof/>
        </w:rPr>
        <w:t>An evaluation of the current TEN-E Regulatio</w:t>
      </w:r>
      <w:r>
        <w:rPr>
          <w:noProof/>
        </w:rPr>
        <w:t>n was carried out back-to-back with this impact assessment to identify potential shortcomings. The main results can be summarised as follows (for more details see Annex 5):</w:t>
      </w:r>
    </w:p>
    <w:p w:rsidR="00B60846" w:rsidRDefault="008069FF">
      <w:pPr>
        <w:pStyle w:val="ListParagraph"/>
        <w:numPr>
          <w:ilvl w:val="0"/>
          <w:numId w:val="39"/>
        </w:numPr>
        <w:rPr>
          <w:noProof/>
        </w:rPr>
      </w:pPr>
      <w:r>
        <w:rPr>
          <w:noProof/>
        </w:rPr>
        <w:t>The TEN-E Regulation has effectively improved integration of Member States’ network</w:t>
      </w:r>
      <w:r>
        <w:rPr>
          <w:noProof/>
        </w:rPr>
        <w:t>s, stimulated energy trade and hence contributed to EU competitiveness, as shown in the evidence on interconnection targets and energy prices and their convergence across the EU.</w:t>
      </w:r>
    </w:p>
    <w:p w:rsidR="00B60846" w:rsidRDefault="008069FF">
      <w:pPr>
        <w:pStyle w:val="ListParagraph"/>
        <w:numPr>
          <w:ilvl w:val="0"/>
          <w:numId w:val="39"/>
        </w:numPr>
        <w:rPr>
          <w:noProof/>
        </w:rPr>
      </w:pPr>
      <w:r>
        <w:rPr>
          <w:noProof/>
        </w:rPr>
        <w:t>PCIs in electricity and in particular in gas have strongly contributed to sec</w:t>
      </w:r>
      <w:r>
        <w:rPr>
          <w:noProof/>
        </w:rPr>
        <w:t xml:space="preserve">urity of supply as a main contextual driver to the design of the TEN-E Regulation. For gas, the infrastructure is now well connected and supply resilience has improved substantially since 2013. </w:t>
      </w:r>
    </w:p>
    <w:p w:rsidR="00B60846" w:rsidRDefault="008069FF">
      <w:pPr>
        <w:pStyle w:val="ListParagraph"/>
        <w:numPr>
          <w:ilvl w:val="0"/>
          <w:numId w:val="39"/>
        </w:numPr>
        <w:rPr>
          <w:noProof/>
        </w:rPr>
      </w:pPr>
      <w:r>
        <w:rPr>
          <w:noProof/>
        </w:rPr>
        <w:t>Regional cooperation in Regional Groups and through cross-bor</w:t>
      </w:r>
      <w:r>
        <w:rPr>
          <w:noProof/>
        </w:rPr>
        <w:t>der cost allocation is an important enabler for project implementation. However, in many cases the cross-border cost allocation did not result in reducing the financing gap of the project, as intended.</w:t>
      </w:r>
    </w:p>
    <w:p w:rsidR="00B60846" w:rsidRDefault="008069FF">
      <w:pPr>
        <w:pStyle w:val="ListParagraph"/>
        <w:numPr>
          <w:ilvl w:val="0"/>
          <w:numId w:val="39"/>
        </w:numPr>
        <w:rPr>
          <w:noProof/>
        </w:rPr>
      </w:pPr>
      <w:r>
        <w:rPr>
          <w:noProof/>
        </w:rPr>
        <w:t xml:space="preserve">While permitting procedures have been shortened, long </w:t>
      </w:r>
      <w:r>
        <w:rPr>
          <w:noProof/>
        </w:rPr>
        <w:t>permitting procedures persist in some cases. While the underlying reasons are mainly related to national implementation and outside the scope of the TEN-E Regulation and need to be addressed through an increased focus on implementation and enforcement, the</w:t>
      </w:r>
      <w:r>
        <w:rPr>
          <w:noProof/>
        </w:rPr>
        <w:t>re are elements that can be improved also at Union level.</w:t>
      </w:r>
    </w:p>
    <w:p w:rsidR="00B60846" w:rsidRDefault="008069FF">
      <w:pPr>
        <w:pStyle w:val="ListParagraph"/>
        <w:numPr>
          <w:ilvl w:val="0"/>
          <w:numId w:val="39"/>
        </w:numPr>
        <w:rPr>
          <w:noProof/>
        </w:rPr>
      </w:pPr>
      <w:r>
        <w:rPr>
          <w:noProof/>
        </w:rPr>
        <w:t>CEF financial assistance was an important factor, grants for studies helped projects to reduce risks in the early stages of development while grants for works supported projects addressing key bottl</w:t>
      </w:r>
      <w:r>
        <w:rPr>
          <w:noProof/>
        </w:rPr>
        <w:t>enecks that market finance could not sufficiently address.</w:t>
      </w:r>
    </w:p>
    <w:p w:rsidR="00B60846" w:rsidRDefault="008069FF">
      <w:pPr>
        <w:pStyle w:val="ListParagraph"/>
        <w:numPr>
          <w:ilvl w:val="0"/>
          <w:numId w:val="39"/>
        </w:numPr>
        <w:rPr>
          <w:noProof/>
        </w:rPr>
      </w:pPr>
      <w:r>
        <w:rPr>
          <w:noProof/>
        </w:rPr>
        <w:t xml:space="preserve">While the objectives of the current Regulation remain largely valid, their focus on 2020/30 targets must be upgraded to reflect the new political context and the 2050 climate neutrality objective  </w:t>
      </w:r>
      <w:r>
        <w:rPr>
          <w:noProof/>
        </w:rPr>
        <w:t>under the European Green Deal.</w:t>
      </w:r>
    </w:p>
    <w:p w:rsidR="00B60846" w:rsidRDefault="008069FF">
      <w:pPr>
        <w:pStyle w:val="ListParagraph"/>
        <w:numPr>
          <w:ilvl w:val="0"/>
          <w:numId w:val="39"/>
        </w:numPr>
        <w:rPr>
          <w:noProof/>
        </w:rPr>
      </w:pPr>
      <w:r>
        <w:rPr>
          <w:noProof/>
        </w:rPr>
        <w:t>Besides the new political context and objectives, technological development has been rapid in the past decade. This progress should be taken into account in the infrastructure categories covered by the Regulation, the PCI sel</w:t>
      </w:r>
      <w:r>
        <w:rPr>
          <w:noProof/>
        </w:rPr>
        <w:t>ection criteria as well as the priority corridors and thematic areas.</w:t>
      </w:r>
    </w:p>
    <w:p w:rsidR="00B60846" w:rsidRDefault="008069FF">
      <w:pPr>
        <w:pStyle w:val="ListParagraph"/>
        <w:numPr>
          <w:ilvl w:val="0"/>
          <w:numId w:val="39"/>
        </w:numPr>
        <w:rPr>
          <w:noProof/>
        </w:rPr>
      </w:pPr>
      <w:r>
        <w:rPr>
          <w:noProof/>
        </w:rPr>
        <w:t>The TYNDP process as basis for the identification of PCIs has proven effective. However, while the ENTSOs and TSOs have an important role to play in the process, there is a need for more</w:t>
      </w:r>
      <w:r>
        <w:rPr>
          <w:noProof/>
        </w:rPr>
        <w:t xml:space="preserve"> scrutiny, in particular as regards defining the scenarios for the future, setting long-term infrastructure needs and bottlenecks and assessing individual projects, to enhance trust in the process.</w:t>
      </w:r>
    </w:p>
    <w:p w:rsidR="00B60846" w:rsidRDefault="008069FF">
      <w:pPr>
        <w:rPr>
          <w:noProof/>
        </w:rPr>
      </w:pPr>
      <w:r>
        <w:rPr>
          <w:noProof/>
        </w:rPr>
        <w:t>It is worth noting that the evaluation did not look specif</w:t>
      </w:r>
      <w:r>
        <w:rPr>
          <w:noProof/>
        </w:rPr>
        <w:t xml:space="preserve">ically at the issue of offshore grids as this was not a specific objective of the current TEN-E Regulation. As mentioned above, enhancing renewable energy and specifically offshore is a necessary part of the energy transition to achieve climate neutrality </w:t>
      </w:r>
      <w:r>
        <w:rPr>
          <w:noProof/>
        </w:rPr>
        <w:t>by 2050 in a cost-effective manner. The problems defined in this section and the policy options defined in Section 5 build on the results of the evaluation and on the numerous comments received from stakeholders (see Annex 2).</w:t>
      </w:r>
      <w:r>
        <w:rPr>
          <w:rStyle w:val="FootnoteReference"/>
          <w:noProof/>
        </w:rPr>
        <w:footnoteReference w:id="16"/>
      </w:r>
      <w:r>
        <w:rPr>
          <w:noProof/>
        </w:rPr>
        <w:t xml:space="preserve"> </w:t>
      </w:r>
    </w:p>
    <w:p w:rsidR="00B60846" w:rsidRDefault="008069FF">
      <w:pPr>
        <w:pStyle w:val="Heading2"/>
        <w:rPr>
          <w:noProof/>
        </w:rPr>
      </w:pPr>
      <w:bookmarkStart w:id="89" w:name="_Toc49351321"/>
      <w:bookmarkStart w:id="90" w:name="_Toc49357714"/>
      <w:bookmarkStart w:id="91" w:name="_Toc49359392"/>
      <w:bookmarkStart w:id="92" w:name="_Toc49359727"/>
      <w:bookmarkStart w:id="93" w:name="_Toc49507972"/>
      <w:bookmarkStart w:id="94" w:name="_Toc49508416"/>
      <w:bookmarkStart w:id="95" w:name="_Toc49512327"/>
      <w:bookmarkStart w:id="96" w:name="_Toc49514211"/>
      <w:bookmarkStart w:id="97" w:name="_Toc49516446"/>
      <w:bookmarkStart w:id="98" w:name="_Toc50028458"/>
      <w:bookmarkStart w:id="99" w:name="_Toc50056953"/>
      <w:bookmarkStart w:id="100" w:name="_Toc50452059"/>
      <w:bookmarkStart w:id="101" w:name="_Toc50573878"/>
      <w:bookmarkStart w:id="102" w:name="_Toc50581861"/>
      <w:bookmarkStart w:id="103" w:name="_Toc50582644"/>
      <w:bookmarkStart w:id="104" w:name="_Toc51168540"/>
      <w:bookmarkStart w:id="105" w:name="_Toc51169029"/>
      <w:bookmarkStart w:id="106" w:name="_Toc51231523"/>
      <w:bookmarkStart w:id="107" w:name="_Toc51235459"/>
      <w:bookmarkStart w:id="108" w:name="_Toc51237249"/>
      <w:bookmarkStart w:id="109" w:name="_Toc51238634"/>
      <w:bookmarkStart w:id="110" w:name="_Toc51239359"/>
      <w:bookmarkStart w:id="111" w:name="_Ref51682542"/>
      <w:bookmarkStart w:id="112" w:name="_Toc51788271"/>
      <w:bookmarkStart w:id="113" w:name="_Toc51791809"/>
      <w:bookmarkStart w:id="114" w:name="_Toc51793241"/>
      <w:bookmarkStart w:id="115" w:name="_Toc55496439"/>
      <w:r>
        <w:rPr>
          <w:noProof/>
        </w:rPr>
        <w:t>Problem 1: Type and scale o</w:t>
      </w:r>
      <w:r>
        <w:rPr>
          <w:noProof/>
        </w:rPr>
        <w:t>f cross-border infrastructure developments are not fully aligned with EU energy policy objectives in particular as regards the European Green Deal and the climate neutrality</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noProof/>
        </w:rPr>
        <w:t xml:space="preserve"> objective</w:t>
      </w:r>
      <w:bookmarkEnd w:id="115"/>
    </w:p>
    <w:p w:rsidR="00B60846" w:rsidRDefault="008069FF">
      <w:pPr>
        <w:rPr>
          <w:noProof/>
        </w:rPr>
      </w:pPr>
      <w:r>
        <w:rPr>
          <w:noProof/>
        </w:rPr>
        <w:t>The increased 2030 climate target and the 2050 climate-neutrality object</w:t>
      </w:r>
      <w:r>
        <w:rPr>
          <w:noProof/>
        </w:rPr>
        <w:t>ive of the European Green Deal and the Communication “A Clean Planet for All” require a profound transition of the European energy system, both on the supply and the demand side. Energy will be produced and consumed in a different manner and in different p</w:t>
      </w:r>
      <w:r>
        <w:rPr>
          <w:noProof/>
        </w:rPr>
        <w:t xml:space="preserve">laces than today. The role of electricity will increase radically, but there will also be an increasing role for renewable and low carbon gases. </w:t>
      </w:r>
    </w:p>
    <w:p w:rsidR="00B60846" w:rsidRDefault="008069FF">
      <w:pPr>
        <w:rPr>
          <w:noProof/>
        </w:rPr>
      </w:pPr>
      <w:r>
        <w:rPr>
          <w:noProof/>
        </w:rPr>
        <w:t>The Commission’s analysis shows that by 2050 more than 80% of electricity will stem from renewable energy sour</w:t>
      </w:r>
      <w:r>
        <w:rPr>
          <w:noProof/>
        </w:rPr>
        <w:t>ces, to an increasing extent located offshore</w:t>
      </w:r>
      <w:r>
        <w:rPr>
          <w:rStyle w:val="FootnoteReference"/>
          <w:noProof/>
        </w:rPr>
        <w:footnoteReference w:id="17"/>
      </w:r>
      <w:r>
        <w:rPr>
          <w:noProof/>
        </w:rPr>
        <w:t>. EU renewable electricity production should as a minimum double from today’s 32% share of renewable electricity in the energy mix to around 65% share in 2030</w:t>
      </w:r>
      <w:r>
        <w:rPr>
          <w:rStyle w:val="FootnoteReference"/>
          <w:noProof/>
        </w:rPr>
        <w:footnoteReference w:id="18"/>
      </w:r>
      <w:r>
        <w:rPr>
          <w:noProof/>
        </w:rPr>
        <w:t>. To achieve the European Green Deal objective of c</w:t>
      </w:r>
      <w:r>
        <w:rPr>
          <w:noProof/>
        </w:rPr>
        <w:t>limate neutrality 2050 and 55% GHG emission reduction by 2030, the EU needs to significantly scale up the generation of renewable energy. For the upscaled deployment of renewable generation to have real economic, climate and societal value, the relevant gr</w:t>
      </w:r>
      <w:r>
        <w:rPr>
          <w:noProof/>
        </w:rPr>
        <w:t>id infrastructure should be in place. Electricity grids are essential to transport renewable energy over medium to long distances, from production sites to the sites of consumption, and for integrating the European energy markets. An annual average investm</w:t>
      </w:r>
      <w:r>
        <w:rPr>
          <w:noProof/>
        </w:rPr>
        <w:t>ent of EUR 50.5 billion are needed in the electricity transmission and distribution grids, to achieve the 2030 targets alone. This compares to an annual average investment of EUR 24 billion in the period 2011-2020. This means that the grid investment shoul</w:t>
      </w:r>
      <w:r>
        <w:rPr>
          <w:noProof/>
        </w:rPr>
        <w:t>d double from the previous decade.</w:t>
      </w:r>
    </w:p>
    <w:p w:rsidR="00B60846" w:rsidRDefault="008069FF">
      <w:pPr>
        <w:rPr>
          <w:noProof/>
        </w:rPr>
      </w:pPr>
      <w:r>
        <w:rPr>
          <w:noProof/>
        </w:rPr>
        <w:t>The Commission’s impact assessment for the 2030 targets shows that the offshore wind capacity in Europe should increase to about 280 GW by 2050 in order to meet the 2030 energy and climate objectives.</w:t>
      </w:r>
      <w:r>
        <w:rPr>
          <w:noProof/>
          <w:vertAlign w:val="superscript"/>
        </w:rPr>
        <w:footnoteReference w:id="19"/>
      </w:r>
      <w:r>
        <w:rPr>
          <w:noProof/>
        </w:rPr>
        <w:t xml:space="preserve"> This represents an </w:t>
      </w:r>
      <w:r>
        <w:rPr>
          <w:noProof/>
        </w:rPr>
        <w:t>increase of about 25 times compared to the current situation. As much as two thirds of the costs of the foreseen upscale in offshore renewable energy is related to infrastructure, a large part of which will be of cross-border nature. Over the last 30 years</w:t>
      </w:r>
      <w:r>
        <w:rPr>
          <w:noProof/>
        </w:rPr>
        <w:t xml:space="preserve">, about 12 GW offshore wind has been deployed in Europe, mainly as national projects. Continuing with the current deployment pace, offshore wind and related infrastructure would reach about 25 GW in 2050, or  1/10 of the required 280 GW to achieve climate </w:t>
      </w:r>
      <w:r>
        <w:rPr>
          <w:noProof/>
        </w:rPr>
        <w:t>neutrality.</w:t>
      </w:r>
    </w:p>
    <w:p w:rsidR="00B60846" w:rsidRDefault="008069FF">
      <w:pPr>
        <w:rPr>
          <w:rFonts w:cs="Arial"/>
          <w:noProof/>
        </w:rPr>
      </w:pPr>
      <w:r>
        <w:rPr>
          <w:noProof/>
        </w:rPr>
        <w:t xml:space="preserve">At the same time, all existing scenarios modelling pathways for the achievement of the climate neutrality objective by 2050 require a substantial role for renewable and low-carbon gases in the energy mix, since a 100% electrified energy system </w:t>
      </w:r>
      <w:r>
        <w:rPr>
          <w:noProof/>
        </w:rPr>
        <w:t>is not considered feasible.</w:t>
      </w:r>
      <w:r>
        <w:rPr>
          <w:rStyle w:val="FootnoteReference"/>
          <w:noProof/>
        </w:rPr>
        <w:footnoteReference w:id="20"/>
      </w:r>
      <w:r>
        <w:rPr>
          <w:noProof/>
        </w:rPr>
        <w:t xml:space="preserve"> Therefore, by 2050 the use of unabated natural gas </w:t>
      </w:r>
      <w:r>
        <w:rPr>
          <w:rFonts w:cs="Arial"/>
          <w:noProof/>
        </w:rPr>
        <w:t>is to be reduced by 66 - 71%, with a steep increase of renewable and low-carbon gases, with hydrogen accounting for approximately 46% - 49% of all renewable and low-carbon gase</w:t>
      </w:r>
      <w:r>
        <w:rPr>
          <w:rFonts w:cs="Arial"/>
          <w:noProof/>
        </w:rPr>
        <w:t>s in 2050. However, there is currently very limited dedicated or retrofitted infrastructure in place to transport and trade hydrogen across borders from one Member State to another. By 2030, total investments needs in hydrogen electrolysers are estimated b</w:t>
      </w:r>
      <w:r>
        <w:rPr>
          <w:rFonts w:cs="Arial"/>
          <w:noProof/>
        </w:rPr>
        <w:t>etween EUR 24-42 billion. About EUR 65 billion is needed for hydrogen transport, distribution and storage</w:t>
      </w:r>
      <w:hyperlink r:id="rId20" w:anchor="footnote48" w:history="1">
        <w:r>
          <w:rPr>
            <w:rStyle w:val="FootnoteReference"/>
            <w:noProof/>
          </w:rPr>
          <w:t>47</w:t>
        </w:r>
      </w:hyperlink>
      <w:r>
        <w:rPr>
          <w:rFonts w:cs="Arial"/>
          <w:noProof/>
        </w:rPr>
        <w:t>.</w:t>
      </w:r>
    </w:p>
    <w:p w:rsidR="00B60846" w:rsidRDefault="008069FF">
      <w:pPr>
        <w:rPr>
          <w:noProof/>
        </w:rPr>
      </w:pPr>
      <w:r>
        <w:rPr>
          <w:rFonts w:cs="Arial"/>
          <w:noProof/>
        </w:rPr>
        <w:t xml:space="preserve">These forecasts, and in particular the impact assessment accompanying the 2030 climate target plan, show that the energy mix of the future will be very different from the one today. The current energy infrastructure investments are clearly insufficient to </w:t>
      </w:r>
      <w:r>
        <w:rPr>
          <w:rFonts w:cs="Arial"/>
          <w:noProof/>
        </w:rPr>
        <w:t xml:space="preserve">transform and build the energy infrastructure of the future. This also means infrastructure needs to be in place to </w:t>
      </w:r>
      <w:r>
        <w:rPr>
          <w:noProof/>
        </w:rPr>
        <w:t xml:space="preserve">support this European energy transition, including rapid electrification, scaling up of renewable electricity generation, the increased use </w:t>
      </w:r>
      <w:r>
        <w:rPr>
          <w:noProof/>
        </w:rPr>
        <w:t>of renewable and low-carbon gases, energy system integration and a higher uptake of innovative solutions. Given the role of clean hydrogen in the decarbonisation and as energy carrier and storage for an integrated energy system, the lack of dedicated energ</w:t>
      </w:r>
      <w:r>
        <w:rPr>
          <w:noProof/>
        </w:rPr>
        <w:t>y infrastructure for hydrogen would negatively affect the pathway to climate neutrality, especially for the decarbonisation of the industry sectors that have limited decarbonisation options available.</w:t>
      </w:r>
      <w:r>
        <w:rPr>
          <w:rStyle w:val="FootnoteReference"/>
          <w:noProof/>
        </w:rPr>
        <w:footnoteReference w:id="21"/>
      </w:r>
      <w:r>
        <w:rPr>
          <w:noProof/>
        </w:rPr>
        <w:t xml:space="preserve"> </w:t>
      </w:r>
    </w:p>
    <w:p w:rsidR="00B60846" w:rsidRDefault="008069FF">
      <w:pPr>
        <w:rPr>
          <w:noProof/>
        </w:rPr>
      </w:pPr>
      <w:r>
        <w:rPr>
          <w:noProof/>
        </w:rPr>
        <w:t xml:space="preserve">Trans-European cross-border energy infrastructures </w:t>
      </w:r>
      <w:r>
        <w:rPr>
          <w:noProof/>
        </w:rPr>
        <w:t>have to make a more important contribution to build and establish the cross-border infrastructure necessary for achieving climate neutrality. A recent JRC study assessing the impacts of replacing coal with non-CO2-emitting resources, mainly onshore wind po</w:t>
      </w:r>
      <w:r>
        <w:rPr>
          <w:noProof/>
        </w:rPr>
        <w:t>wer, by 2030 concludes that, in a power system largely based on renewables electricity, interconnectors are “a definitive enabler, not only of market integration, but also of a path towards a renewables-based power system”</w:t>
      </w:r>
      <w:r>
        <w:rPr>
          <w:rStyle w:val="FootnoteReference"/>
          <w:noProof/>
        </w:rPr>
        <w:footnoteReference w:id="22"/>
      </w:r>
      <w:r>
        <w:rPr>
          <w:noProof/>
        </w:rPr>
        <w:t>. Investments to upgrade the elec</w:t>
      </w:r>
      <w:r>
        <w:rPr>
          <w:noProof/>
        </w:rPr>
        <w:t>tricity interconnections between European regions, within the EU but also with neighbouring countries, by 53 GW would have the potential to reduce the carbon footprint of the European power system by more than a quarter in 2030. A more interconnected power</w:t>
      </w:r>
      <w:r>
        <w:rPr>
          <w:noProof/>
        </w:rPr>
        <w:t xml:space="preserve"> system would require the deployment of significantly less renewable generation capacity as well as significantly less thermal backup capacity. These findings confirm earlier studies pointing to the need and benefits of a more interconnected energy systems</w:t>
      </w:r>
      <w:r>
        <w:rPr>
          <w:noProof/>
        </w:rPr>
        <w:t xml:space="preserve"> to enable a decarbonised power system</w:t>
      </w:r>
      <w:r>
        <w:rPr>
          <w:rStyle w:val="FootnoteReference"/>
          <w:noProof/>
        </w:rPr>
        <w:footnoteReference w:id="23"/>
      </w:r>
      <w:r>
        <w:rPr>
          <w:noProof/>
        </w:rPr>
        <w:t>. Concerning the future gas infrastructure needs, the Commission’s hydrogen strategy concluded that for the required deployment of hydrogen a large-scale infrastructure network is one important element that only the E</w:t>
      </w:r>
      <w:r>
        <w:rPr>
          <w:noProof/>
        </w:rPr>
        <w:t>U and the single market can offer.</w:t>
      </w:r>
      <w:r>
        <w:rPr>
          <w:noProof/>
          <w:vertAlign w:val="superscript"/>
        </w:rPr>
        <w:footnoteReference w:id="24"/>
      </w:r>
      <w:r>
        <w:rPr>
          <w:noProof/>
        </w:rPr>
        <w:t xml:space="preserve">  </w:t>
      </w:r>
    </w:p>
    <w:p w:rsidR="00B60846" w:rsidRDefault="008069FF">
      <w:pPr>
        <w:rPr>
          <w:noProof/>
        </w:rPr>
      </w:pPr>
      <w:r>
        <w:rPr>
          <w:noProof/>
        </w:rPr>
        <w:t>A study on infrastructure needs, commissioned by the Commission, concluded that total investment needs in the trans-European transmission energy infrastructure are around EUR 200 billion, in the period between 2021 and</w:t>
      </w:r>
      <w:r>
        <w:rPr>
          <w:noProof/>
        </w:rPr>
        <w:t xml:space="preserve"> 2030.</w:t>
      </w:r>
      <w:r>
        <w:rPr>
          <w:noProof/>
          <w:vertAlign w:val="superscript"/>
        </w:rPr>
        <w:footnoteReference w:id="25"/>
      </w:r>
      <w:r>
        <w:rPr>
          <w:noProof/>
        </w:rPr>
        <w:t xml:space="preserve"> The upgrade of the electricity interconnections between European regions by 53 GW, as set out above, would require total investments of between EUR 35 and 70 billion by 2030.</w:t>
      </w:r>
      <w:r>
        <w:rPr>
          <w:rStyle w:val="FootnoteReference"/>
          <w:noProof/>
        </w:rPr>
        <w:footnoteReference w:id="26"/>
      </w:r>
      <w:r>
        <w:rPr>
          <w:noProof/>
        </w:rPr>
        <w:t xml:space="preserve">  The upscale of offshore renewable energy in Europe by 2050 has an estim</w:t>
      </w:r>
      <w:r>
        <w:rPr>
          <w:noProof/>
        </w:rPr>
        <w:t>ated cost of EUR 800 billion of which EUR 530 billion EUR is related to grid infrastructure. To reduce the costs as much as possible, a strong focus on rational grid development is key.</w:t>
      </w:r>
    </w:p>
    <w:p w:rsidR="00B60846" w:rsidRDefault="008069FF">
      <w:pPr>
        <w:rPr>
          <w:noProof/>
        </w:rPr>
      </w:pPr>
      <w:r>
        <w:rPr>
          <w:noProof/>
        </w:rPr>
        <w:t>The evaluation showed that the current TEN-E Regulation has made an im</w:t>
      </w:r>
      <w:r>
        <w:rPr>
          <w:noProof/>
        </w:rPr>
        <w:t xml:space="preserve">portant contribution in advancing cross-border energy infrastructure and in meeting energy policy objectives, and in particular security of supply. While the share of electricity PCIs has constantly increased since the first PCI list (see </w:t>
      </w:r>
      <w:r>
        <w:rPr>
          <w:noProof/>
        </w:rPr>
        <w:fldChar w:fldCharType="begin"/>
      </w:r>
      <w:r>
        <w:rPr>
          <w:noProof/>
        </w:rPr>
        <w:instrText xml:space="preserve"> REF _Ref54707155</w:instrText>
      </w:r>
      <w:r>
        <w:rPr>
          <w:noProof/>
        </w:rPr>
        <w:instrText xml:space="preserve"> \h  \* MERGEFORMAT </w:instrText>
      </w:r>
      <w:r>
        <w:rPr>
          <w:noProof/>
        </w:rPr>
      </w:r>
      <w:r>
        <w:rPr>
          <w:noProof/>
        </w:rPr>
        <w:fldChar w:fldCharType="separate"/>
      </w:r>
      <w:r>
        <w:rPr>
          <w:noProof/>
        </w:rPr>
        <w:t>Figure 1</w:t>
      </w:r>
      <w:r>
        <w:rPr>
          <w:noProof/>
        </w:rPr>
        <w:fldChar w:fldCharType="end"/>
      </w:r>
      <w:r>
        <w:rPr>
          <w:noProof/>
        </w:rPr>
        <w:t xml:space="preserve">), the share of the different sectors does not fully reflect future needs. Although transmission networks for offshore renewables are eligible under the current </w:t>
      </w:r>
      <w:r>
        <w:rPr>
          <w:noProof/>
        </w:rPr>
        <w:t>TEN-E Regulation and despite a priority corridor for offshore grid in the Northern Seas, very few offshore grid PCIs have been selected so far. The number of PCIs on smart electricity grids has never exceeded six. Gas PCIs have focussed on natural gas proj</w:t>
      </w:r>
      <w:r>
        <w:rPr>
          <w:noProof/>
        </w:rPr>
        <w:t xml:space="preserve">ects with no role for renewable and low carbon gases, including hydrogen. </w:t>
      </w:r>
    </w:p>
    <w:p w:rsidR="00B60846" w:rsidRDefault="008069FF">
      <w:pPr>
        <w:rPr>
          <w:rStyle w:val="SubtleEmphasis"/>
          <w:noProof/>
        </w:rPr>
      </w:pPr>
      <w:r>
        <w:rPr>
          <w:rStyle w:val="SubtleEmphasis"/>
          <w:noProof/>
        </w:rPr>
        <w:t>Problem driver 1.1: TEN-E infrastructure categories do not sufficiently reflect the Green Deal and technological progress</w:t>
      </w:r>
    </w:p>
    <w:p w:rsidR="00B60846" w:rsidRDefault="008069FF">
      <w:pPr>
        <w:rPr>
          <w:noProof/>
        </w:rPr>
      </w:pPr>
      <w:r>
        <w:rPr>
          <w:noProof/>
        </w:rPr>
        <w:t>The infrastructure categories eligible for PCI status under</w:t>
      </w:r>
      <w:r>
        <w:rPr>
          <w:noProof/>
        </w:rPr>
        <w:t xml:space="preserve"> the current TEN-E Regulation do neither reflect the European Green Deal objectives and the related infrastructure needs nor technological progress made since 2013. This prevents the uptake of PCIs that are necessary to achieve the climate neutrality objec</w:t>
      </w:r>
      <w:r>
        <w:rPr>
          <w:noProof/>
        </w:rPr>
        <w:t>tive under the European Green Deal. In the gas sector, hydrogen networks are currently not eligible for PCI status, for which nearly all stakeholders considered EU-wide coordinated planning relevant for a cost-efficient transition to renewable and low-carb</w:t>
      </w:r>
      <w:r>
        <w:rPr>
          <w:noProof/>
        </w:rPr>
        <w:t>on gases.</w:t>
      </w:r>
      <w:r>
        <w:rPr>
          <w:rStyle w:val="FootnoteReference"/>
          <w:noProof/>
        </w:rPr>
        <w:footnoteReference w:id="27"/>
      </w:r>
      <w:r>
        <w:rPr>
          <w:noProof/>
        </w:rPr>
        <w:t xml:space="preserve"> In addition to the technological advancement in renewable and low-carbon gases, digitalisation, automation, and other innovations, including the electrification of the transport sector, have made important progress. Smart grid solutions, includi</w:t>
      </w:r>
      <w:r>
        <w:rPr>
          <w:noProof/>
        </w:rPr>
        <w:t>ng demand response, have developed considerably over the past years because of the acceleration of the digital transformation of the energy sector and will play a crucial role in enabling renewable energy integration</w:t>
      </w:r>
      <w:r>
        <w:rPr>
          <w:rStyle w:val="FootnoteReference"/>
          <w:noProof/>
        </w:rPr>
        <w:footnoteReference w:id="28"/>
      </w:r>
      <w:r>
        <w:rPr>
          <w:noProof/>
        </w:rPr>
        <w:t>. The need to update infrastructure cat</w:t>
      </w:r>
      <w:r>
        <w:rPr>
          <w:noProof/>
        </w:rPr>
        <w:t>egories to adapt to future challenges was widely shared among the stakeholders</w:t>
      </w:r>
      <w:r>
        <w:rPr>
          <w:rStyle w:val="FootnoteReference"/>
          <w:noProof/>
        </w:rPr>
        <w:footnoteReference w:id="29"/>
      </w:r>
      <w:r>
        <w:rPr>
          <w:noProof/>
        </w:rPr>
        <w:t xml:space="preserve">, who consider that the current set-up is not aligned with today’s decarbonisation ambitions nor reflect emerging technologies. </w:t>
      </w:r>
    </w:p>
    <w:p w:rsidR="00B60846" w:rsidRDefault="008069FF">
      <w:pPr>
        <w:rPr>
          <w:noProof/>
        </w:rPr>
      </w:pPr>
      <w:r>
        <w:rPr>
          <w:noProof/>
        </w:rPr>
        <w:t>This links directly to the eligibility for CEF f</w:t>
      </w:r>
      <w:r>
        <w:rPr>
          <w:noProof/>
        </w:rPr>
        <w:t>inancial assistance for which PCI status under TEN-E is a precondition.</w:t>
      </w:r>
      <w:r>
        <w:rPr>
          <w:rStyle w:val="FootnoteReference"/>
          <w:noProof/>
        </w:rPr>
        <w:footnoteReference w:id="30"/>
      </w:r>
      <w:r>
        <w:rPr>
          <w:noProof/>
        </w:rPr>
        <w:t xml:space="preserve"> New infrastructure categories that can make an important contribution to achieve the climate neutrality objective, e.g. hydrogen are less mature and hence need access to financing e.g</w:t>
      </w:r>
      <w:r>
        <w:rPr>
          <w:noProof/>
        </w:rPr>
        <w:t xml:space="preserve">. for studies to help make the projects “bankable”. </w:t>
      </w:r>
    </w:p>
    <w:p w:rsidR="00B60846" w:rsidRDefault="008069FF">
      <w:pPr>
        <w:rPr>
          <w:noProof/>
        </w:rPr>
      </w:pPr>
      <w:r>
        <w:rPr>
          <w:noProof/>
        </w:rPr>
        <w:t xml:space="preserve">The above-referenced JRC study on the implications of a renewables based energy system also shows that cross-border interconnectors with third countries play an increasing role to achieve a decarbonised </w:t>
      </w:r>
      <w:r>
        <w:rPr>
          <w:noProof/>
        </w:rPr>
        <w:t>energy system cost-effectively. The Commission Expert Group on electricity interconnection targets also highlighted the role of interconnectors with neighbouring countries for the better integration of renewable energy sources and security of supply.</w:t>
      </w:r>
      <w:r>
        <w:rPr>
          <w:noProof/>
          <w:vertAlign w:val="superscript"/>
        </w:rPr>
        <w:footnoteReference w:id="31"/>
      </w:r>
      <w:r>
        <w:rPr>
          <w:noProof/>
        </w:rPr>
        <w:t xml:space="preserve"> </w:t>
      </w:r>
      <w:r>
        <w:rPr>
          <w:noProof/>
          <w:lang w:val="en-IE"/>
        </w:rPr>
        <w:t>Unde</w:t>
      </w:r>
      <w:r>
        <w:rPr>
          <w:noProof/>
          <w:lang w:val="en-IE"/>
        </w:rPr>
        <w:t>r the current TEN-E Regulation projects with third countries are only eligible if they show a physical cross-border impact for at least two Member States which is difficult to demonstrate.</w:t>
      </w:r>
      <w:r>
        <w:rPr>
          <w:rStyle w:val="FootnoteReference"/>
          <w:noProof/>
        </w:rPr>
        <w:footnoteReference w:id="32"/>
      </w:r>
      <w:r>
        <w:rPr>
          <w:noProof/>
        </w:rPr>
        <w:t xml:space="preserve"> </w:t>
      </w:r>
      <w:r>
        <w:rPr>
          <w:noProof/>
          <w:lang w:val="en-IE"/>
        </w:rPr>
        <w:t>At the same time, t</w:t>
      </w:r>
      <w:r>
        <w:rPr>
          <w:noProof/>
        </w:rPr>
        <w:t>he TFEU provides for the possibility that the U</w:t>
      </w:r>
      <w:r>
        <w:rPr>
          <w:noProof/>
        </w:rPr>
        <w:t>nion may decide to cooperate with third countries to promote projects of mutual interest (PMI)</w:t>
      </w:r>
      <w:r>
        <w:rPr>
          <w:noProof/>
          <w:vertAlign w:val="superscript"/>
          <w:lang w:val="en-IE"/>
        </w:rPr>
        <w:footnoteReference w:id="33"/>
      </w:r>
      <w:r>
        <w:rPr>
          <w:noProof/>
        </w:rPr>
        <w:t xml:space="preserve"> and to ensure the interoperability of networks in the EU’s neighbourhood. Such cooperation can help reduce GHG emission in the EU and in third countries, thus c</w:t>
      </w:r>
      <w:r>
        <w:rPr>
          <w:noProof/>
        </w:rPr>
        <w:t xml:space="preserve">ontributing to achieving the Green Deal objectives. However, PMIs do currently not benefit from the provisions of the TEN-E framework. </w:t>
      </w:r>
    </w:p>
    <w:p w:rsidR="00B60846" w:rsidRDefault="008069FF">
      <w:pPr>
        <w:rPr>
          <w:rStyle w:val="SubtleEmphasis"/>
          <w:noProof/>
        </w:rPr>
      </w:pPr>
      <w:r>
        <w:rPr>
          <w:rStyle w:val="SubtleEmphasis"/>
          <w:noProof/>
        </w:rPr>
        <w:t>Problem driver 1.2: Lack of a mandatory sustainability criterion in the PCI selection process</w:t>
      </w:r>
    </w:p>
    <w:p w:rsidR="00B60846" w:rsidRDefault="008069FF">
      <w:pPr>
        <w:rPr>
          <w:noProof/>
        </w:rPr>
      </w:pPr>
      <w:r>
        <w:rPr>
          <w:noProof/>
        </w:rPr>
        <w:t>The current TEN-E Regulati</w:t>
      </w:r>
      <w:r>
        <w:rPr>
          <w:noProof/>
        </w:rPr>
        <w:t>on defines a set of selection criteria for projects that are eligible for PCI status. The specific criteria include sustainability, security of supply, market integration and competition. Electricity and gas PCI candidate projects need to contribute signif</w:t>
      </w:r>
      <w:r>
        <w:rPr>
          <w:noProof/>
        </w:rPr>
        <w:t xml:space="preserve">icantly to at least one of these specific criteria. As a result, projects that enable, for example, the increase in gas supply/demand may become PCIs even if they do not demonstrate benefits in terms of sustainability but address security of supply risks. </w:t>
      </w:r>
      <w:r>
        <w:rPr>
          <w:noProof/>
        </w:rPr>
        <w:t>Some stakeholders consider that this poses a risk that infrastructure developments and specifically PCIs may not be on track to achieve EU energy and climate policy objectives.</w:t>
      </w:r>
      <w:r>
        <w:rPr>
          <w:rStyle w:val="FootnoteReference"/>
          <w:noProof/>
        </w:rPr>
        <w:footnoteReference w:id="34"/>
      </w:r>
      <w:r>
        <w:rPr>
          <w:noProof/>
        </w:rPr>
        <w:t xml:space="preserve"> </w:t>
      </w:r>
    </w:p>
    <w:p w:rsidR="00B60846" w:rsidRDefault="008069FF">
      <w:pPr>
        <w:rPr>
          <w:noProof/>
        </w:rPr>
      </w:pPr>
      <w:r>
        <w:rPr>
          <w:rStyle w:val="SubtleEmphasis"/>
          <w:noProof/>
        </w:rPr>
        <w:t xml:space="preserve">Problem driver 1.3: </w:t>
      </w:r>
      <w:r>
        <w:rPr>
          <w:b/>
          <w:bCs/>
          <w:i/>
          <w:iCs/>
          <w:noProof/>
        </w:rPr>
        <w:t>Sectoral bottom-up approach to infrastructure planning</w:t>
      </w:r>
      <w:r>
        <w:rPr>
          <w:rStyle w:val="SubtleEmphasis"/>
          <w:noProof/>
        </w:rPr>
        <w:t xml:space="preserve"> </w:t>
      </w:r>
    </w:p>
    <w:p w:rsidR="00B60846" w:rsidRDefault="008069FF">
      <w:pPr>
        <w:rPr>
          <w:noProof/>
        </w:rPr>
      </w:pPr>
      <w:r>
        <w:rPr>
          <w:noProof/>
        </w:rPr>
        <w:t>T</w:t>
      </w:r>
      <w:r>
        <w:rPr>
          <w:noProof/>
        </w:rPr>
        <w:t xml:space="preserve">he evaluation of the current framework concluded that the approach to cross-border infrastructure planning is in principle working well and that the central role of the ENTSOs (and TSOs) is justified by their specialised knowledge and expertise in network </w:t>
      </w:r>
      <w:r>
        <w:rPr>
          <w:noProof/>
        </w:rPr>
        <w:t>planning. However, it pointed to shortcomings of a sectoral approach to planning and to the lack of an independent validation of the assessment methodology and underlying assumptions used since TSOs are at the same time the promoters of most of the infrast</w:t>
      </w:r>
      <w:r>
        <w:rPr>
          <w:noProof/>
        </w:rPr>
        <w:t>ructure projects submitted to the EU-wide TYNPD (and hence eligible for PCI status). This gives the ENTSOs an incentive to emphasise security of supply risks above e.g. investments in improving the efficiency of the system and hence to higher needs for inf</w:t>
      </w:r>
      <w:r>
        <w:rPr>
          <w:noProof/>
        </w:rPr>
        <w:t>rastructure construction. Other actors such as the Commission and ACER have a limited role under current TEN-E Regulation, which cannot prevent that the ENTSOs assume e.g too significant gas/electricity demand for the future, import of fuel and unreasonabl</w:t>
      </w:r>
      <w:r>
        <w:rPr>
          <w:noProof/>
        </w:rPr>
        <w:t xml:space="preserve">e technology development. This in turn may lead to the identification of infrastructure gaps that are not realistic and overestimates the potential benefits of the proposed projects. This problem is reinforced by a sectoral planning approach. </w:t>
      </w:r>
    </w:p>
    <w:p w:rsidR="00B60846" w:rsidRDefault="008069FF">
      <w:pPr>
        <w:rPr>
          <w:noProof/>
        </w:rPr>
      </w:pPr>
      <w:r>
        <w:rPr>
          <w:noProof/>
        </w:rPr>
        <w:t>Today’s ener</w:t>
      </w:r>
      <w:r>
        <w:rPr>
          <w:noProof/>
        </w:rPr>
        <w:t xml:space="preserve">gy system is built on parallel vertical energy value chains, which rigidly link specific energy resources with specific end-use sectors. This is mirrored in a </w:t>
      </w:r>
      <w:r>
        <w:rPr>
          <w:noProof/>
          <w:u w:val="single"/>
        </w:rPr>
        <w:t>sectoral approach to infrastructure planning</w:t>
      </w:r>
      <w:r>
        <w:rPr>
          <w:noProof/>
        </w:rPr>
        <w:t xml:space="preserve"> where </w:t>
      </w:r>
      <w:r>
        <w:rPr>
          <w:bCs/>
          <w:noProof/>
        </w:rPr>
        <w:t>electricity and gas networks are planned and m</w:t>
      </w:r>
      <w:r>
        <w:rPr>
          <w:bCs/>
          <w:noProof/>
        </w:rPr>
        <w:t>anaged mostly independently from each other</w:t>
      </w:r>
      <w:r>
        <w:rPr>
          <w:noProof/>
        </w:rPr>
        <w:t>. Whilst this approach has worked in the past, the Commission communication on energy system integration</w:t>
      </w:r>
      <w:r>
        <w:rPr>
          <w:rStyle w:val="FootnoteReference"/>
          <w:noProof/>
        </w:rPr>
        <w:footnoteReference w:id="35"/>
      </w:r>
      <w:r>
        <w:rPr>
          <w:noProof/>
        </w:rPr>
        <w:t xml:space="preserve"> recalls that this model of separate silos cannot deliver a climate neutral economy by 2050. It is technical</w:t>
      </w:r>
      <w:r>
        <w:rPr>
          <w:noProof/>
        </w:rPr>
        <w:t>ly and economically inefficient, and leads to substantial losses in the form of waste heat and low energy efficiency</w:t>
      </w:r>
      <w:r>
        <w:rPr>
          <w:rStyle w:val="FootnoteReference"/>
          <w:noProof/>
        </w:rPr>
        <w:footnoteReference w:id="36"/>
      </w:r>
      <w:r>
        <w:rPr>
          <w:noProof/>
        </w:rPr>
        <w:t xml:space="preserve">. The insufficient integration of the energy system hinders the decarbonisation of electricity as well as major energy consuming sectors, notably transport and industry. </w:t>
      </w:r>
    </w:p>
    <w:p w:rsidR="00B60846" w:rsidRDefault="008069FF">
      <w:pPr>
        <w:rPr>
          <w:noProof/>
          <w:lang w:val="en-IE"/>
        </w:rPr>
      </w:pPr>
      <w:r>
        <w:rPr>
          <w:noProof/>
        </w:rPr>
        <w:t>The selection of infrastructure projects of common interest in the electricity and ga</w:t>
      </w:r>
      <w:r>
        <w:rPr>
          <w:noProof/>
        </w:rPr>
        <w:t>s sectors is based on 10-Year Network Development Plans (TYNDPs). These plans are developed at national level and since 2013 integrated to the EU level for gas and electricity. The EU-wide TYNDPs are elaborated by the European Network of Transmission Syste</w:t>
      </w:r>
      <w:r>
        <w:rPr>
          <w:noProof/>
        </w:rPr>
        <w:t>m Operators for Electricity (ENTSO-E)</w:t>
      </w:r>
      <w:r>
        <w:rPr>
          <w:rStyle w:val="FootnoteReference"/>
          <w:noProof/>
        </w:rPr>
        <w:footnoteReference w:id="37"/>
      </w:r>
      <w:r>
        <w:rPr>
          <w:noProof/>
        </w:rPr>
        <w:t xml:space="preserve"> and for Gas (ENTSOG)</w:t>
      </w:r>
      <w:r>
        <w:rPr>
          <w:rStyle w:val="FootnoteReference"/>
          <w:noProof/>
        </w:rPr>
        <w:footnoteReference w:id="38"/>
      </w:r>
      <w:r>
        <w:rPr>
          <w:noProof/>
        </w:rPr>
        <w:t xml:space="preserve"> which consist of the National Transmission System Operators </w:t>
      </w:r>
      <w:r>
        <w:rPr>
          <w:noProof/>
          <w:lang w:val="en-IE"/>
        </w:rPr>
        <w:t>(see Annex 5 for a more information)</w:t>
      </w:r>
      <w:r>
        <w:rPr>
          <w:noProof/>
        </w:rPr>
        <w:t xml:space="preserve">. </w:t>
      </w:r>
      <w:r>
        <w:rPr>
          <w:noProof/>
          <w:lang w:val="en-IE"/>
        </w:rPr>
        <w:t xml:space="preserve">The two TYNDPs remain two separate sectorial processes. This represents a significant impediment </w:t>
      </w:r>
      <w:r>
        <w:rPr>
          <w:noProof/>
          <w:lang w:val="en-IE"/>
        </w:rPr>
        <w:t>in the identification of optimal infrastructure solution in cases where e.g. a need identified in the electricity sector could be tackled by a solution in the gas sector. Although the scenarios reflect the 2050 climate-neutrality objectives, the trajectori</w:t>
      </w:r>
      <w:r>
        <w:rPr>
          <w:noProof/>
          <w:lang w:val="en-IE"/>
        </w:rPr>
        <w:t>es chosen are debatable and tend to favour in particular high levels of gas demand</w:t>
      </w:r>
      <w:r>
        <w:rPr>
          <w:rStyle w:val="FootnoteReference"/>
          <w:noProof/>
          <w:lang w:val="en-IE"/>
        </w:rPr>
        <w:footnoteReference w:id="39"/>
      </w:r>
      <w:r>
        <w:rPr>
          <w:noProof/>
          <w:lang w:val="en-IE"/>
        </w:rPr>
        <w:t xml:space="preserve">. </w:t>
      </w:r>
    </w:p>
    <w:p w:rsidR="00B60846" w:rsidRDefault="008069FF">
      <w:pPr>
        <w:rPr>
          <w:noProof/>
        </w:rPr>
      </w:pPr>
      <w:r>
        <w:rPr>
          <w:noProof/>
        </w:rPr>
        <w:t xml:space="preserve">A significant number of stakeholders across different stakeholder groups agree that the current sectoral approach to infrastructure planning does not match the needs for </w:t>
      </w:r>
      <w:r>
        <w:rPr>
          <w:noProof/>
        </w:rPr>
        <w:t>system integration and question the adequacy of roles and the coordination with the distribution operators and synergies with other sectors. Stakeholders indicated the wish to weaken the role of the ENTSOs (39%) and to strengthen the role of DSOs (53%) and</w:t>
      </w:r>
      <w:r>
        <w:rPr>
          <w:noProof/>
        </w:rPr>
        <w:t xml:space="preserve"> other stakeholders, such as NGOs (39% - 67% of whom represented industry or civil society). Stakeholders state that the process is geared towards the construction of additional infrastructure</w:t>
      </w:r>
      <w:r>
        <w:rPr>
          <w:rStyle w:val="FootnoteReference"/>
          <w:noProof/>
        </w:rPr>
        <w:footnoteReference w:id="40"/>
      </w:r>
      <w:r>
        <w:rPr>
          <w:noProof/>
        </w:rPr>
        <w:t xml:space="preserve"> and may be at odds with the energy efficiency first principle </w:t>
      </w:r>
      <w:r>
        <w:rPr>
          <w:noProof/>
        </w:rPr>
        <w:t>and not necessarily lead to those PCIs being selected and implemented that are most efficient from a technical, economic and social perspective.</w:t>
      </w:r>
      <w:r>
        <w:rPr>
          <w:rStyle w:val="FootnoteReference"/>
          <w:noProof/>
        </w:rPr>
        <w:footnoteReference w:id="41"/>
      </w:r>
      <w:r>
        <w:rPr>
          <w:noProof/>
        </w:rPr>
        <w:t xml:space="preserve"> The risk of stranded assets exists.</w:t>
      </w:r>
    </w:p>
    <w:p w:rsidR="00B60846" w:rsidRDefault="008069FF">
      <w:pPr>
        <w:rPr>
          <w:noProof/>
        </w:rPr>
      </w:pPr>
      <w:r>
        <w:rPr>
          <w:noProof/>
        </w:rPr>
        <w:t xml:space="preserve">While the current </w:t>
      </w:r>
      <w:r>
        <w:rPr>
          <w:noProof/>
          <w:u w:val="single"/>
        </w:rPr>
        <w:t>bottom-up infrastructure planning</w:t>
      </w:r>
      <w:r>
        <w:rPr>
          <w:noProof/>
        </w:rPr>
        <w:t xml:space="preserve"> via the TYNDP provides</w:t>
      </w:r>
      <w:r>
        <w:rPr>
          <w:noProof/>
        </w:rPr>
        <w:t xml:space="preserve"> a solid basis for the identification of necessary infrastructure projects onshore, this is not the case for offshore grids. The onshore electricity grid developed over a long period and with an incremental and integrated approach when utilities were the o</w:t>
      </w:r>
      <w:r>
        <w:rPr>
          <w:noProof/>
        </w:rPr>
        <w:t>wners of the generation units and networks. The starting point for the development of offshore networks is fundamentally different. An incremental approach, as used for onshore networks, is not sufficient to identify offshore infrastructure needs at the ne</w:t>
      </w:r>
      <w:r>
        <w:rPr>
          <w:noProof/>
        </w:rPr>
        <w:t>cessary scale as set out above. The bottom-up approach is too fragmented and nationally focused, which leads to a less rational offshore wind development, resulting in higher costs and irrational use of maritime space. Lack of grids and grid connections ar</w:t>
      </w:r>
      <w:r>
        <w:rPr>
          <w:noProof/>
        </w:rPr>
        <w:t>e perceived as a key barrier to large-scale offshore wind by the industry. Continuing the current practice would not bring along many new offshore wind parks at the required speed</w:t>
      </w:r>
      <w:r>
        <w:rPr>
          <w:rStyle w:val="FootnoteReference"/>
          <w:noProof/>
        </w:rPr>
        <w:footnoteReference w:id="42"/>
      </w:r>
      <w:r>
        <w:rPr>
          <w:noProof/>
        </w:rPr>
        <w:t xml:space="preserve">. </w:t>
      </w:r>
    </w:p>
    <w:p w:rsidR="00B60846" w:rsidRDefault="008069FF">
      <w:pPr>
        <w:rPr>
          <w:noProof/>
        </w:rPr>
      </w:pPr>
      <w:r>
        <w:rPr>
          <w:noProof/>
        </w:rPr>
        <w:t>Like for onshore infrastructures, there is also a risk of stranded assets</w:t>
      </w:r>
      <w:r>
        <w:rPr>
          <w:noProof/>
        </w:rPr>
        <w:t xml:space="preserve"> offshore. A coordinated approach allows for developing an optimised offshore grid both with a view to interconnection and to evacuate offshore wind. </w:t>
      </w:r>
      <w:r>
        <w:rPr>
          <w:noProof/>
          <w:lang w:val="en-US"/>
        </w:rPr>
        <w:t>A recent study</w:t>
      </w:r>
      <w:r>
        <w:rPr>
          <w:noProof/>
          <w:vertAlign w:val="superscript"/>
          <w:lang w:val="en-US"/>
        </w:rPr>
        <w:footnoteReference w:id="43"/>
      </w:r>
      <w:r>
        <w:rPr>
          <w:noProof/>
          <w:lang w:val="en-US"/>
        </w:rPr>
        <w:t xml:space="preserve"> has demonstrated that the current practice of nationally developing offshore wind with rad</w:t>
      </w:r>
      <w:r>
        <w:rPr>
          <w:noProof/>
          <w:lang w:val="en-US"/>
        </w:rPr>
        <w:t xml:space="preserve">ial connections to shore, and in parallel develop cross-border interconnectors often is not the optimal way, although this may vary between regions. Hybrid assets in the North Sea region, i.e. interconnectors </w:t>
      </w:r>
      <w:r>
        <w:rPr>
          <w:noProof/>
        </w:rPr>
        <w:t xml:space="preserve">with offshore production connected to them </w:t>
      </w:r>
      <w:r>
        <w:rPr>
          <w:noProof/>
          <w:lang w:val="en-US"/>
        </w:rPr>
        <w:t>woul</w:t>
      </w:r>
      <w:r>
        <w:rPr>
          <w:noProof/>
          <w:lang w:val="en-US"/>
        </w:rPr>
        <w:t>d reduce costs significantly and make better use of the maritime space, compared to developing interconnections and evacuation of offshore wind separately.</w:t>
      </w:r>
    </w:p>
    <w:p w:rsidR="00B60846" w:rsidRDefault="008069FF">
      <w:pPr>
        <w:rPr>
          <w:noProof/>
          <w:lang w:val="en-US"/>
        </w:rPr>
      </w:pPr>
      <w:r>
        <w:rPr>
          <w:noProof/>
        </w:rPr>
        <w:t>An inadequate framework for offshore infrastructure planning explains the slow progress in the ident</w:t>
      </w:r>
      <w:r>
        <w:rPr>
          <w:noProof/>
        </w:rPr>
        <w:t xml:space="preserve">ification of cross-border offshore infrastructure projects, whereas current permitting procedures for offshore projects explain delays in project implementation (see problem driver 2.1).  </w:t>
      </w:r>
      <w:r>
        <w:rPr>
          <w:noProof/>
          <w:lang w:val="en-US"/>
        </w:rPr>
        <w:t xml:space="preserve"> </w:t>
      </w:r>
    </w:p>
    <w:p w:rsidR="00B60846" w:rsidRDefault="008069FF">
      <w:pPr>
        <w:pStyle w:val="Heading2"/>
        <w:ind w:left="1287" w:hanging="578"/>
        <w:rPr>
          <w:noProof/>
        </w:rPr>
      </w:pPr>
      <w:bookmarkStart w:id="116" w:name="_Toc49351323"/>
      <w:bookmarkStart w:id="117" w:name="_Toc49357716"/>
      <w:bookmarkStart w:id="118" w:name="_Toc49359394"/>
      <w:bookmarkStart w:id="119" w:name="_Toc49359729"/>
      <w:bookmarkStart w:id="120" w:name="_Toc49507974"/>
      <w:bookmarkStart w:id="121" w:name="_Toc49508418"/>
      <w:bookmarkStart w:id="122" w:name="_Toc49512329"/>
      <w:bookmarkStart w:id="123" w:name="_Toc49514213"/>
      <w:bookmarkStart w:id="124" w:name="_Toc49516448"/>
      <w:bookmarkStart w:id="125" w:name="_Toc50028460"/>
      <w:bookmarkStart w:id="126" w:name="_Toc50056955"/>
      <w:bookmarkStart w:id="127" w:name="_Toc50452061"/>
      <w:bookmarkStart w:id="128" w:name="_Toc50573880"/>
      <w:bookmarkStart w:id="129" w:name="_Toc50581863"/>
      <w:bookmarkStart w:id="130" w:name="_Toc50582646"/>
      <w:bookmarkStart w:id="131" w:name="_Toc51168541"/>
      <w:bookmarkStart w:id="132" w:name="_Toc51169030"/>
      <w:bookmarkStart w:id="133" w:name="_Toc51231524"/>
      <w:bookmarkStart w:id="134" w:name="_Toc51235460"/>
      <w:bookmarkStart w:id="135" w:name="_Toc51237250"/>
      <w:bookmarkStart w:id="136" w:name="_Toc51238635"/>
      <w:bookmarkStart w:id="137" w:name="_Toc51239360"/>
      <w:bookmarkStart w:id="138" w:name="_Toc51788272"/>
      <w:bookmarkStart w:id="139" w:name="_Toc51791810"/>
      <w:bookmarkStart w:id="140" w:name="_Toc51793242"/>
      <w:bookmarkStart w:id="141" w:name="_Toc55496440"/>
      <w:r>
        <w:rPr>
          <w:noProof/>
        </w:rPr>
        <w:t>Problem 2: Delays in project implementation</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B60846" w:rsidRDefault="008069FF">
      <w:pPr>
        <w:rPr>
          <w:noProof/>
        </w:rPr>
      </w:pPr>
      <w:r>
        <w:rPr>
          <w:noProof/>
        </w:rPr>
        <w:t>Delays in the implemen</w:t>
      </w:r>
      <w:r>
        <w:rPr>
          <w:noProof/>
        </w:rPr>
        <w:t>tation of the projects of common interest, identified as necessary to achieve the EU climate and energy policy objectives, would jeopardise the accelerated change in the energy system as set out above. The implementation of PCIs still takes too long as pro</w:t>
      </w:r>
      <w:r>
        <w:rPr>
          <w:noProof/>
        </w:rPr>
        <w:t>jects have to overcome several challenges during the implementation process as is further outlined below. In 2020, 27% of electricity PCIs were delayed by on average 17 months against their initially planned commissioning date and the share of delayed elec</w:t>
      </w:r>
      <w:r>
        <w:rPr>
          <w:noProof/>
        </w:rPr>
        <w:t xml:space="preserve">tricity PCIs has been fairly stable (23%-31%) between 2016-2019. This would appear particularly problematic given the increasing role of electricity and resulting infrastructure needs to achieve the 2030 and 2050 GHG reduction targets. As for gas PCIs, in </w:t>
      </w:r>
      <w:r>
        <w:rPr>
          <w:noProof/>
        </w:rPr>
        <w:t>2020, 38% of all PCIs encountered delays of on average 33 months.</w:t>
      </w:r>
      <w:r>
        <w:rPr>
          <w:rStyle w:val="FootnoteReference"/>
          <w:noProof/>
        </w:rPr>
        <w:footnoteReference w:id="44"/>
      </w:r>
      <w:r>
        <w:rPr>
          <w:noProof/>
        </w:rPr>
        <w:t xml:space="preserve"> </w:t>
      </w:r>
    </w:p>
    <w:p w:rsidR="00B60846" w:rsidRDefault="008069FF">
      <w:pPr>
        <w:rPr>
          <w:b/>
          <w:i/>
          <w:noProof/>
        </w:rPr>
      </w:pPr>
      <w:r>
        <w:rPr>
          <w:b/>
          <w:bCs/>
          <w:i/>
          <w:iCs/>
          <w:noProof/>
        </w:rPr>
        <w:t xml:space="preserve">Problem driver 2.1: Long permitting procedures </w:t>
      </w:r>
    </w:p>
    <w:p w:rsidR="00B60846" w:rsidRDefault="008069FF">
      <w:pPr>
        <w:rPr>
          <w:noProof/>
        </w:rPr>
      </w:pPr>
      <w:r>
        <w:rPr>
          <w:noProof/>
        </w:rPr>
        <w:t>About 40% of PCIs are still expected to take more than the legal requirement to complete the permit granting procedure.</w:t>
      </w:r>
      <w:r>
        <w:rPr>
          <w:rStyle w:val="FootnoteReference"/>
          <w:noProof/>
        </w:rPr>
        <w:footnoteReference w:id="45"/>
      </w:r>
      <w:r>
        <w:rPr>
          <w:noProof/>
        </w:rPr>
        <w:t xml:space="preserve"> According to ACER, </w:t>
      </w:r>
      <w:r>
        <w:rPr>
          <w:noProof/>
        </w:rPr>
        <w:t>the average permitting durations are 4 years for electricity PCIs and 3.1 years for gas PCIs with some PCIs requiring substantially longer than the foreseen maximum of 3.5 years.</w:t>
      </w:r>
      <w:r>
        <w:rPr>
          <w:rStyle w:val="FootnoteReference"/>
          <w:noProof/>
        </w:rPr>
        <w:footnoteReference w:id="46"/>
      </w:r>
      <w:r>
        <w:rPr>
          <w:noProof/>
        </w:rPr>
        <w:t xml:space="preserve"> However, out of the 18 PCIs that already passed the 5-year mark, 13 had star</w:t>
      </w:r>
      <w:r>
        <w:rPr>
          <w:noProof/>
        </w:rPr>
        <w:t>ted the permitting process before the entry into force of the TEN-E regulation and therefore did not benefit from the permitting provisions therein due to the transitional provisions and are still in permitting under the applicable national rules.</w:t>
      </w:r>
    </w:p>
    <w:p w:rsidR="00B60846" w:rsidRDefault="008069FF">
      <w:pPr>
        <w:rPr>
          <w:noProof/>
        </w:rPr>
      </w:pPr>
      <w:r>
        <w:rPr>
          <w:noProof/>
        </w:rPr>
        <w:t>The eval</w:t>
      </w:r>
      <w:r>
        <w:rPr>
          <w:noProof/>
        </w:rPr>
        <w:t xml:space="preserve">uation (see Annex 5) finds that while permitting has been shortened as a consequence of the provisions in the TEN-E Regulation, long permitting procedures persist in some cases. However, the underlying reasons are mainly related to national implementation </w:t>
      </w:r>
      <w:r>
        <w:rPr>
          <w:noProof/>
        </w:rPr>
        <w:t>and, mainly, outside the scope of the TEN-E Regulation. The Commission will intensify enforcement and implementation efforts in this respect mainly through the mechanisms provided by the TEN-E Regulation, such as the regional groups. Nevertheless, during t</w:t>
      </w:r>
      <w:r>
        <w:rPr>
          <w:noProof/>
        </w:rPr>
        <w:t>he public  consultation it appeared that a series of changes and improvements at Union level would still aid in further accelerating the permitting process, avoiding delays and ensure an uniform adequate national practice.</w:t>
      </w:r>
    </w:p>
    <w:p w:rsidR="00B60846" w:rsidRDefault="008069FF">
      <w:pPr>
        <w:rPr>
          <w:noProof/>
        </w:rPr>
      </w:pPr>
      <w:r>
        <w:rPr>
          <w:noProof/>
        </w:rPr>
        <w:t>According to ACER’s report, three</w:t>
      </w:r>
      <w:r>
        <w:rPr>
          <w:noProof/>
        </w:rPr>
        <w:t xml:space="preserve"> electricity PCIs were delayed at a permitting stage due to public opposition, while three more are facing lawsuits and court procedures that have resulted in delays as well</w:t>
      </w:r>
      <w:r>
        <w:rPr>
          <w:rStyle w:val="FootnoteReference"/>
          <w:noProof/>
        </w:rPr>
        <w:footnoteReference w:id="47"/>
      </w:r>
      <w:r>
        <w:rPr>
          <w:noProof/>
        </w:rPr>
        <w:t>. Public opposition continues to be one of the key factors for lengthy implementat</w:t>
      </w:r>
      <w:r>
        <w:rPr>
          <w:noProof/>
        </w:rPr>
        <w:t>ion procedures of PCIs driven by reasons such as insufficient or late use of participatory processes.</w:t>
      </w:r>
      <w:r>
        <w:rPr>
          <w:rStyle w:val="FootnoteReference"/>
          <w:noProof/>
        </w:rPr>
        <w:footnoteReference w:id="48"/>
      </w:r>
      <w:r>
        <w:rPr>
          <w:noProof/>
        </w:rPr>
        <w:t xml:space="preserve"> Lack of public awareness on the specific needs for new infrastructure hampers the acceptance of PCIs and may result in a significant number of objections</w:t>
      </w:r>
      <w:r>
        <w:rPr>
          <w:noProof/>
        </w:rPr>
        <w:t xml:space="preserve"> during consultations, thereby leading to significant additional efforts and delays in the permitting process. Ultimately, public opposition might lead to court claims by organised local communities, landowners and citizens living in the vicinity of potent</w:t>
      </w:r>
      <w:r>
        <w:rPr>
          <w:noProof/>
        </w:rPr>
        <w:t>ial installations and routing of PCIs. Since the administrative appeals and judicial remedies before court or tribunal do not fall under the foreseen permitting timeline of 3.5 years</w:t>
      </w:r>
      <w:r>
        <w:rPr>
          <w:rStyle w:val="FootnoteReference"/>
          <w:noProof/>
        </w:rPr>
        <w:footnoteReference w:id="49"/>
      </w:r>
      <w:r>
        <w:rPr>
          <w:noProof/>
        </w:rPr>
        <w:t>, this causes further delays. For instance, if there is an appeal regardi</w:t>
      </w:r>
      <w:r>
        <w:rPr>
          <w:noProof/>
        </w:rPr>
        <w:t>ng any of the issued permits, the permitting process is not complete until the appeal is complete and the permits issued are final. The TEN-E Regulation does not currently provide for any means of accelerating project implementation from the perspective of</w:t>
      </w:r>
      <w:r>
        <w:rPr>
          <w:noProof/>
        </w:rPr>
        <w:t xml:space="preserve"> court proceedings. In this respect, a series of stakeholders mentioned that a streamlining of appeals regarding PCIs would also be considered so that the accelerated permitting process becomes truly effective. </w:t>
      </w:r>
    </w:p>
    <w:p w:rsidR="00B60846" w:rsidRDefault="008069FF">
      <w:pPr>
        <w:rPr>
          <w:noProof/>
        </w:rPr>
      </w:pPr>
      <w:r>
        <w:rPr>
          <w:noProof/>
        </w:rPr>
        <w:t>Strong regional cooperation is key to implem</w:t>
      </w:r>
      <w:r>
        <w:rPr>
          <w:noProof/>
        </w:rPr>
        <w:t>ent more cross-border hybrid and joint offshore projects. The permitting experience</w:t>
      </w:r>
      <w:r>
        <w:rPr>
          <w:rStyle w:val="FootnoteReference"/>
          <w:noProof/>
        </w:rPr>
        <w:footnoteReference w:id="50"/>
      </w:r>
      <w:r>
        <w:rPr>
          <w:noProof/>
        </w:rPr>
        <w:t>, so far, of offshore cables shows that they often encounter additional delays by comparison to onshore projects due to the need for additional studies, maritime spatial pl</w:t>
      </w:r>
      <w:r>
        <w:rPr>
          <w:noProof/>
        </w:rPr>
        <w:t>anning and crossing international waters of several countries. Cross-border hybrid and joint offshore projects bring even more challenges as the implementation of the infrastructure needs to be coordinated with the deployment of generation projects.</w:t>
      </w:r>
      <w:r>
        <w:rPr>
          <w:rFonts w:eastAsia="Arial"/>
          <w:noProof/>
          <w:lang w:eastAsia="nl-NL"/>
        </w:rPr>
        <w:t xml:space="preserve"> As suc</w:t>
      </w:r>
      <w:r>
        <w:rPr>
          <w:rFonts w:eastAsia="Arial"/>
          <w:noProof/>
          <w:lang w:eastAsia="nl-NL"/>
        </w:rPr>
        <w:t>h, stakeholders called for streamlined permitting procedures for cross-border offshore projects. Delays in permitting leads to delay in infrastructure such as renewable electricity generation and grids that are needed for the energy transition towards clim</w:t>
      </w:r>
      <w:r>
        <w:rPr>
          <w:rFonts w:eastAsia="Arial"/>
          <w:noProof/>
          <w:lang w:eastAsia="nl-NL"/>
        </w:rPr>
        <w:t>ate neutrality in 2050.</w:t>
      </w:r>
    </w:p>
    <w:p w:rsidR="00B60846" w:rsidRDefault="008069FF">
      <w:pPr>
        <w:rPr>
          <w:noProof/>
        </w:rPr>
      </w:pPr>
      <w:r>
        <w:rPr>
          <w:b/>
          <w:bCs/>
          <w:i/>
          <w:iCs/>
          <w:noProof/>
        </w:rPr>
        <w:t>Problem driver 2.2: Sub-optimal implementation and insufficient use of cost sharing tools and regulatory incentives</w:t>
      </w:r>
    </w:p>
    <w:p w:rsidR="00B60846" w:rsidRDefault="008069FF">
      <w:pPr>
        <w:rPr>
          <w:noProof/>
        </w:rPr>
      </w:pPr>
      <w:r>
        <w:rPr>
          <w:noProof/>
        </w:rPr>
        <w:t>The TEN-E Regulation introduced a regulatory framework aiming at facilitating the implementation of PCIs, by creating financial and regulatory certainty: the split of costs across borders (cross border costs allocation, CBCA), inclusion of the investment c</w:t>
      </w:r>
      <w:r>
        <w:rPr>
          <w:noProof/>
        </w:rPr>
        <w:t xml:space="preserve">osts into tariffs and additional investment incentives for riskier projects. In practice, these provisions remained underutilised depriving PCIs of the benefits they could have obtained  thus delaying or failing to remove barriers to their implementation. </w:t>
      </w:r>
    </w:p>
    <w:p w:rsidR="00B60846" w:rsidRDefault="008069FF">
      <w:pPr>
        <w:rPr>
          <w:noProof/>
        </w:rPr>
      </w:pPr>
      <w:r>
        <w:rPr>
          <w:noProof/>
        </w:rPr>
        <w:t>The current CBCA provisions have rarely been used as intended to reduce or eliminate the financing gap but have been applied only for projects requesting CEF funding for works</w:t>
      </w:r>
      <w:r>
        <w:rPr>
          <w:noProof/>
          <w:vertAlign w:val="superscript"/>
        </w:rPr>
        <w:footnoteReference w:id="51"/>
      </w:r>
      <w:r>
        <w:rPr>
          <w:noProof/>
        </w:rPr>
        <w:t>, as the CBCA is one of the required documents to be submitted. This is support</w:t>
      </w:r>
      <w:r>
        <w:rPr>
          <w:noProof/>
        </w:rPr>
        <w:t>ed by ACER’s finding of 70% of all CBCA decisions made up to March 2018 concerning projects with only a single Member State involved</w:t>
      </w:r>
      <w:r>
        <w:rPr>
          <w:noProof/>
          <w:vertAlign w:val="superscript"/>
        </w:rPr>
        <w:footnoteReference w:id="52"/>
      </w:r>
      <w:r>
        <w:rPr>
          <w:noProof/>
        </w:rPr>
        <w:t>. By March 2020, this share decreased to just under 50%.</w:t>
      </w:r>
      <w:r>
        <w:rPr>
          <w:noProof/>
          <w:vertAlign w:val="superscript"/>
        </w:rPr>
        <w:footnoteReference w:id="53"/>
      </w:r>
      <w:r>
        <w:rPr>
          <w:noProof/>
        </w:rPr>
        <w:t xml:space="preserve"> Allocation of costs to non-hosting countries, with the benefits t</w:t>
      </w:r>
      <w:r>
        <w:rPr>
          <w:noProof/>
        </w:rPr>
        <w:t>hat entails in terms of enabling and accelerating implementation, has only so far occurred for gas PCIs.</w:t>
      </w:r>
      <w:r>
        <w:rPr>
          <w:noProof/>
          <w:vertAlign w:val="superscript"/>
        </w:rPr>
        <w:footnoteReference w:id="54"/>
      </w:r>
    </w:p>
    <w:p w:rsidR="00B60846" w:rsidRDefault="008069FF">
      <w:pPr>
        <w:rPr>
          <w:rFonts w:eastAsiaTheme="minorEastAsia"/>
          <w:noProof/>
        </w:rPr>
      </w:pPr>
      <w:r>
        <w:rPr>
          <w:noProof/>
        </w:rPr>
        <w:t xml:space="preserve">Moreover, the manner in which national regulators approach CBCA decisions is very diverse and very often diverts from the principles above as regards </w:t>
      </w:r>
      <w:r>
        <w:rPr>
          <w:noProof/>
        </w:rPr>
        <w:t>the financing of infrastructure. NRAs often only allocate partially the investment costs into tariffs</w:t>
      </w:r>
      <w:r>
        <w:rPr>
          <w:rFonts w:eastAsiaTheme="minorEastAsia"/>
          <w:noProof/>
        </w:rPr>
        <w:t xml:space="preserve"> </w:t>
      </w:r>
      <w:r>
        <w:rPr>
          <w:noProof/>
        </w:rPr>
        <w:t>(or not at all) mentioning that the rest of the financing should come from a CEF grant or even issue CBCA decisions conditional upon obtaining CEF grants.</w:t>
      </w:r>
      <w:r>
        <w:rPr>
          <w:noProof/>
        </w:rPr>
        <w:t xml:space="preserve"> This creates regulatory instability for the projects, which cannot obtain financing on the market and are rendered completely dependent on Union financial assistance leading, thus, to hampering their realisation. In addition, viewing the CBCA procedure so</w:t>
      </w:r>
      <w:r>
        <w:rPr>
          <w:noProof/>
        </w:rPr>
        <w:t>lely as a precondition to CEF applications</w:t>
      </w:r>
      <w:r>
        <w:rPr>
          <w:rStyle w:val="FootnoteReference"/>
          <w:noProof/>
        </w:rPr>
        <w:footnoteReference w:id="55"/>
      </w:r>
      <w:r>
        <w:rPr>
          <w:noProof/>
        </w:rPr>
        <w:t xml:space="preserve"> deprives the provision of its main purpose, which is creating a framework for the procedure of splitting the costs of PCIs across borders for the purposes of enabling and accelerating their implementation. </w:t>
      </w:r>
    </w:p>
    <w:p w:rsidR="00B60846" w:rsidRDefault="008069FF">
      <w:pPr>
        <w:rPr>
          <w:rFonts w:eastAsiaTheme="minorEastAsia"/>
          <w:noProof/>
        </w:rPr>
      </w:pPr>
      <w:r>
        <w:rPr>
          <w:noProof/>
        </w:rPr>
        <w:t>An ad</w:t>
      </w:r>
      <w:r>
        <w:rPr>
          <w:noProof/>
        </w:rPr>
        <w:t xml:space="preserve">ditional issue arises with the application of the ACER CBCA Guidelines from 2015, which are not legally binding. Some NRAs and project promoters apply them and others do not, some choose to apply the most convenient elements. The correct implementation of </w:t>
      </w:r>
      <w:r>
        <w:rPr>
          <w:noProof/>
        </w:rPr>
        <w:t>the CBCA procedure becomes even more relevant in the context of infrastructure to support the development of offshore renewables. The reason is that  the constructing countries will not necessarily coincide with the beneficiary countries due to the locatio</w:t>
      </w:r>
      <w:r>
        <w:rPr>
          <w:noProof/>
        </w:rPr>
        <w:t>n of the offshore renewable energy potential in a certain sea basin, maritime spatial planning and environmental restrictions. Without the application of clear CBCA guidelines, the benefits from such projects could be widely split amongst Member States, no</w:t>
      </w:r>
      <w:r>
        <w:rPr>
          <w:noProof/>
        </w:rPr>
        <w:t>t reflecting the benefits, and thus make the realisation of the projects difficult.</w:t>
      </w:r>
    </w:p>
    <w:p w:rsidR="00B60846" w:rsidRDefault="008069FF">
      <w:pPr>
        <w:rPr>
          <w:noProof/>
        </w:rPr>
      </w:pPr>
      <w:r>
        <w:rPr>
          <w:noProof/>
        </w:rPr>
        <w:t>The use of regulatory investment incentives introduced by the TEN-E for projects that incur higher risks has been low and, even though they were crucial for some of the pro</w:t>
      </w:r>
      <w:r>
        <w:rPr>
          <w:noProof/>
        </w:rPr>
        <w:t>jects, their overall contribution to the advancement of PCIs remains limited, with only eleven PCIs applying.</w:t>
      </w:r>
      <w:r>
        <w:rPr>
          <w:noProof/>
          <w:vertAlign w:val="superscript"/>
        </w:rPr>
        <w:footnoteReference w:id="56"/>
      </w:r>
      <w:r>
        <w:rPr>
          <w:noProof/>
        </w:rPr>
        <w:t xml:space="preserve"> According to ACER only in four cases overall (one electricity, three gas), risk-based incentives have been granted.</w:t>
      </w:r>
      <w:r>
        <w:rPr>
          <w:noProof/>
          <w:vertAlign w:val="superscript"/>
        </w:rPr>
        <w:footnoteReference w:id="57"/>
      </w:r>
      <w:r>
        <w:rPr>
          <w:noProof/>
        </w:rPr>
        <w:t xml:space="preserve"> Stakeholder input has shown </w:t>
      </w:r>
      <w:r>
        <w:rPr>
          <w:noProof/>
        </w:rPr>
        <w:t xml:space="preserve">that while some TSOs see an added value in these incentives in adjusting the financial risk, regulators refer to the low number of applications to illustrate the lacking need for additional risk-based incentives. </w:t>
      </w:r>
    </w:p>
    <w:p w:rsidR="00B60846" w:rsidRDefault="008069FF">
      <w:pPr>
        <w:rPr>
          <w:noProof/>
        </w:rPr>
      </w:pPr>
      <w:r>
        <w:rPr>
          <w:noProof/>
        </w:rPr>
        <w:t>Offshore wind related infrastructure proje</w:t>
      </w:r>
      <w:r>
        <w:rPr>
          <w:noProof/>
        </w:rPr>
        <w:t>cts will most likely have a higher risk profile than traditional interconnectors</w:t>
      </w:r>
      <w:r>
        <w:rPr>
          <w:rStyle w:val="FootnoteReference"/>
          <w:noProof/>
        </w:rPr>
        <w:footnoteReference w:id="58"/>
      </w:r>
      <w:r>
        <w:rPr>
          <w:noProof/>
        </w:rPr>
        <w:t xml:space="preserve"> also substantiated by offshore energy industry stakeholders and project promoters, and could benefit from a facilitating regulatory regime that starts from an acknowledgement</w:t>
      </w:r>
      <w:r>
        <w:rPr>
          <w:noProof/>
        </w:rPr>
        <w:t xml:space="preserve"> of their inherent higher risk, to be recognised in their regulatory regime. As such, stakeholders called for a clear legal framework for cross-border hybrid projects notably as regards the assessment of benefits and the cross-border allocation of costs. M</w:t>
      </w:r>
      <w:r>
        <w:rPr>
          <w:noProof/>
        </w:rPr>
        <w:t>oreover, the current provisions for investment incentives do not cater for more innovative grid solutions, for instance if they are more OPEX intensive relative to the CAPEX intensive traditional grids.</w:t>
      </w:r>
    </w:p>
    <w:p w:rsidR="00B60846" w:rsidRDefault="008069FF">
      <w:pPr>
        <w:rPr>
          <w:noProof/>
        </w:rPr>
      </w:pPr>
      <w:r>
        <w:rPr>
          <w:noProof/>
        </w:rPr>
        <w:t>In sum, the identified problem drivers are largely in</w:t>
      </w:r>
      <w:r>
        <w:rPr>
          <w:noProof/>
        </w:rPr>
        <w:t>dependent from each other, although reinforcing sustainability during PCI selection can contribute to limit the number of projects that are not fully in line with Green Deal objectives. The problem drivers behind problem 1 are largely driven by a new polit</w:t>
      </w:r>
      <w:r>
        <w:rPr>
          <w:noProof/>
        </w:rPr>
        <w:t xml:space="preserve">ical context and technological progress. The problem drivers behind problem 2 are mainly related to implementation and the current TEN-E legal framework and to a lesser extent to technological progress (offshore wind). </w:t>
      </w:r>
      <w:r>
        <w:rPr>
          <w:noProof/>
        </w:rPr>
        <w:fldChar w:fldCharType="begin"/>
      </w:r>
      <w:r>
        <w:rPr>
          <w:noProof/>
        </w:rPr>
        <w:instrText xml:space="preserve"> REF _Ref51705718 \h  \* MERGEFORMAT </w:instrText>
      </w:r>
      <w:r>
        <w:rPr>
          <w:noProof/>
        </w:rPr>
      </w:r>
      <w:r>
        <w:rPr>
          <w:noProof/>
        </w:rPr>
        <w:fldChar w:fldCharType="separate"/>
      </w:r>
      <w:r>
        <w:rPr>
          <w:noProof/>
        </w:rPr>
        <w:t>Figure 3</w:t>
      </w:r>
      <w:r>
        <w:rPr>
          <w:noProof/>
        </w:rPr>
        <w:fldChar w:fldCharType="end"/>
      </w:r>
      <w:r>
        <w:rPr>
          <w:noProof/>
        </w:rPr>
        <w:t xml:space="preserve"> summarises the problems and the underlying drivers.</w:t>
      </w:r>
    </w:p>
    <w:p w:rsidR="00B60846" w:rsidRDefault="008069FF">
      <w:pPr>
        <w:pStyle w:val="Caption"/>
        <w:rPr>
          <w:noProof/>
        </w:rPr>
      </w:pPr>
      <w:r>
        <w:rPr>
          <w:noProof/>
        </w:rPr>
        <w:t xml:space="preserve"> </w:t>
      </w:r>
      <w:bookmarkStart w:id="142" w:name="_Ref51705718"/>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42"/>
      <w:r>
        <w:rPr>
          <w:noProof/>
        </w:rPr>
        <w:t>: Problems and problem drivers</w:t>
      </w:r>
    </w:p>
    <w:p w:rsidR="00B60846" w:rsidRDefault="008069FF">
      <w:pPr>
        <w:rPr>
          <w:noProof/>
        </w:rPr>
      </w:pPr>
      <w:r>
        <w:rPr>
          <w:noProof/>
          <w:lang w:eastAsia="en-GB"/>
        </w:rPr>
        <w:drawing>
          <wp:inline distT="0" distB="0" distL="0" distR="0">
            <wp:extent cx="5241851" cy="23125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9366" cy="2329066"/>
                    </a:xfrm>
                    <a:prstGeom prst="rect">
                      <a:avLst/>
                    </a:prstGeom>
                    <a:noFill/>
                  </pic:spPr>
                </pic:pic>
              </a:graphicData>
            </a:graphic>
          </wp:inline>
        </w:drawing>
      </w:r>
    </w:p>
    <w:p w:rsidR="00B60846" w:rsidRDefault="008069FF">
      <w:pPr>
        <w:rPr>
          <w:noProof/>
        </w:rPr>
      </w:pPr>
      <w:r>
        <w:rPr>
          <w:noProof/>
        </w:rPr>
        <w:t>The initiative is justified by market and regulatory failures</w:t>
      </w:r>
      <w:r>
        <w:rPr>
          <w:noProof/>
        </w:rPr>
        <w:t xml:space="preserve"> also driven by a new policy context, new technological developments, and achievements since the adoption of the current TEN-E Regulation in 2013.</w:t>
      </w:r>
    </w:p>
    <w:p w:rsidR="00B60846" w:rsidRDefault="008069FF">
      <w:pPr>
        <w:pStyle w:val="Heading2"/>
        <w:ind w:left="1287" w:hanging="578"/>
        <w:rPr>
          <w:noProof/>
        </w:rPr>
      </w:pPr>
      <w:bookmarkStart w:id="143" w:name="_Toc39234412"/>
      <w:bookmarkStart w:id="144" w:name="_Toc49351326"/>
      <w:bookmarkStart w:id="145" w:name="_Toc49357719"/>
      <w:bookmarkStart w:id="146" w:name="_Toc49359397"/>
      <w:bookmarkStart w:id="147" w:name="_Toc49359732"/>
      <w:bookmarkStart w:id="148" w:name="_Toc49507977"/>
      <w:bookmarkStart w:id="149" w:name="_Toc49508421"/>
      <w:bookmarkStart w:id="150" w:name="_Toc49512332"/>
      <w:bookmarkStart w:id="151" w:name="_Toc49514216"/>
      <w:bookmarkStart w:id="152" w:name="_Toc49516451"/>
      <w:bookmarkStart w:id="153" w:name="_Toc50028463"/>
      <w:bookmarkStart w:id="154" w:name="_Toc50056958"/>
      <w:bookmarkStart w:id="155" w:name="_Toc50452064"/>
      <w:bookmarkStart w:id="156" w:name="_Toc50573883"/>
      <w:bookmarkStart w:id="157" w:name="_Toc50581866"/>
      <w:bookmarkStart w:id="158" w:name="_Toc50582649"/>
      <w:bookmarkStart w:id="159" w:name="_Toc51168542"/>
      <w:bookmarkStart w:id="160" w:name="_Toc51169031"/>
      <w:bookmarkStart w:id="161" w:name="_Toc51231525"/>
      <w:bookmarkStart w:id="162" w:name="_Toc51235461"/>
      <w:bookmarkStart w:id="163" w:name="_Toc51237251"/>
      <w:bookmarkStart w:id="164" w:name="_Toc51238636"/>
      <w:bookmarkStart w:id="165" w:name="_Toc51239361"/>
      <w:bookmarkStart w:id="166" w:name="_Toc51788273"/>
      <w:bookmarkStart w:id="167" w:name="_Toc51791811"/>
      <w:bookmarkStart w:id="168" w:name="_Toc51793243"/>
      <w:bookmarkStart w:id="169" w:name="_Ref54714039"/>
      <w:bookmarkStart w:id="170" w:name="_Toc55496441"/>
      <w:r>
        <w:rPr>
          <w:noProof/>
        </w:rPr>
        <w:t>How will the problem evolve?</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B60846" w:rsidRDefault="008069FF">
      <w:pPr>
        <w:pStyle w:val="ListBullet"/>
        <w:numPr>
          <w:ilvl w:val="0"/>
          <w:numId w:val="0"/>
        </w:numPr>
        <w:rPr>
          <w:noProof/>
        </w:rPr>
      </w:pPr>
      <w:r>
        <w:rPr>
          <w:noProof/>
        </w:rPr>
        <w:t>The problems and the underlying problem drivers are likely to become even more i</w:t>
      </w:r>
      <w:r>
        <w:rPr>
          <w:noProof/>
        </w:rPr>
        <w:t>mportant in the short and mid-term. Adopted or planned policy initiatives such as the 2030 Climate Target Plan, the revision of the ETS Directive, the Effort Sharing Regulation, the Energy Efficiency Directive, the Renewable Energy Directive, the Energy Ta</w:t>
      </w:r>
      <w:r>
        <w:rPr>
          <w:noProof/>
        </w:rPr>
        <w:t>xation Directive and the planned initiative for the decarbonisation of gas are expected to significantly increase the ambition on the mid- and long-term decarbonisation and renewable energy targets, in line with the 2030 55% GHG reduction objective. This w</w:t>
      </w:r>
      <w:r>
        <w:rPr>
          <w:noProof/>
        </w:rPr>
        <w:t>ill lead to an accelerated pathway to the decarbonisation of the energy system, significantly higher penetration of renewables in power and heating at the expense of fossil fuels, reduction of demand for energy, and hence to a significant increase in the n</w:t>
      </w:r>
      <w:r>
        <w:rPr>
          <w:noProof/>
        </w:rPr>
        <w:t>eed for an enabling energy infrastructure in place by 2030 and beyond. Without changes in TEN-E Regulation, investments necessary for this transition will happen in a sub-optimal, uncoordinated manner at a higher cost. The gap in cross-border infrastructur</w:t>
      </w:r>
      <w:r>
        <w:rPr>
          <w:noProof/>
        </w:rPr>
        <w:t>e investments in line with the decarbonisation objectives is expected to increase, in particular as regards investment related to renewable generation, although there should be a lower demand for gas projects due to the progress in the completion of new ga</w:t>
      </w:r>
      <w:r>
        <w:rPr>
          <w:noProof/>
        </w:rPr>
        <w:t xml:space="preserve">s infrastructure projects and changes in the market framework such as the taxonomy. Investments in technologies that allow moving towards decarbonisation more quickly would not be fully prioritised. Investments in cross-border hydrogen pipelines would not </w:t>
      </w:r>
      <w:r>
        <w:rPr>
          <w:noProof/>
        </w:rPr>
        <w:t xml:space="preserve">come forward fast enough, offshore wind developments would be incremental, smart grids needed for better functioning of the European network could not be fully exploited. Also, the identification of the future infrastructure needs and their planning would </w:t>
      </w:r>
      <w:r>
        <w:rPr>
          <w:noProof/>
        </w:rPr>
        <w:t xml:space="preserve">continue to be in silos, without contributing to the integration of the energy system. </w:t>
      </w:r>
    </w:p>
    <w:p w:rsidR="00B60846" w:rsidRDefault="008069FF">
      <w:pPr>
        <w:pStyle w:val="ListBullet"/>
        <w:numPr>
          <w:ilvl w:val="0"/>
          <w:numId w:val="0"/>
        </w:numPr>
        <w:rPr>
          <w:noProof/>
        </w:rPr>
      </w:pPr>
      <w:r>
        <w:rPr>
          <w:noProof/>
        </w:rPr>
        <w:t>Moreover, the Covid19 sanitary crisis reinforces some of the identified problems such as delays in project implementation and access to financing for cross-border infra</w:t>
      </w:r>
      <w:r>
        <w:rPr>
          <w:noProof/>
        </w:rPr>
        <w:t>structure projects. However, investments in energy infrastructure, in particular in the context of the roll out of renewable energy generation, is a key component of the recovery and resilience fund (RRF).  Investments in smart and sustainable energy infra</w:t>
      </w:r>
      <w:r>
        <w:rPr>
          <w:noProof/>
        </w:rPr>
        <w:t xml:space="preserve">structure has been identified as a key enabling factor to achieve the European Green Deal objectives and a green recovery in line with political objectives. </w:t>
      </w:r>
    </w:p>
    <w:p w:rsidR="00B60846" w:rsidRDefault="008069FF">
      <w:pPr>
        <w:pStyle w:val="ListBullet"/>
        <w:numPr>
          <w:ilvl w:val="0"/>
          <w:numId w:val="0"/>
        </w:numPr>
        <w:rPr>
          <w:noProof/>
        </w:rPr>
      </w:pPr>
      <w:r>
        <w:rPr>
          <w:noProof/>
        </w:rPr>
        <w:t>The Taxonomy Regulation</w:t>
      </w:r>
      <w:r>
        <w:rPr>
          <w:rStyle w:val="FootnoteReference"/>
          <w:noProof/>
        </w:rPr>
        <w:footnoteReference w:id="59"/>
      </w:r>
      <w:r>
        <w:rPr>
          <w:noProof/>
        </w:rPr>
        <w:t xml:space="preserve"> creates a classification system for (environmentally) sustainable economi</w:t>
      </w:r>
      <w:r>
        <w:rPr>
          <w:noProof/>
        </w:rPr>
        <w:t xml:space="preserve">c activities, a fundamental tool to channel capital towards investments crucial for, inter alia, the decarbonisation of the EU. The Taxonomy Regulation creates disclosure obligations for financial market participants with respect to financial products and </w:t>
      </w:r>
      <w:r>
        <w:rPr>
          <w:noProof/>
        </w:rPr>
        <w:t>for certain non-financial undertakings. The Commission is currently preparing two Delegated Acts to establish an actual list of environmentally sustainable economic activities by defining technical screening criteria for climate change mitigation and adapt</w:t>
      </w:r>
      <w:r>
        <w:rPr>
          <w:noProof/>
        </w:rPr>
        <w:t>ation, which should enter into force by mid-2021. Without a review of TEN-E there would be a risk of increasing incoherence with the guidance to private investment as established in the Taxonomy Regulation.</w:t>
      </w:r>
    </w:p>
    <w:p w:rsidR="00B60846" w:rsidRDefault="008069FF">
      <w:pPr>
        <w:pStyle w:val="Heading2"/>
        <w:rPr>
          <w:noProof/>
          <w:lang w:eastAsia="en-GB"/>
        </w:rPr>
      </w:pPr>
      <w:bookmarkStart w:id="171" w:name="_Toc55496442"/>
      <w:r>
        <w:rPr>
          <w:noProof/>
          <w:lang w:eastAsia="en-GB"/>
        </w:rPr>
        <w:t>Scope of the initiative</w:t>
      </w:r>
      <w:bookmarkEnd w:id="171"/>
    </w:p>
    <w:p w:rsidR="00B60846" w:rsidRDefault="008069FF">
      <w:pPr>
        <w:pStyle w:val="ListBullet"/>
        <w:numPr>
          <w:ilvl w:val="0"/>
          <w:numId w:val="0"/>
        </w:numPr>
        <w:rPr>
          <w:noProof/>
        </w:rPr>
      </w:pPr>
      <w:r>
        <w:rPr>
          <w:noProof/>
          <w:lang w:eastAsia="en-GB"/>
        </w:rPr>
        <w:t>Based on the evaluation r</w:t>
      </w:r>
      <w:r>
        <w:rPr>
          <w:noProof/>
          <w:lang w:eastAsia="en-GB"/>
        </w:rPr>
        <w:t xml:space="preserve">esults, the stakeholder feedback, and the problem analysis, key principles of the current TEN-E Regulation would remain unchanged and are not further analysed in the impact assessment: the TYNDP as such as tool to European infrastructure planning as basis </w:t>
      </w:r>
      <w:r>
        <w:rPr>
          <w:noProof/>
          <w:lang w:eastAsia="en-GB"/>
        </w:rPr>
        <w:t>for the PCI selection process (except for smart grids and CO</w:t>
      </w:r>
      <w:r>
        <w:rPr>
          <w:noProof/>
          <w:vertAlign w:val="subscript"/>
          <w:lang w:eastAsia="en-GB"/>
        </w:rPr>
        <w:t>2</w:t>
      </w:r>
      <w:r>
        <w:rPr>
          <w:noProof/>
          <w:lang w:eastAsia="en-GB"/>
        </w:rPr>
        <w:t xml:space="preserve"> transport networks), and regional cooperation based on priority corridors and thematic areas. Whilst the regional groups and the priority corridors and areas will remain as the key working metho</w:t>
      </w:r>
      <w:r>
        <w:rPr>
          <w:noProof/>
          <w:lang w:eastAsia="en-GB"/>
        </w:rPr>
        <w:t xml:space="preserve">d to identify and monitor the implementation of PCIs, they would be adjusted to the new scope of the TEN-E Regulation in terms of eligible infrastructure categories. The focus of the initiative is on four impact areas of the current TEN-E framework (see </w:t>
      </w:r>
      <w:r>
        <w:rPr>
          <w:noProof/>
          <w:lang w:eastAsia="en-GB"/>
        </w:rPr>
        <w:fldChar w:fldCharType="begin"/>
      </w:r>
      <w:r>
        <w:rPr>
          <w:noProof/>
          <w:lang w:eastAsia="en-GB"/>
        </w:rPr>
        <w:instrText xml:space="preserve"> R</w:instrText>
      </w:r>
      <w:r>
        <w:rPr>
          <w:noProof/>
          <w:lang w:eastAsia="en-GB"/>
        </w:rPr>
        <w:instrText xml:space="preserve">EF _Ref55475555 \h  \* MERGEFORMAT </w:instrText>
      </w:r>
      <w:r>
        <w:rPr>
          <w:noProof/>
          <w:lang w:eastAsia="en-GB"/>
        </w:rPr>
      </w:r>
      <w:r>
        <w:rPr>
          <w:noProof/>
          <w:lang w:eastAsia="en-GB"/>
        </w:rPr>
        <w:fldChar w:fldCharType="separate"/>
      </w:r>
      <w:r>
        <w:rPr>
          <w:noProof/>
        </w:rPr>
        <w:t>Figure 2</w:t>
      </w:r>
      <w:r>
        <w:rPr>
          <w:noProof/>
          <w:lang w:eastAsia="en-GB"/>
        </w:rPr>
        <w:fldChar w:fldCharType="end"/>
      </w:r>
      <w:r>
        <w:rPr>
          <w:noProof/>
          <w:lang w:eastAsia="en-GB"/>
        </w:rPr>
        <w:t>): a) scope (infrastructure categories), b) governance/infrastructure planning (planning for offshore grids, and cross-sectoral infrastructure planning/PCI selection criteria), c) permitting, a</w:t>
      </w:r>
      <w:r>
        <w:rPr>
          <w:noProof/>
          <w:lang w:eastAsia="en-GB"/>
        </w:rPr>
        <w:t>nd d) regulatory treatment.</w:t>
      </w:r>
    </w:p>
    <w:p w:rsidR="00B60846" w:rsidRDefault="008069FF">
      <w:pPr>
        <w:pStyle w:val="Heading1"/>
        <w:rPr>
          <w:noProof/>
        </w:rPr>
      </w:pPr>
      <w:bookmarkStart w:id="172" w:name="_Toc39234299"/>
      <w:bookmarkStart w:id="173" w:name="_Toc39234413"/>
      <w:bookmarkStart w:id="174" w:name="_Toc49351327"/>
      <w:bookmarkStart w:id="175" w:name="_Toc49357720"/>
      <w:bookmarkStart w:id="176" w:name="_Toc49359398"/>
      <w:bookmarkStart w:id="177" w:name="_Toc49359733"/>
      <w:bookmarkStart w:id="178" w:name="_Toc49507978"/>
      <w:bookmarkStart w:id="179" w:name="_Toc49508422"/>
      <w:bookmarkStart w:id="180" w:name="_Toc49512333"/>
      <w:bookmarkStart w:id="181" w:name="_Toc49514217"/>
      <w:bookmarkStart w:id="182" w:name="_Toc49516452"/>
      <w:bookmarkStart w:id="183" w:name="_Toc50028464"/>
      <w:bookmarkStart w:id="184" w:name="_Toc50056959"/>
      <w:bookmarkStart w:id="185" w:name="_Toc50452065"/>
      <w:bookmarkStart w:id="186" w:name="_Toc50573884"/>
      <w:bookmarkStart w:id="187" w:name="_Toc50581867"/>
      <w:bookmarkStart w:id="188" w:name="_Toc50582650"/>
      <w:bookmarkStart w:id="189" w:name="_Toc51168543"/>
      <w:bookmarkStart w:id="190" w:name="_Toc51169032"/>
      <w:bookmarkStart w:id="191" w:name="_Toc51231526"/>
      <w:bookmarkStart w:id="192" w:name="_Toc51235462"/>
      <w:bookmarkStart w:id="193" w:name="_Toc51237252"/>
      <w:bookmarkStart w:id="194" w:name="_Toc51238637"/>
      <w:bookmarkStart w:id="195" w:name="_Toc51239362"/>
      <w:bookmarkStart w:id="196" w:name="_Toc51788274"/>
      <w:bookmarkStart w:id="197" w:name="_Toc51791812"/>
      <w:bookmarkStart w:id="198" w:name="_Toc51793244"/>
      <w:bookmarkStart w:id="199" w:name="_Toc55496443"/>
      <w:r>
        <w:rPr>
          <w:noProof/>
        </w:rPr>
        <w:t>Why should the EU act?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B60846" w:rsidRDefault="008069FF">
      <w:pPr>
        <w:pStyle w:val="Heading2"/>
        <w:rPr>
          <w:noProof/>
        </w:rPr>
      </w:pPr>
      <w:bookmarkStart w:id="200" w:name="_Toc39234414"/>
      <w:bookmarkStart w:id="201" w:name="_Toc49351328"/>
      <w:bookmarkStart w:id="202" w:name="_Toc49357721"/>
      <w:bookmarkStart w:id="203" w:name="_Toc49359399"/>
      <w:bookmarkStart w:id="204" w:name="_Toc49359734"/>
      <w:bookmarkStart w:id="205" w:name="_Toc49507979"/>
      <w:bookmarkStart w:id="206" w:name="_Toc49508423"/>
      <w:bookmarkStart w:id="207" w:name="_Toc49512334"/>
      <w:bookmarkStart w:id="208" w:name="_Toc49514218"/>
      <w:bookmarkStart w:id="209" w:name="_Toc49516453"/>
      <w:bookmarkStart w:id="210" w:name="_Toc50028465"/>
      <w:bookmarkStart w:id="211" w:name="_Toc50056960"/>
      <w:bookmarkStart w:id="212" w:name="_Toc50452066"/>
      <w:bookmarkStart w:id="213" w:name="_Toc50573885"/>
      <w:bookmarkStart w:id="214" w:name="_Toc50581868"/>
      <w:bookmarkStart w:id="215" w:name="_Toc50582651"/>
      <w:bookmarkStart w:id="216" w:name="_Toc51168544"/>
      <w:bookmarkStart w:id="217" w:name="_Toc51169033"/>
      <w:bookmarkStart w:id="218" w:name="_Toc51231527"/>
      <w:bookmarkStart w:id="219" w:name="_Toc51235463"/>
      <w:bookmarkStart w:id="220" w:name="_Toc51237253"/>
      <w:bookmarkStart w:id="221" w:name="_Toc51238638"/>
      <w:bookmarkStart w:id="222" w:name="_Toc51239363"/>
      <w:bookmarkStart w:id="223" w:name="_Toc51788275"/>
      <w:bookmarkStart w:id="224" w:name="_Toc51791813"/>
      <w:bookmarkStart w:id="225" w:name="_Toc51793245"/>
      <w:bookmarkStart w:id="226" w:name="_Toc55496444"/>
      <w:r>
        <w:rPr>
          <w:noProof/>
        </w:rPr>
        <w:t>Legal basis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B60846" w:rsidRDefault="008069FF">
      <w:pPr>
        <w:rPr>
          <w:noProof/>
        </w:rPr>
      </w:pPr>
      <w:r>
        <w:rPr>
          <w:noProof/>
        </w:rPr>
        <w:t>Article 170 of the Treaty on the Functioning of the European Union foresees that the Union shall contribute to the establishment and development of trans-European networks, inclosing in the are</w:t>
      </w:r>
      <w:r>
        <w:rPr>
          <w:noProof/>
        </w:rPr>
        <w:t>a of energy infrastructure. The Union will need to promote interconnection of national networks. The TEN-E Regulation is based on Article 172 of the Treaty on the Functioning of the European Union which provides for the legal base to adopt guidelines cover</w:t>
      </w:r>
      <w:r>
        <w:rPr>
          <w:noProof/>
        </w:rPr>
        <w:t>ing the objectives, priorities and broad lines of measures envisaged in the sphere of trans-European networks as set out in Article 171. The guidelines are to identify projects of common interest that are necessary for making the TEN-E fit for purpose. The</w:t>
      </w:r>
      <w:r>
        <w:rPr>
          <w:noProof/>
        </w:rPr>
        <w:t xml:space="preserve"> guidelines also set the conditions under which the EU may financially support the PCIs.</w:t>
      </w:r>
    </w:p>
    <w:p w:rsidR="00B60846" w:rsidRDefault="008069FF">
      <w:pPr>
        <w:pStyle w:val="Heading2"/>
        <w:ind w:left="1287" w:hanging="578"/>
        <w:rPr>
          <w:noProof/>
        </w:rPr>
      </w:pPr>
      <w:bookmarkStart w:id="227" w:name="_Toc39234415"/>
      <w:bookmarkStart w:id="228" w:name="_Toc49351329"/>
      <w:bookmarkStart w:id="229" w:name="_Toc49357722"/>
      <w:bookmarkStart w:id="230" w:name="_Toc49359400"/>
      <w:bookmarkStart w:id="231" w:name="_Toc49359735"/>
      <w:bookmarkStart w:id="232" w:name="_Toc49507980"/>
      <w:bookmarkStart w:id="233" w:name="_Toc49508424"/>
      <w:bookmarkStart w:id="234" w:name="_Toc49512335"/>
      <w:bookmarkStart w:id="235" w:name="_Toc49514219"/>
      <w:bookmarkStart w:id="236" w:name="_Toc49516454"/>
      <w:bookmarkStart w:id="237" w:name="_Toc50028466"/>
      <w:bookmarkStart w:id="238" w:name="_Toc50056961"/>
      <w:bookmarkStart w:id="239" w:name="_Toc50452067"/>
      <w:bookmarkStart w:id="240" w:name="_Toc50573886"/>
      <w:bookmarkStart w:id="241" w:name="_Toc50581869"/>
      <w:bookmarkStart w:id="242" w:name="_Toc50582652"/>
      <w:bookmarkStart w:id="243" w:name="_Toc51168545"/>
      <w:bookmarkStart w:id="244" w:name="_Toc51169034"/>
      <w:bookmarkStart w:id="245" w:name="_Toc51231528"/>
      <w:bookmarkStart w:id="246" w:name="_Toc51235464"/>
      <w:bookmarkStart w:id="247" w:name="_Toc51237254"/>
      <w:bookmarkStart w:id="248" w:name="_Toc51238639"/>
      <w:bookmarkStart w:id="249" w:name="_Toc51239364"/>
      <w:bookmarkStart w:id="250" w:name="_Toc51788276"/>
      <w:bookmarkStart w:id="251" w:name="_Toc51791814"/>
      <w:bookmarkStart w:id="252" w:name="_Toc51793246"/>
      <w:bookmarkStart w:id="253" w:name="_Toc55496445"/>
      <w:r>
        <w:rPr>
          <w:noProof/>
        </w:rPr>
        <w:t>Subsidiarity: Necessity of EU action</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B60846" w:rsidRDefault="008069FF">
      <w:pPr>
        <w:pStyle w:val="DefaultText"/>
        <w:jc w:val="both"/>
        <w:rPr>
          <w:noProof/>
        </w:rPr>
      </w:pPr>
      <w:r>
        <w:rPr>
          <w:noProof/>
        </w:rPr>
        <w:t xml:space="preserve">Energy transmission infrastructure (including an interconnected offshore grid and smart grid infrastructure) has a European added </w:t>
      </w:r>
      <w:r>
        <w:rPr>
          <w:noProof/>
        </w:rPr>
        <w:t>value due to its cross-border impacts and is essential to achieve a climate neutral energy system. The TEN-E Regulation has provided value and has contributed to achieving results regarding the EU energy market integration, competition and security of supp</w:t>
      </w:r>
      <w:r>
        <w:rPr>
          <w:noProof/>
        </w:rPr>
        <w:t xml:space="preserve">ly. A framework for regional cooperation across Member States is necessary to develop cross-border energy infrastructure. Individual Member State regulations and actions are insufficient to deliver these infrastructure projects as a whole. </w:t>
      </w:r>
    </w:p>
    <w:p w:rsidR="00B60846" w:rsidRDefault="00B60846">
      <w:pPr>
        <w:pStyle w:val="DefaultText"/>
        <w:jc w:val="both"/>
        <w:rPr>
          <w:noProof/>
        </w:rPr>
      </w:pPr>
    </w:p>
    <w:p w:rsidR="00B60846" w:rsidRDefault="008069FF">
      <w:pPr>
        <w:pStyle w:val="Heading2"/>
        <w:ind w:left="1287" w:hanging="578"/>
        <w:rPr>
          <w:noProof/>
        </w:rPr>
      </w:pPr>
      <w:bookmarkStart w:id="254" w:name="_Toc39234416"/>
      <w:bookmarkStart w:id="255" w:name="_Toc49351330"/>
      <w:bookmarkStart w:id="256" w:name="_Toc49357723"/>
      <w:bookmarkStart w:id="257" w:name="_Toc49359401"/>
      <w:bookmarkStart w:id="258" w:name="_Toc49359736"/>
      <w:bookmarkStart w:id="259" w:name="_Toc49507981"/>
      <w:bookmarkStart w:id="260" w:name="_Toc49508425"/>
      <w:bookmarkStart w:id="261" w:name="_Toc49512336"/>
      <w:bookmarkStart w:id="262" w:name="_Toc49514220"/>
      <w:bookmarkStart w:id="263" w:name="_Toc49516455"/>
      <w:bookmarkStart w:id="264" w:name="_Toc50028467"/>
      <w:bookmarkStart w:id="265" w:name="_Toc50056962"/>
      <w:bookmarkStart w:id="266" w:name="_Toc50452068"/>
      <w:bookmarkStart w:id="267" w:name="_Toc50573887"/>
      <w:bookmarkStart w:id="268" w:name="_Toc50581870"/>
      <w:bookmarkStart w:id="269" w:name="_Toc50582653"/>
      <w:bookmarkStart w:id="270" w:name="_Toc51168546"/>
      <w:bookmarkStart w:id="271" w:name="_Toc51169035"/>
      <w:bookmarkStart w:id="272" w:name="_Toc51231529"/>
      <w:bookmarkStart w:id="273" w:name="_Toc51235465"/>
      <w:bookmarkStart w:id="274" w:name="_Toc51237255"/>
      <w:bookmarkStart w:id="275" w:name="_Toc51238640"/>
      <w:bookmarkStart w:id="276" w:name="_Toc51239365"/>
      <w:bookmarkStart w:id="277" w:name="_Toc51788277"/>
      <w:bookmarkStart w:id="278" w:name="_Toc51791815"/>
      <w:bookmarkStart w:id="279" w:name="_Toc51793247"/>
      <w:bookmarkStart w:id="280" w:name="_Toc55496446"/>
      <w:r>
        <w:rPr>
          <w:noProof/>
        </w:rPr>
        <w:t xml:space="preserve">Subsidiarity: </w:t>
      </w:r>
      <w:r>
        <w:rPr>
          <w:noProof/>
        </w:rPr>
        <w:t>Added value of EU action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B60846" w:rsidRDefault="008069FF">
      <w:pPr>
        <w:rPr>
          <w:noProof/>
        </w:rPr>
      </w:pPr>
      <w:r>
        <w:rPr>
          <w:noProof/>
        </w:rPr>
        <w:t>Internal energy market is based on cross-border interconnectors, development of which requires cooperation of two or more Member States, all with their own regulatory framework. The TEN-E Regulation has provided additional value co</w:t>
      </w:r>
      <w:r>
        <w:rPr>
          <w:noProof/>
        </w:rPr>
        <w:t>mpared to what could have been achieved at national or regional level alone. There is widespread agreement among stakeholders on the EU added value of the Regulation, achieved through regional cooperation, access to financing, improved information and tran</w:t>
      </w:r>
      <w:r>
        <w:rPr>
          <w:noProof/>
        </w:rPr>
        <w:t>sparency, and improved planning and permitting processes. The majority believe that TEN-E achieved more than could have been achieved at national/regional level (92 %, 79% respectively agree) and that the issues addressed by the TEN-E Regulation continue t</w:t>
      </w:r>
      <w:r>
        <w:rPr>
          <w:noProof/>
        </w:rPr>
        <w:t>o require action at EU level (91% agree, 0 disagree) (see Annex 2). Many Member States have benefitted from an increase in security of supply, more competitive markets and more interconnected energy networks. Given the recognition of TEN-E as effective and</w:t>
      </w:r>
      <w:r>
        <w:rPr>
          <w:noProof/>
        </w:rPr>
        <w:t xml:space="preserve"> cost-efficient instrument in the evaluation, the current instrument should be further improved to address the above-identified problems instead of developing a new instrument.</w:t>
      </w:r>
    </w:p>
    <w:p w:rsidR="00B60846" w:rsidRDefault="008069FF">
      <w:pPr>
        <w:pStyle w:val="Heading1"/>
        <w:rPr>
          <w:noProof/>
        </w:rPr>
      </w:pPr>
      <w:bookmarkStart w:id="281" w:name="_Toc39234300"/>
      <w:bookmarkStart w:id="282" w:name="_Toc39234417"/>
      <w:bookmarkStart w:id="283" w:name="_Toc49351331"/>
      <w:bookmarkStart w:id="284" w:name="_Toc49357724"/>
      <w:bookmarkStart w:id="285" w:name="_Toc49359402"/>
      <w:bookmarkStart w:id="286" w:name="_Toc49359737"/>
      <w:bookmarkStart w:id="287" w:name="_Toc49507982"/>
      <w:bookmarkStart w:id="288" w:name="_Toc49508426"/>
      <w:bookmarkStart w:id="289" w:name="_Toc49512337"/>
      <w:bookmarkStart w:id="290" w:name="_Toc49514221"/>
      <w:bookmarkStart w:id="291" w:name="_Toc49516456"/>
      <w:bookmarkStart w:id="292" w:name="_Toc50028468"/>
      <w:bookmarkStart w:id="293" w:name="_Toc50056963"/>
      <w:bookmarkStart w:id="294" w:name="_Toc50452069"/>
      <w:bookmarkStart w:id="295" w:name="_Toc50573888"/>
      <w:bookmarkStart w:id="296" w:name="_Toc50581871"/>
      <w:bookmarkStart w:id="297" w:name="_Toc50582654"/>
      <w:bookmarkStart w:id="298" w:name="_Toc51168547"/>
      <w:bookmarkStart w:id="299" w:name="_Toc51169036"/>
      <w:bookmarkStart w:id="300" w:name="_Toc51231530"/>
      <w:bookmarkStart w:id="301" w:name="_Toc51235466"/>
      <w:bookmarkStart w:id="302" w:name="_Toc51237256"/>
      <w:bookmarkStart w:id="303" w:name="_Toc51238641"/>
      <w:bookmarkStart w:id="304" w:name="_Toc51239366"/>
      <w:bookmarkStart w:id="305" w:name="_Toc51788278"/>
      <w:bookmarkStart w:id="306" w:name="_Toc51791816"/>
      <w:bookmarkStart w:id="307" w:name="_Toc51793248"/>
      <w:bookmarkStart w:id="308" w:name="_Toc55496447"/>
      <w:r>
        <w:rPr>
          <w:noProof/>
        </w:rPr>
        <w:t>Objectives: What is to be achieved?</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B60846" w:rsidRDefault="008069FF">
      <w:pPr>
        <w:rPr>
          <w:noProof/>
        </w:rPr>
      </w:pPr>
      <w:r>
        <w:rPr>
          <w:noProof/>
        </w:rPr>
        <w:t>In line with the results of the evaluation,</w:t>
      </w:r>
      <w:r>
        <w:rPr>
          <w:noProof/>
        </w:rPr>
        <w:t xml:space="preserve"> the general objective of the initiative builds very closely on the general objective of the current TEN-E Regulation but develops it further. By referring explicitly to both energy and climate objectives as well as the 2030/50 targets, the revised general</w:t>
      </w:r>
      <w:r>
        <w:rPr>
          <w:noProof/>
        </w:rPr>
        <w:t xml:space="preserve"> objective reflects the new political context and the achievements of the current TEN-E Regulation, e.g. in terms of gas security of supply. The overall objective is to align the TEN-E Regulation with the European Green Deal objectives, and the policy init</w:t>
      </w:r>
      <w:r>
        <w:rPr>
          <w:noProof/>
        </w:rPr>
        <w:t>iatives proposed within its framework and thereby to support the timely transition towards climate neutrality by 2050, starting with a 55% reduction in GHG emissions by 2030 in a cost-efficient manner.</w:t>
      </w:r>
    </w:p>
    <w:p w:rsidR="00B60846" w:rsidRDefault="008069FF">
      <w:pPr>
        <w:pStyle w:val="Heading2"/>
        <w:ind w:left="1287" w:hanging="578"/>
        <w:rPr>
          <w:noProof/>
        </w:rPr>
      </w:pPr>
      <w:bookmarkStart w:id="309" w:name="_Toc39234418"/>
      <w:bookmarkStart w:id="310" w:name="_Toc49351332"/>
      <w:bookmarkStart w:id="311" w:name="_Toc49357725"/>
      <w:bookmarkStart w:id="312" w:name="_Toc49359403"/>
      <w:bookmarkStart w:id="313" w:name="_Toc49359738"/>
      <w:bookmarkStart w:id="314" w:name="_Toc49507983"/>
      <w:bookmarkStart w:id="315" w:name="_Toc49508427"/>
      <w:bookmarkStart w:id="316" w:name="_Toc49512338"/>
      <w:bookmarkStart w:id="317" w:name="_Toc49514222"/>
      <w:bookmarkStart w:id="318" w:name="_Toc49516457"/>
      <w:bookmarkStart w:id="319" w:name="_Toc50028469"/>
      <w:bookmarkStart w:id="320" w:name="_Toc50056964"/>
      <w:bookmarkStart w:id="321" w:name="_Toc50452070"/>
      <w:bookmarkStart w:id="322" w:name="_Toc50573889"/>
      <w:bookmarkStart w:id="323" w:name="_Toc50581872"/>
      <w:bookmarkStart w:id="324" w:name="_Toc50582655"/>
      <w:bookmarkStart w:id="325" w:name="_Toc51168548"/>
      <w:bookmarkStart w:id="326" w:name="_Toc51169037"/>
      <w:bookmarkStart w:id="327" w:name="_Toc51231531"/>
      <w:bookmarkStart w:id="328" w:name="_Toc51235467"/>
      <w:bookmarkStart w:id="329" w:name="_Toc51237257"/>
      <w:bookmarkStart w:id="330" w:name="_Toc51238642"/>
      <w:bookmarkStart w:id="331" w:name="_Toc51239367"/>
      <w:bookmarkStart w:id="332" w:name="_Toc51788279"/>
      <w:bookmarkStart w:id="333" w:name="_Toc51791817"/>
      <w:bookmarkStart w:id="334" w:name="_Toc51793249"/>
      <w:bookmarkStart w:id="335" w:name="_Toc55496448"/>
      <w:r>
        <w:rPr>
          <w:noProof/>
        </w:rPr>
        <w:t>General objectives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B60846" w:rsidRDefault="008069FF">
      <w:pPr>
        <w:rPr>
          <w:noProof/>
        </w:rPr>
      </w:pPr>
      <w:r>
        <w:rPr>
          <w:noProof/>
          <w:lang w:eastAsia="en-GB"/>
        </w:rPr>
        <w:t>The general objective of the revisi</w:t>
      </w:r>
      <w:r>
        <w:rPr>
          <w:noProof/>
          <w:lang w:eastAsia="en-GB"/>
        </w:rPr>
        <w:t>on is to facilitate the timely development of adequate energy infrastructure across the EU and in its neighbourhood to enable delivering on the EU’s energy and climate objectives in line with the European Green Deal, in particular on the 2030/50 targets in</w:t>
      </w:r>
      <w:r>
        <w:rPr>
          <w:noProof/>
          <w:lang w:eastAsia="en-GB"/>
        </w:rPr>
        <w:t>cluding the climate-neutrality objective, as well as market integration, competitiveness, and security of supply at least cost to consumers and businesses. Stakeholders in the targeted survey identified greenhouse gas emission reductions / climate neutrali</w:t>
      </w:r>
      <w:r>
        <w:rPr>
          <w:noProof/>
          <w:lang w:eastAsia="en-GB"/>
        </w:rPr>
        <w:t>ty as the most important challenge in the field of energy infrastructure today followed by the integration of renewable energy sources and energy system integration, both closely linked to greenhouse gas emission reduction.</w:t>
      </w:r>
      <w:r>
        <w:rPr>
          <w:noProof/>
        </w:rPr>
        <w:t xml:space="preserve"> </w:t>
      </w:r>
    </w:p>
    <w:p w:rsidR="00B60846" w:rsidRDefault="008069FF">
      <w:pPr>
        <w:pStyle w:val="Heading2"/>
        <w:ind w:left="1287" w:hanging="578"/>
        <w:rPr>
          <w:noProof/>
        </w:rPr>
      </w:pPr>
      <w:bookmarkStart w:id="336" w:name="_Toc39234419"/>
      <w:bookmarkStart w:id="337" w:name="_Toc49351333"/>
      <w:bookmarkStart w:id="338" w:name="_Toc49357726"/>
      <w:bookmarkStart w:id="339" w:name="_Toc49359404"/>
      <w:bookmarkStart w:id="340" w:name="_Toc49359739"/>
      <w:bookmarkStart w:id="341" w:name="_Toc49507984"/>
      <w:bookmarkStart w:id="342" w:name="_Toc49508428"/>
      <w:bookmarkStart w:id="343" w:name="_Toc49512339"/>
      <w:bookmarkStart w:id="344" w:name="_Toc49514223"/>
      <w:bookmarkStart w:id="345" w:name="_Toc49516458"/>
      <w:bookmarkStart w:id="346" w:name="_Toc50028470"/>
      <w:bookmarkStart w:id="347" w:name="_Toc50056965"/>
      <w:bookmarkStart w:id="348" w:name="_Toc50452071"/>
      <w:bookmarkStart w:id="349" w:name="_Toc50573890"/>
      <w:bookmarkStart w:id="350" w:name="_Toc50581873"/>
      <w:bookmarkStart w:id="351" w:name="_Toc50582656"/>
      <w:bookmarkStart w:id="352" w:name="_Toc51168549"/>
      <w:bookmarkStart w:id="353" w:name="_Toc51169038"/>
      <w:bookmarkStart w:id="354" w:name="_Toc51231532"/>
      <w:bookmarkStart w:id="355" w:name="_Toc51235468"/>
      <w:bookmarkStart w:id="356" w:name="_Toc51237258"/>
      <w:bookmarkStart w:id="357" w:name="_Toc51238643"/>
      <w:bookmarkStart w:id="358" w:name="_Toc51239368"/>
      <w:bookmarkStart w:id="359" w:name="_Toc51788280"/>
      <w:bookmarkStart w:id="360" w:name="_Toc51791818"/>
      <w:bookmarkStart w:id="361" w:name="_Toc51793250"/>
      <w:bookmarkStart w:id="362" w:name="_Toc55496449"/>
      <w:r>
        <w:rPr>
          <w:noProof/>
        </w:rPr>
        <w:t>Specific objectives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B60846" w:rsidRDefault="008069FF">
      <w:pPr>
        <w:rPr>
          <w:noProof/>
        </w:rPr>
      </w:pPr>
      <w:r>
        <w:rPr>
          <w:noProof/>
        </w:rPr>
        <w:t xml:space="preserve">The </w:t>
      </w:r>
      <w:r>
        <w:rPr>
          <w:noProof/>
        </w:rPr>
        <w:t>specific objectives to be pursued by the policy options are to correct the problems and underpinning drivers identified in Section 2, namely to:</w:t>
      </w:r>
    </w:p>
    <w:p w:rsidR="00B60846" w:rsidRDefault="008069FF">
      <w:pPr>
        <w:pStyle w:val="ListParagraph"/>
        <w:numPr>
          <w:ilvl w:val="0"/>
          <w:numId w:val="15"/>
        </w:numPr>
        <w:rPr>
          <w:noProof/>
          <w:lang w:eastAsia="en-GB"/>
        </w:rPr>
      </w:pPr>
      <w:r>
        <w:rPr>
          <w:noProof/>
          <w:lang w:eastAsia="en-GB"/>
        </w:rPr>
        <w:t>Enable the identification of the cross-border projects and investments</w:t>
      </w:r>
      <w:r>
        <w:rPr>
          <w:noProof/>
        </w:rPr>
        <w:t xml:space="preserve"> across the EU and with its neighbouring </w:t>
      </w:r>
      <w:r>
        <w:rPr>
          <w:noProof/>
        </w:rPr>
        <w:t>countries</w:t>
      </w:r>
      <w:r>
        <w:rPr>
          <w:noProof/>
          <w:lang w:eastAsia="en-GB"/>
        </w:rPr>
        <w:t xml:space="preserve"> that are necessary for the energy transition and climate targets</w:t>
      </w:r>
    </w:p>
    <w:p w:rsidR="00B60846" w:rsidRDefault="008069FF">
      <w:pPr>
        <w:pStyle w:val="ListParagraph"/>
        <w:numPr>
          <w:ilvl w:val="0"/>
          <w:numId w:val="15"/>
        </w:numPr>
        <w:rPr>
          <w:noProof/>
          <w:lang w:eastAsia="en-GB"/>
        </w:rPr>
      </w:pPr>
      <w:r>
        <w:rPr>
          <w:noProof/>
          <w:lang w:eastAsia="en-GB"/>
        </w:rPr>
        <w:t xml:space="preserve">Improve infrastructure planning for energy system integration and offshore grids </w:t>
      </w:r>
    </w:p>
    <w:p w:rsidR="00B60846" w:rsidRDefault="008069FF">
      <w:pPr>
        <w:pStyle w:val="ListParagraph"/>
        <w:numPr>
          <w:ilvl w:val="0"/>
          <w:numId w:val="15"/>
        </w:numPr>
        <w:rPr>
          <w:noProof/>
          <w:lang w:eastAsia="en-GB"/>
        </w:rPr>
      </w:pPr>
      <w:r>
        <w:rPr>
          <w:noProof/>
          <w:lang w:eastAsia="en-GB"/>
        </w:rPr>
        <w:t>Shorten permitting procedures for PCIs to avoid delays in projects that facilitate the energy trans</w:t>
      </w:r>
      <w:r>
        <w:rPr>
          <w:noProof/>
          <w:lang w:eastAsia="en-GB"/>
        </w:rPr>
        <w:t>ition</w:t>
      </w:r>
    </w:p>
    <w:p w:rsidR="00B60846" w:rsidRDefault="008069FF">
      <w:pPr>
        <w:pStyle w:val="ListParagraph"/>
        <w:numPr>
          <w:ilvl w:val="0"/>
          <w:numId w:val="15"/>
        </w:numPr>
        <w:rPr>
          <w:noProof/>
          <w:lang w:eastAsia="en-GB"/>
        </w:rPr>
      </w:pPr>
      <w:r>
        <w:rPr>
          <w:noProof/>
        </w:rPr>
        <w:t>Ensure the appropriate use of cost sharing tools and regulatory incentives</w:t>
      </w:r>
    </w:p>
    <w:p w:rsidR="00B60846" w:rsidRDefault="008069FF">
      <w:pPr>
        <w:rPr>
          <w:noProof/>
          <w:lang w:eastAsia="en-GB"/>
        </w:rPr>
      </w:pPr>
      <w:r>
        <w:rPr>
          <w:noProof/>
        </w:rPr>
        <w:fldChar w:fldCharType="begin"/>
      </w:r>
      <w:r>
        <w:rPr>
          <w:noProof/>
          <w:lang w:eastAsia="en-GB"/>
        </w:rPr>
        <w:instrText xml:space="preserve"> REF _Ref54785801 \h </w:instrText>
      </w:r>
      <w:r>
        <w:rPr>
          <w:noProof/>
        </w:rPr>
        <w:instrText xml:space="preserve"> \* MERGEFORMAT </w:instrText>
      </w:r>
      <w:r>
        <w:rPr>
          <w:noProof/>
        </w:rPr>
      </w:r>
      <w:r>
        <w:rPr>
          <w:noProof/>
          <w:lang w:eastAsia="en-GB"/>
        </w:rPr>
        <w:fldChar w:fldCharType="separate"/>
      </w:r>
      <w:r>
        <w:rPr>
          <w:noProof/>
        </w:rPr>
        <w:t>Figure 4</w:t>
      </w:r>
      <w:r>
        <w:rPr>
          <w:noProof/>
        </w:rPr>
        <w:fldChar w:fldCharType="end"/>
      </w:r>
      <w:r>
        <w:rPr>
          <w:noProof/>
          <w:lang w:eastAsia="en-GB"/>
        </w:rPr>
        <w:t xml:space="preserve"> illustrates how the problems and their underlying drivers rela</w:t>
      </w:r>
      <w:r>
        <w:rPr>
          <w:noProof/>
          <w:lang w:eastAsia="en-GB"/>
        </w:rPr>
        <w:t>te to the general and specific objectives of the initiative. The last column indicates how the policy options that will be developed in more detail in the next section relate to the problem drivers and objectives.</w:t>
      </w:r>
      <w:r>
        <w:rPr>
          <w:noProof/>
        </w:rPr>
        <w:t xml:space="preserve"> </w:t>
      </w:r>
    </w:p>
    <w:p w:rsidR="00B60846" w:rsidRDefault="008069FF">
      <w:pPr>
        <w:pStyle w:val="Caption"/>
        <w:rPr>
          <w:noProof/>
          <w:lang w:eastAsia="en-GB"/>
        </w:rPr>
      </w:pPr>
      <w:bookmarkStart w:id="363" w:name="_Ref54785801"/>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363"/>
      <w:r>
        <w:rPr>
          <w:noProof/>
        </w:rPr>
        <w:t xml:space="preserve">: </w:t>
      </w:r>
      <w:r>
        <w:rPr>
          <w:noProof/>
          <w:lang w:eastAsia="en-GB"/>
        </w:rPr>
        <w:t>Interv</w:t>
      </w:r>
      <w:r>
        <w:rPr>
          <w:noProof/>
          <w:lang w:eastAsia="en-GB"/>
        </w:rPr>
        <w:t>ention logic diagram</w:t>
      </w:r>
    </w:p>
    <w:tbl>
      <w:tblPr>
        <w:tblStyle w:val="TableGrid"/>
        <w:tblW w:w="0" w:type="auto"/>
        <w:tblLook w:val="04A0" w:firstRow="1" w:lastRow="0" w:firstColumn="1" w:lastColumn="0" w:noHBand="0" w:noVBand="1"/>
      </w:tblPr>
      <w:tblGrid>
        <w:gridCol w:w="3203"/>
        <w:gridCol w:w="3193"/>
        <w:gridCol w:w="2438"/>
      </w:tblGrid>
      <w:tr w:rsidR="00B60846">
        <w:tc>
          <w:tcPr>
            <w:tcW w:w="3203" w:type="dxa"/>
          </w:tcPr>
          <w:p w:rsidR="00B60846" w:rsidRDefault="008069FF">
            <w:pPr>
              <w:spacing w:after="120"/>
              <w:rPr>
                <w:b/>
                <w:bCs/>
                <w:noProof/>
                <w:sz w:val="22"/>
                <w:szCs w:val="22"/>
              </w:rPr>
            </w:pPr>
            <w:r>
              <w:rPr>
                <w:b/>
                <w:bCs/>
                <w:noProof/>
                <w:sz w:val="22"/>
                <w:szCs w:val="22"/>
              </w:rPr>
              <w:t>Problem/Driver</w:t>
            </w:r>
          </w:p>
        </w:tc>
        <w:tc>
          <w:tcPr>
            <w:tcW w:w="3193" w:type="dxa"/>
          </w:tcPr>
          <w:p w:rsidR="00B60846" w:rsidRDefault="008069FF">
            <w:pPr>
              <w:spacing w:after="120"/>
              <w:rPr>
                <w:b/>
                <w:bCs/>
                <w:noProof/>
                <w:sz w:val="22"/>
                <w:szCs w:val="22"/>
              </w:rPr>
            </w:pPr>
            <w:r>
              <w:rPr>
                <w:b/>
                <w:bCs/>
                <w:noProof/>
                <w:sz w:val="22"/>
                <w:szCs w:val="22"/>
              </w:rPr>
              <w:t>Objective</w:t>
            </w:r>
          </w:p>
        </w:tc>
        <w:tc>
          <w:tcPr>
            <w:tcW w:w="2438" w:type="dxa"/>
          </w:tcPr>
          <w:p w:rsidR="00B60846" w:rsidRDefault="008069FF">
            <w:pPr>
              <w:spacing w:after="120"/>
              <w:rPr>
                <w:b/>
                <w:noProof/>
                <w:sz w:val="22"/>
                <w:szCs w:val="22"/>
              </w:rPr>
            </w:pPr>
            <w:r>
              <w:rPr>
                <w:b/>
                <w:bCs/>
                <w:noProof/>
                <w:sz w:val="22"/>
                <w:szCs w:val="22"/>
              </w:rPr>
              <w:t>Policy option</w:t>
            </w:r>
          </w:p>
        </w:tc>
      </w:tr>
      <w:tr w:rsidR="00B60846">
        <w:tc>
          <w:tcPr>
            <w:tcW w:w="3203" w:type="dxa"/>
          </w:tcPr>
          <w:p w:rsidR="00B60846" w:rsidRDefault="008069FF">
            <w:pPr>
              <w:spacing w:after="120"/>
              <w:rPr>
                <w:i/>
                <w:iCs/>
                <w:noProof/>
                <w:sz w:val="22"/>
                <w:szCs w:val="22"/>
                <w:u w:val="single"/>
              </w:rPr>
            </w:pPr>
            <w:r>
              <w:rPr>
                <w:i/>
                <w:iCs/>
                <w:noProof/>
                <w:sz w:val="22"/>
                <w:szCs w:val="22"/>
                <w:u w:val="single"/>
              </w:rPr>
              <w:t xml:space="preserve">Problem 1 </w:t>
            </w:r>
          </w:p>
          <w:p w:rsidR="00B60846" w:rsidRDefault="008069FF">
            <w:pPr>
              <w:spacing w:after="120"/>
              <w:rPr>
                <w:noProof/>
                <w:sz w:val="22"/>
                <w:szCs w:val="22"/>
              </w:rPr>
            </w:pPr>
            <w:r>
              <w:rPr>
                <w:noProof/>
                <w:sz w:val="22"/>
                <w:szCs w:val="22"/>
              </w:rPr>
              <w:t xml:space="preserve">Type and scale of cross-border infrastructure developments are not fully aligned with EU energy policy objectives in particular as regards European Green Deal and the climate </w:t>
            </w:r>
            <w:r>
              <w:rPr>
                <w:noProof/>
                <w:sz w:val="22"/>
                <w:szCs w:val="22"/>
              </w:rPr>
              <w:t>neutrality objective</w:t>
            </w:r>
          </w:p>
        </w:tc>
        <w:tc>
          <w:tcPr>
            <w:tcW w:w="3193" w:type="dxa"/>
          </w:tcPr>
          <w:p w:rsidR="00B60846" w:rsidRDefault="008069FF">
            <w:pPr>
              <w:spacing w:after="120"/>
              <w:rPr>
                <w:i/>
                <w:iCs/>
                <w:noProof/>
                <w:sz w:val="22"/>
                <w:szCs w:val="22"/>
                <w:u w:val="single"/>
              </w:rPr>
            </w:pPr>
            <w:r>
              <w:rPr>
                <w:i/>
                <w:iCs/>
                <w:noProof/>
                <w:sz w:val="22"/>
                <w:szCs w:val="22"/>
                <w:u w:val="single"/>
              </w:rPr>
              <w:t>General objective (Part 1)</w:t>
            </w:r>
          </w:p>
          <w:p w:rsidR="00B60846" w:rsidRDefault="008069FF">
            <w:pPr>
              <w:spacing w:after="120"/>
              <w:rPr>
                <w:noProof/>
                <w:sz w:val="22"/>
                <w:szCs w:val="22"/>
              </w:rPr>
            </w:pPr>
            <w:r>
              <w:rPr>
                <w:noProof/>
                <w:sz w:val="22"/>
                <w:szCs w:val="22"/>
              </w:rPr>
              <w:t>Facilitate the development of adequate energy infrastructures across the EU and in its neighbourhood to enable delivering on the EU’s energy and climate objectives, in particular on the 2030/50 targets, as we</w:t>
            </w:r>
            <w:r>
              <w:rPr>
                <w:noProof/>
                <w:sz w:val="22"/>
                <w:szCs w:val="22"/>
              </w:rPr>
              <w:t>ll as market integration competitiveness, and security of supply</w:t>
            </w:r>
          </w:p>
        </w:tc>
        <w:tc>
          <w:tcPr>
            <w:tcW w:w="2438" w:type="dxa"/>
          </w:tcPr>
          <w:p w:rsidR="00B60846" w:rsidRDefault="00B60846">
            <w:pPr>
              <w:spacing w:after="120"/>
              <w:rPr>
                <w:noProof/>
                <w:sz w:val="22"/>
                <w:szCs w:val="22"/>
              </w:rPr>
            </w:pPr>
          </w:p>
        </w:tc>
      </w:tr>
      <w:tr w:rsidR="00B60846">
        <w:tc>
          <w:tcPr>
            <w:tcW w:w="3203" w:type="dxa"/>
          </w:tcPr>
          <w:p w:rsidR="00B60846" w:rsidRDefault="008069FF">
            <w:pPr>
              <w:spacing w:after="120"/>
              <w:rPr>
                <w:i/>
                <w:iCs/>
                <w:noProof/>
                <w:sz w:val="22"/>
                <w:szCs w:val="22"/>
                <w:u w:val="single"/>
              </w:rPr>
            </w:pPr>
            <w:r>
              <w:rPr>
                <w:i/>
                <w:iCs/>
                <w:noProof/>
                <w:sz w:val="22"/>
                <w:szCs w:val="22"/>
                <w:u w:val="single"/>
              </w:rPr>
              <w:t xml:space="preserve">Driver 1.1 </w:t>
            </w:r>
          </w:p>
          <w:p w:rsidR="00B60846" w:rsidRDefault="008069FF">
            <w:pPr>
              <w:spacing w:after="120"/>
              <w:rPr>
                <w:noProof/>
                <w:sz w:val="22"/>
                <w:szCs w:val="22"/>
              </w:rPr>
            </w:pPr>
            <w:r>
              <w:rPr>
                <w:noProof/>
                <w:sz w:val="22"/>
                <w:szCs w:val="22"/>
              </w:rPr>
              <w:t>TEN-E infrastructure categories do not sufficiently reflect the Green Deal and technological progress</w:t>
            </w:r>
          </w:p>
        </w:tc>
        <w:tc>
          <w:tcPr>
            <w:tcW w:w="3193" w:type="dxa"/>
            <w:vMerge w:val="restart"/>
          </w:tcPr>
          <w:p w:rsidR="00B60846" w:rsidRDefault="008069FF">
            <w:pPr>
              <w:spacing w:after="120"/>
              <w:rPr>
                <w:i/>
                <w:iCs/>
                <w:noProof/>
                <w:sz w:val="22"/>
                <w:szCs w:val="22"/>
                <w:u w:val="single"/>
              </w:rPr>
            </w:pPr>
            <w:r>
              <w:rPr>
                <w:i/>
                <w:iCs/>
                <w:noProof/>
                <w:sz w:val="22"/>
                <w:szCs w:val="22"/>
                <w:u w:val="single"/>
              </w:rPr>
              <w:t>Specific objective 1</w:t>
            </w:r>
          </w:p>
          <w:p w:rsidR="00B60846" w:rsidRDefault="008069FF">
            <w:pPr>
              <w:spacing w:after="120"/>
              <w:rPr>
                <w:noProof/>
                <w:sz w:val="22"/>
                <w:szCs w:val="22"/>
              </w:rPr>
            </w:pPr>
            <w:r>
              <w:rPr>
                <w:noProof/>
                <w:sz w:val="22"/>
                <w:szCs w:val="22"/>
              </w:rPr>
              <w:t>Enable the identification of the cross-border projects</w:t>
            </w:r>
            <w:r>
              <w:rPr>
                <w:noProof/>
                <w:sz w:val="22"/>
                <w:szCs w:val="22"/>
              </w:rPr>
              <w:t xml:space="preserve"> and investments across the EU and with its neighbouring countries that are necessary for the energy transition and climate targets</w:t>
            </w:r>
          </w:p>
        </w:tc>
        <w:tc>
          <w:tcPr>
            <w:tcW w:w="2438" w:type="dxa"/>
          </w:tcPr>
          <w:p w:rsidR="00B60846" w:rsidRDefault="008069FF">
            <w:pPr>
              <w:spacing w:after="120"/>
              <w:rPr>
                <w:noProof/>
                <w:sz w:val="22"/>
                <w:szCs w:val="22"/>
              </w:rPr>
            </w:pPr>
            <w:r>
              <w:rPr>
                <w:noProof/>
                <w:sz w:val="22"/>
                <w:szCs w:val="22"/>
              </w:rPr>
              <w:t>Option A.1: Smart electricity grids and electricity storage</w:t>
            </w:r>
          </w:p>
          <w:p w:rsidR="00B60846" w:rsidRDefault="008069FF">
            <w:pPr>
              <w:spacing w:after="120"/>
              <w:rPr>
                <w:noProof/>
                <w:sz w:val="22"/>
                <w:szCs w:val="22"/>
              </w:rPr>
            </w:pPr>
            <w:r>
              <w:rPr>
                <w:noProof/>
                <w:sz w:val="22"/>
                <w:szCs w:val="22"/>
              </w:rPr>
              <w:t>Option A.2: Gas infrastructure, hydrogen networks and power-to-g</w:t>
            </w:r>
            <w:r>
              <w:rPr>
                <w:noProof/>
                <w:sz w:val="22"/>
                <w:szCs w:val="22"/>
              </w:rPr>
              <w:t>as</w:t>
            </w:r>
          </w:p>
          <w:p w:rsidR="00B60846" w:rsidRDefault="008069FF">
            <w:pPr>
              <w:spacing w:after="120"/>
              <w:rPr>
                <w:noProof/>
                <w:sz w:val="22"/>
                <w:szCs w:val="22"/>
              </w:rPr>
            </w:pPr>
            <w:r>
              <w:rPr>
                <w:noProof/>
                <w:sz w:val="22"/>
                <w:szCs w:val="22"/>
              </w:rPr>
              <w:t>Option A.3: Projects of mutual interest (PMIs)</w:t>
            </w:r>
          </w:p>
        </w:tc>
      </w:tr>
      <w:tr w:rsidR="00B60846">
        <w:tc>
          <w:tcPr>
            <w:tcW w:w="3203" w:type="dxa"/>
          </w:tcPr>
          <w:p w:rsidR="00B60846" w:rsidRDefault="008069FF">
            <w:pPr>
              <w:spacing w:after="120"/>
              <w:rPr>
                <w:i/>
                <w:noProof/>
                <w:sz w:val="22"/>
                <w:szCs w:val="22"/>
                <w:u w:val="single"/>
                <w:lang w:eastAsia="en-US"/>
              </w:rPr>
            </w:pPr>
            <w:r>
              <w:rPr>
                <w:i/>
                <w:iCs/>
                <w:noProof/>
                <w:sz w:val="22"/>
                <w:szCs w:val="22"/>
                <w:u w:val="single"/>
              </w:rPr>
              <w:t xml:space="preserve">Driver 1.2 </w:t>
            </w:r>
          </w:p>
          <w:p w:rsidR="00B60846" w:rsidRDefault="008069FF">
            <w:pPr>
              <w:spacing w:after="120"/>
              <w:rPr>
                <w:noProof/>
                <w:sz w:val="22"/>
                <w:szCs w:val="22"/>
              </w:rPr>
            </w:pPr>
            <w:r>
              <w:rPr>
                <w:noProof/>
                <w:sz w:val="22"/>
                <w:szCs w:val="22"/>
                <w:lang w:eastAsia="en-US"/>
              </w:rPr>
              <w:t>Lack of a mandatory sustainability criterion in the PCI selection process</w:t>
            </w:r>
          </w:p>
        </w:tc>
        <w:tc>
          <w:tcPr>
            <w:tcW w:w="3193" w:type="dxa"/>
            <w:vMerge/>
          </w:tcPr>
          <w:p w:rsidR="00B60846" w:rsidRDefault="00B60846">
            <w:pPr>
              <w:spacing w:after="120"/>
              <w:rPr>
                <w:noProof/>
                <w:sz w:val="22"/>
                <w:szCs w:val="22"/>
              </w:rPr>
            </w:pPr>
          </w:p>
        </w:tc>
        <w:tc>
          <w:tcPr>
            <w:tcW w:w="2438" w:type="dxa"/>
          </w:tcPr>
          <w:p w:rsidR="00B60846" w:rsidRDefault="008069FF">
            <w:pPr>
              <w:spacing w:after="120"/>
              <w:rPr>
                <w:noProof/>
                <w:sz w:val="22"/>
                <w:szCs w:val="22"/>
              </w:rPr>
            </w:pPr>
            <w:r>
              <w:rPr>
                <w:noProof/>
                <w:sz w:val="22"/>
                <w:szCs w:val="22"/>
              </w:rPr>
              <w:t>Option B.2: Cross-sectoral infrastructure planning</w:t>
            </w:r>
          </w:p>
          <w:p w:rsidR="00B60846" w:rsidRDefault="00B60846">
            <w:pPr>
              <w:spacing w:after="120"/>
              <w:rPr>
                <w:noProof/>
                <w:sz w:val="22"/>
                <w:szCs w:val="22"/>
              </w:rPr>
            </w:pPr>
          </w:p>
        </w:tc>
      </w:tr>
      <w:tr w:rsidR="00B60846">
        <w:tc>
          <w:tcPr>
            <w:tcW w:w="3203" w:type="dxa"/>
          </w:tcPr>
          <w:p w:rsidR="00B60846" w:rsidRDefault="008069FF">
            <w:pPr>
              <w:spacing w:after="120"/>
              <w:rPr>
                <w:i/>
                <w:iCs/>
                <w:noProof/>
                <w:sz w:val="22"/>
                <w:szCs w:val="22"/>
                <w:u w:val="single"/>
              </w:rPr>
            </w:pPr>
            <w:r>
              <w:rPr>
                <w:i/>
                <w:iCs/>
                <w:noProof/>
                <w:sz w:val="22"/>
                <w:szCs w:val="22"/>
                <w:u w:val="single"/>
              </w:rPr>
              <w:t xml:space="preserve">Driver 1.3 </w:t>
            </w:r>
          </w:p>
          <w:p w:rsidR="00B60846" w:rsidRDefault="008069FF">
            <w:pPr>
              <w:spacing w:after="120"/>
              <w:rPr>
                <w:noProof/>
                <w:sz w:val="22"/>
                <w:szCs w:val="22"/>
              </w:rPr>
            </w:pPr>
            <w:r>
              <w:rPr>
                <w:noProof/>
                <w:sz w:val="22"/>
                <w:szCs w:val="22"/>
              </w:rPr>
              <w:t>Sectoral bottom-up approach to infrastructure plannin</w:t>
            </w:r>
            <w:r>
              <w:rPr>
                <w:noProof/>
                <w:sz w:val="22"/>
                <w:szCs w:val="22"/>
              </w:rPr>
              <w:t>g</w:t>
            </w:r>
          </w:p>
        </w:tc>
        <w:tc>
          <w:tcPr>
            <w:tcW w:w="3193" w:type="dxa"/>
          </w:tcPr>
          <w:p w:rsidR="00B60846" w:rsidRDefault="008069FF">
            <w:pPr>
              <w:spacing w:after="120"/>
              <w:rPr>
                <w:i/>
                <w:iCs/>
                <w:noProof/>
                <w:sz w:val="22"/>
                <w:szCs w:val="22"/>
                <w:u w:val="single"/>
              </w:rPr>
            </w:pPr>
            <w:r>
              <w:rPr>
                <w:i/>
                <w:iCs/>
                <w:noProof/>
                <w:sz w:val="22"/>
                <w:szCs w:val="22"/>
                <w:u w:val="single"/>
              </w:rPr>
              <w:t>Specific objective 2</w:t>
            </w:r>
          </w:p>
          <w:p w:rsidR="00B60846" w:rsidRDefault="008069FF">
            <w:pPr>
              <w:spacing w:after="120"/>
              <w:rPr>
                <w:noProof/>
                <w:sz w:val="22"/>
                <w:szCs w:val="22"/>
              </w:rPr>
            </w:pPr>
            <w:r>
              <w:rPr>
                <w:noProof/>
                <w:sz w:val="22"/>
                <w:szCs w:val="22"/>
              </w:rPr>
              <w:t>Improve infrastructure planning for energy system integration and offshore grids</w:t>
            </w:r>
          </w:p>
        </w:tc>
        <w:tc>
          <w:tcPr>
            <w:tcW w:w="2438" w:type="dxa"/>
          </w:tcPr>
          <w:p w:rsidR="00B60846" w:rsidRDefault="008069FF">
            <w:pPr>
              <w:spacing w:after="120"/>
              <w:rPr>
                <w:noProof/>
                <w:sz w:val="22"/>
                <w:szCs w:val="22"/>
              </w:rPr>
            </w:pPr>
            <w:r>
              <w:rPr>
                <w:noProof/>
                <w:sz w:val="22"/>
                <w:szCs w:val="22"/>
              </w:rPr>
              <w:t>Option B.1: Offshore grids for renewable energy</w:t>
            </w:r>
          </w:p>
          <w:p w:rsidR="00B60846" w:rsidRDefault="008069FF">
            <w:pPr>
              <w:spacing w:after="120"/>
              <w:rPr>
                <w:i/>
                <w:noProof/>
                <w:sz w:val="22"/>
                <w:szCs w:val="22"/>
                <w:u w:val="single"/>
              </w:rPr>
            </w:pPr>
            <w:r>
              <w:rPr>
                <w:noProof/>
                <w:sz w:val="22"/>
                <w:szCs w:val="22"/>
              </w:rPr>
              <w:t>Option B.2: Cross-sectoral infrastructure planning</w:t>
            </w:r>
          </w:p>
        </w:tc>
      </w:tr>
      <w:tr w:rsidR="00B60846">
        <w:tc>
          <w:tcPr>
            <w:tcW w:w="3203" w:type="dxa"/>
          </w:tcPr>
          <w:p w:rsidR="00B60846" w:rsidRDefault="008069FF">
            <w:pPr>
              <w:spacing w:after="120"/>
              <w:rPr>
                <w:i/>
                <w:iCs/>
                <w:noProof/>
                <w:sz w:val="22"/>
                <w:szCs w:val="22"/>
                <w:u w:val="single"/>
              </w:rPr>
            </w:pPr>
            <w:r>
              <w:rPr>
                <w:i/>
                <w:iCs/>
                <w:noProof/>
                <w:sz w:val="22"/>
                <w:szCs w:val="22"/>
                <w:u w:val="single"/>
              </w:rPr>
              <w:t>Problem 2</w:t>
            </w:r>
          </w:p>
          <w:p w:rsidR="00B60846" w:rsidRDefault="008069FF">
            <w:pPr>
              <w:spacing w:after="120"/>
              <w:rPr>
                <w:noProof/>
                <w:sz w:val="22"/>
                <w:szCs w:val="22"/>
              </w:rPr>
            </w:pPr>
            <w:r>
              <w:rPr>
                <w:noProof/>
                <w:sz w:val="22"/>
                <w:szCs w:val="22"/>
              </w:rPr>
              <w:t>Delays in project implementation</w:t>
            </w:r>
          </w:p>
          <w:p w:rsidR="00B60846" w:rsidRDefault="00B60846">
            <w:pPr>
              <w:spacing w:after="120"/>
              <w:rPr>
                <w:noProof/>
                <w:sz w:val="22"/>
                <w:szCs w:val="22"/>
              </w:rPr>
            </w:pPr>
          </w:p>
        </w:tc>
        <w:tc>
          <w:tcPr>
            <w:tcW w:w="3193" w:type="dxa"/>
          </w:tcPr>
          <w:p w:rsidR="00B60846" w:rsidRDefault="008069FF">
            <w:pPr>
              <w:spacing w:after="120"/>
              <w:rPr>
                <w:i/>
                <w:iCs/>
                <w:noProof/>
                <w:sz w:val="22"/>
                <w:szCs w:val="22"/>
                <w:u w:val="single"/>
              </w:rPr>
            </w:pPr>
            <w:r>
              <w:rPr>
                <w:i/>
                <w:iCs/>
                <w:noProof/>
                <w:sz w:val="22"/>
                <w:szCs w:val="22"/>
                <w:u w:val="single"/>
              </w:rPr>
              <w:t xml:space="preserve">General </w:t>
            </w:r>
            <w:r>
              <w:rPr>
                <w:i/>
                <w:iCs/>
                <w:noProof/>
                <w:sz w:val="22"/>
                <w:szCs w:val="22"/>
                <w:u w:val="single"/>
              </w:rPr>
              <w:t>objective (Part 2)</w:t>
            </w:r>
          </w:p>
          <w:p w:rsidR="00B60846" w:rsidRDefault="008069FF">
            <w:pPr>
              <w:spacing w:after="120"/>
              <w:rPr>
                <w:noProof/>
                <w:sz w:val="22"/>
                <w:szCs w:val="22"/>
              </w:rPr>
            </w:pPr>
            <w:r>
              <w:rPr>
                <w:noProof/>
                <w:sz w:val="22"/>
                <w:szCs w:val="22"/>
              </w:rPr>
              <w:t>Facilitate the timely development of adequate cross-border energy infrastructures across the EU at least cost for consumers and businesses</w:t>
            </w:r>
          </w:p>
        </w:tc>
        <w:tc>
          <w:tcPr>
            <w:tcW w:w="2438" w:type="dxa"/>
          </w:tcPr>
          <w:p w:rsidR="00B60846" w:rsidRDefault="00B60846">
            <w:pPr>
              <w:spacing w:after="120"/>
              <w:rPr>
                <w:i/>
                <w:noProof/>
                <w:sz w:val="22"/>
                <w:szCs w:val="22"/>
                <w:u w:val="single"/>
              </w:rPr>
            </w:pPr>
          </w:p>
        </w:tc>
      </w:tr>
      <w:tr w:rsidR="00B60846">
        <w:tc>
          <w:tcPr>
            <w:tcW w:w="3203" w:type="dxa"/>
          </w:tcPr>
          <w:p w:rsidR="00B60846" w:rsidRDefault="008069FF">
            <w:pPr>
              <w:spacing w:after="120"/>
              <w:rPr>
                <w:i/>
                <w:iCs/>
                <w:noProof/>
                <w:sz w:val="22"/>
                <w:szCs w:val="22"/>
                <w:u w:val="single"/>
              </w:rPr>
            </w:pPr>
            <w:r>
              <w:rPr>
                <w:i/>
                <w:iCs/>
                <w:noProof/>
                <w:sz w:val="22"/>
                <w:szCs w:val="22"/>
                <w:u w:val="single"/>
              </w:rPr>
              <w:t xml:space="preserve">Driver 2.1 </w:t>
            </w:r>
          </w:p>
          <w:p w:rsidR="00B60846" w:rsidRDefault="008069FF">
            <w:pPr>
              <w:spacing w:after="120"/>
              <w:rPr>
                <w:noProof/>
                <w:sz w:val="22"/>
                <w:szCs w:val="22"/>
              </w:rPr>
            </w:pPr>
            <w:r>
              <w:rPr>
                <w:noProof/>
                <w:sz w:val="22"/>
                <w:szCs w:val="22"/>
              </w:rPr>
              <w:t xml:space="preserve">Long permitting procedures </w:t>
            </w:r>
          </w:p>
        </w:tc>
        <w:tc>
          <w:tcPr>
            <w:tcW w:w="3193" w:type="dxa"/>
          </w:tcPr>
          <w:p w:rsidR="00B60846" w:rsidRDefault="008069FF">
            <w:pPr>
              <w:spacing w:after="120"/>
              <w:rPr>
                <w:i/>
                <w:iCs/>
                <w:noProof/>
                <w:sz w:val="22"/>
                <w:szCs w:val="22"/>
                <w:u w:val="single"/>
              </w:rPr>
            </w:pPr>
            <w:r>
              <w:rPr>
                <w:i/>
                <w:iCs/>
                <w:noProof/>
                <w:sz w:val="22"/>
                <w:szCs w:val="22"/>
                <w:u w:val="single"/>
              </w:rPr>
              <w:t>Specific objective 3</w:t>
            </w:r>
          </w:p>
          <w:p w:rsidR="00B60846" w:rsidRDefault="008069FF">
            <w:pPr>
              <w:spacing w:after="120"/>
              <w:rPr>
                <w:noProof/>
                <w:sz w:val="22"/>
                <w:szCs w:val="22"/>
              </w:rPr>
            </w:pPr>
            <w:r>
              <w:rPr>
                <w:noProof/>
                <w:sz w:val="22"/>
                <w:szCs w:val="22"/>
              </w:rPr>
              <w:t>Shorten permitting procedures for P</w:t>
            </w:r>
            <w:r>
              <w:rPr>
                <w:noProof/>
                <w:sz w:val="22"/>
                <w:szCs w:val="22"/>
              </w:rPr>
              <w:t>CIs to avoid delays in projects that facilitate the energy transition</w:t>
            </w:r>
          </w:p>
        </w:tc>
        <w:tc>
          <w:tcPr>
            <w:tcW w:w="2438" w:type="dxa"/>
          </w:tcPr>
          <w:p w:rsidR="00B60846" w:rsidRDefault="008069FF">
            <w:pPr>
              <w:spacing w:after="120"/>
              <w:rPr>
                <w:i/>
                <w:noProof/>
                <w:sz w:val="22"/>
                <w:szCs w:val="22"/>
                <w:u w:val="single"/>
              </w:rPr>
            </w:pPr>
            <w:r>
              <w:rPr>
                <w:noProof/>
                <w:sz w:val="22"/>
                <w:szCs w:val="22"/>
              </w:rPr>
              <w:t>Option C.1: Permitting</w:t>
            </w:r>
          </w:p>
        </w:tc>
      </w:tr>
      <w:tr w:rsidR="00B60846">
        <w:tc>
          <w:tcPr>
            <w:tcW w:w="3203" w:type="dxa"/>
          </w:tcPr>
          <w:p w:rsidR="00B60846" w:rsidRDefault="008069FF">
            <w:pPr>
              <w:spacing w:after="120"/>
              <w:rPr>
                <w:i/>
                <w:iCs/>
                <w:noProof/>
                <w:sz w:val="22"/>
                <w:szCs w:val="22"/>
                <w:u w:val="single"/>
                <w:lang w:eastAsia="en-US"/>
              </w:rPr>
            </w:pPr>
            <w:r>
              <w:rPr>
                <w:i/>
                <w:iCs/>
                <w:noProof/>
                <w:sz w:val="22"/>
                <w:szCs w:val="22"/>
                <w:u w:val="single"/>
              </w:rPr>
              <w:t xml:space="preserve">Driver 2.2 </w:t>
            </w:r>
          </w:p>
          <w:p w:rsidR="00B60846" w:rsidRDefault="008069FF">
            <w:pPr>
              <w:spacing w:after="120"/>
              <w:rPr>
                <w:noProof/>
                <w:sz w:val="22"/>
                <w:szCs w:val="22"/>
              </w:rPr>
            </w:pPr>
            <w:r>
              <w:rPr>
                <w:noProof/>
                <w:sz w:val="22"/>
                <w:szCs w:val="22"/>
                <w:lang w:eastAsia="en-US"/>
              </w:rPr>
              <w:t>Sub-optimal implementation and insufficient use of the cost sharing tools and regulatory incentives</w:t>
            </w:r>
          </w:p>
        </w:tc>
        <w:tc>
          <w:tcPr>
            <w:tcW w:w="3193" w:type="dxa"/>
          </w:tcPr>
          <w:p w:rsidR="00B60846" w:rsidRDefault="008069FF">
            <w:pPr>
              <w:spacing w:after="120"/>
              <w:rPr>
                <w:i/>
                <w:iCs/>
                <w:noProof/>
                <w:sz w:val="22"/>
                <w:szCs w:val="22"/>
                <w:u w:val="single"/>
              </w:rPr>
            </w:pPr>
            <w:r>
              <w:rPr>
                <w:i/>
                <w:iCs/>
                <w:noProof/>
                <w:sz w:val="22"/>
                <w:szCs w:val="22"/>
                <w:u w:val="single"/>
              </w:rPr>
              <w:t>Specific objective 4</w:t>
            </w:r>
          </w:p>
          <w:p w:rsidR="00B60846" w:rsidRDefault="008069FF">
            <w:pPr>
              <w:spacing w:after="120"/>
              <w:rPr>
                <w:noProof/>
                <w:sz w:val="22"/>
                <w:szCs w:val="22"/>
              </w:rPr>
            </w:pPr>
            <w:r>
              <w:rPr>
                <w:noProof/>
                <w:sz w:val="22"/>
                <w:szCs w:val="22"/>
              </w:rPr>
              <w:t>Ensure the appropriate use of</w:t>
            </w:r>
            <w:r>
              <w:rPr>
                <w:noProof/>
                <w:sz w:val="22"/>
                <w:szCs w:val="22"/>
              </w:rPr>
              <w:t xml:space="preserve"> cost sharing tools </w:t>
            </w:r>
            <w:r>
              <w:rPr>
                <w:noProof/>
                <w:sz w:val="22"/>
                <w:szCs w:val="22"/>
                <w:lang w:eastAsia="en-US"/>
              </w:rPr>
              <w:t>and regulatory incentives</w:t>
            </w:r>
          </w:p>
        </w:tc>
        <w:tc>
          <w:tcPr>
            <w:tcW w:w="2438" w:type="dxa"/>
          </w:tcPr>
          <w:p w:rsidR="00B60846" w:rsidRDefault="008069FF">
            <w:pPr>
              <w:spacing w:after="120"/>
              <w:rPr>
                <w:i/>
                <w:noProof/>
                <w:sz w:val="22"/>
                <w:szCs w:val="22"/>
                <w:u w:val="single"/>
              </w:rPr>
            </w:pPr>
            <w:r>
              <w:rPr>
                <w:noProof/>
                <w:sz w:val="22"/>
                <w:szCs w:val="22"/>
              </w:rPr>
              <w:t>Option D.1: Regulatory treatment</w:t>
            </w:r>
          </w:p>
        </w:tc>
      </w:tr>
    </w:tbl>
    <w:p w:rsidR="00B60846" w:rsidRDefault="00B60846">
      <w:pPr>
        <w:rPr>
          <w:noProof/>
          <w:lang w:eastAsia="en-GB"/>
        </w:rPr>
      </w:pPr>
    </w:p>
    <w:p w:rsidR="00B60846" w:rsidRDefault="008069FF">
      <w:pPr>
        <w:rPr>
          <w:noProof/>
          <w:lang w:eastAsia="en-GB"/>
        </w:rPr>
      </w:pPr>
      <w:r>
        <w:rPr>
          <w:noProof/>
          <w:lang w:eastAsia="en-GB"/>
        </w:rPr>
        <w:t>In addition to the above objectives, the initiative seeks to simplify and improve the efficiency of the TEN-E Regulation as further specified in section 8.2.</w:t>
      </w:r>
    </w:p>
    <w:p w:rsidR="00B60846" w:rsidRDefault="008069FF">
      <w:pPr>
        <w:pStyle w:val="Heading1"/>
        <w:rPr>
          <w:noProof/>
        </w:rPr>
      </w:pPr>
      <w:bookmarkStart w:id="364" w:name="_Toc39234301"/>
      <w:bookmarkStart w:id="365" w:name="_Toc39234420"/>
      <w:bookmarkStart w:id="366" w:name="_Toc49351334"/>
      <w:bookmarkStart w:id="367" w:name="_Toc49357727"/>
      <w:bookmarkStart w:id="368" w:name="_Toc49359405"/>
      <w:bookmarkStart w:id="369" w:name="_Toc49359740"/>
      <w:bookmarkStart w:id="370" w:name="_Toc49507985"/>
      <w:bookmarkStart w:id="371" w:name="_Toc49508429"/>
      <w:bookmarkStart w:id="372" w:name="_Toc49512340"/>
      <w:bookmarkStart w:id="373" w:name="_Toc49514224"/>
      <w:bookmarkStart w:id="374" w:name="_Toc49516459"/>
      <w:bookmarkStart w:id="375" w:name="_Toc50028471"/>
      <w:bookmarkStart w:id="376" w:name="_Toc50056966"/>
      <w:bookmarkStart w:id="377" w:name="_Toc50452072"/>
      <w:bookmarkStart w:id="378" w:name="_Toc50573891"/>
      <w:bookmarkStart w:id="379" w:name="_Toc50581874"/>
      <w:bookmarkStart w:id="380" w:name="_Toc50582657"/>
      <w:bookmarkStart w:id="381" w:name="_Toc51168550"/>
      <w:bookmarkStart w:id="382" w:name="_Toc51169039"/>
      <w:bookmarkStart w:id="383" w:name="_Toc51231533"/>
      <w:bookmarkStart w:id="384" w:name="_Toc51235469"/>
      <w:bookmarkStart w:id="385" w:name="_Toc51237259"/>
      <w:bookmarkStart w:id="386" w:name="_Toc51238644"/>
      <w:bookmarkStart w:id="387" w:name="_Toc51239369"/>
      <w:bookmarkStart w:id="388" w:name="_Ref51750217"/>
      <w:bookmarkStart w:id="389" w:name="_Toc51788281"/>
      <w:bookmarkStart w:id="390" w:name="_Toc51791819"/>
      <w:bookmarkStart w:id="391" w:name="_Toc51793251"/>
      <w:bookmarkStart w:id="392" w:name="_Toc55496450"/>
      <w:r>
        <w:rPr>
          <w:noProof/>
        </w:rPr>
        <w:t xml:space="preserve">What are the </w:t>
      </w:r>
      <w:r>
        <w:rPr>
          <w:noProof/>
        </w:rPr>
        <w:t>available policy options?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B60846" w:rsidRDefault="008069FF">
      <w:pPr>
        <w:rPr>
          <w:noProof/>
        </w:rPr>
      </w:pPr>
      <w:r>
        <w:rPr>
          <w:noProof/>
        </w:rPr>
        <w:t>Building on the inception impact assessment and the evaluation as well as the issues identified in Section 2 and the objectives set out in Section 4, policy options to address the problems and its underlying drivers, will be prese</w:t>
      </w:r>
      <w:r>
        <w:rPr>
          <w:noProof/>
        </w:rPr>
        <w:t>nted and discussed for four impact areas of the current TEN-E framework: scope, governance/infrastructure planning, permitting and public participation, and regulation. A preliminary analysis will allow discarding those (sub-)options with the least positiv</w:t>
      </w:r>
      <w:r>
        <w:rPr>
          <w:noProof/>
        </w:rPr>
        <w:t xml:space="preserve">e impact. </w:t>
      </w:r>
      <w:r>
        <w:rPr>
          <w:noProof/>
        </w:rPr>
        <w:fldChar w:fldCharType="begin"/>
      </w:r>
      <w:r>
        <w:rPr>
          <w:noProof/>
        </w:rPr>
        <w:instrText xml:space="preserve"> REF _Ref49543730 \h  \* MERGEFORMAT </w:instrText>
      </w:r>
      <w:r>
        <w:rPr>
          <w:noProof/>
        </w:rPr>
      </w:r>
      <w:r>
        <w:rPr>
          <w:noProof/>
        </w:rPr>
        <w:fldChar w:fldCharType="separate"/>
      </w:r>
      <w:r>
        <w:rPr>
          <w:noProof/>
        </w:rPr>
        <w:t>Table 1</w:t>
      </w:r>
      <w:r>
        <w:rPr>
          <w:noProof/>
        </w:rPr>
        <w:fldChar w:fldCharType="end"/>
      </w:r>
      <w:r>
        <w:rPr>
          <w:noProof/>
        </w:rPr>
        <w:t xml:space="preserve"> provides an overview of the policy options subject to assessment. </w:t>
      </w:r>
    </w:p>
    <w:p w:rsidR="00B60846" w:rsidRDefault="008069FF">
      <w:pPr>
        <w:tabs>
          <w:tab w:val="clear" w:pos="2302"/>
        </w:tabs>
        <w:spacing w:after="200" w:line="276" w:lineRule="auto"/>
        <w:jc w:val="left"/>
        <w:rPr>
          <w:noProof/>
        </w:rPr>
      </w:pPr>
      <w:r>
        <w:rPr>
          <w:noProof/>
        </w:rPr>
        <w:br w:type="page"/>
      </w:r>
    </w:p>
    <w:p w:rsidR="00B60846" w:rsidRDefault="008069FF">
      <w:pPr>
        <w:pStyle w:val="Caption"/>
        <w:jc w:val="left"/>
        <w:rPr>
          <w:noProof/>
        </w:rPr>
      </w:pPr>
      <w:bookmarkStart w:id="393" w:name="_Ref49543730"/>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393"/>
      <w:r>
        <w:rPr>
          <w:noProof/>
        </w:rPr>
        <w:t xml:space="preserve">: Overview of assessed policy options </w:t>
      </w:r>
    </w:p>
    <w:tbl>
      <w:tblPr>
        <w:tblStyle w:val="TableGrid211"/>
        <w:tblW w:w="9180" w:type="dxa"/>
        <w:tblLook w:val="04A0" w:firstRow="1" w:lastRow="0" w:firstColumn="1" w:lastColumn="0" w:noHBand="0" w:noVBand="1"/>
      </w:tblPr>
      <w:tblGrid>
        <w:gridCol w:w="1830"/>
        <w:gridCol w:w="7350"/>
      </w:tblGrid>
      <w:tr w:rsidR="00B60846">
        <w:trPr>
          <w:trHeight w:val="136"/>
        </w:trPr>
        <w:tc>
          <w:tcPr>
            <w:tcW w:w="1830" w:type="dxa"/>
          </w:tcPr>
          <w:p w:rsidR="00B60846" w:rsidRDefault="008069FF">
            <w:pPr>
              <w:tabs>
                <w:tab w:val="clear" w:pos="2302"/>
              </w:tabs>
              <w:spacing w:after="0"/>
              <w:jc w:val="left"/>
              <w:rPr>
                <w:rFonts w:eastAsia="Calibri"/>
                <w:b/>
                <w:noProof/>
                <w:sz w:val="22"/>
                <w:szCs w:val="22"/>
              </w:rPr>
            </w:pPr>
            <w:r>
              <w:rPr>
                <w:rFonts w:eastAsia="Calibri"/>
                <w:b/>
                <w:bCs/>
                <w:noProof/>
                <w:sz w:val="22"/>
                <w:szCs w:val="22"/>
              </w:rPr>
              <w:t>Policy option</w:t>
            </w:r>
          </w:p>
        </w:tc>
        <w:tc>
          <w:tcPr>
            <w:tcW w:w="7350" w:type="dxa"/>
          </w:tcPr>
          <w:p w:rsidR="00B60846" w:rsidRDefault="008069FF">
            <w:pPr>
              <w:tabs>
                <w:tab w:val="clear" w:pos="2302"/>
              </w:tabs>
              <w:spacing w:after="0"/>
              <w:jc w:val="left"/>
              <w:rPr>
                <w:rFonts w:eastAsia="Calibri"/>
                <w:b/>
                <w:noProof/>
                <w:sz w:val="22"/>
                <w:szCs w:val="22"/>
              </w:rPr>
            </w:pPr>
            <w:r>
              <w:rPr>
                <w:rFonts w:eastAsia="Calibri"/>
                <w:b/>
                <w:bCs/>
                <w:noProof/>
                <w:sz w:val="22"/>
                <w:szCs w:val="22"/>
              </w:rPr>
              <w:t>Description</w:t>
            </w:r>
          </w:p>
        </w:tc>
      </w:tr>
      <w:tr w:rsidR="00B60846">
        <w:trPr>
          <w:trHeight w:val="136"/>
        </w:trPr>
        <w:tc>
          <w:tcPr>
            <w:tcW w:w="9180" w:type="dxa"/>
            <w:gridSpan w:val="2"/>
          </w:tcPr>
          <w:p w:rsidR="00B60846" w:rsidRDefault="008069FF">
            <w:pPr>
              <w:tabs>
                <w:tab w:val="clear" w:pos="2302"/>
              </w:tabs>
              <w:spacing w:after="0"/>
              <w:jc w:val="center"/>
              <w:rPr>
                <w:rFonts w:eastAsia="Calibri"/>
                <w:noProof/>
                <w:sz w:val="22"/>
                <w:szCs w:val="22"/>
              </w:rPr>
            </w:pPr>
            <w:r>
              <w:rPr>
                <w:rFonts w:eastAsia="Calibri"/>
                <w:b/>
                <w:bCs/>
                <w:smallCaps/>
                <w:noProof/>
                <w:sz w:val="22"/>
                <w:szCs w:val="22"/>
              </w:rPr>
              <w:t>A) Scope</w:t>
            </w:r>
          </w:p>
        </w:tc>
      </w:tr>
      <w:tr w:rsidR="00B60846">
        <w:trPr>
          <w:trHeight w:val="136"/>
        </w:trPr>
        <w:tc>
          <w:tcPr>
            <w:tcW w:w="1830" w:type="dxa"/>
          </w:tcPr>
          <w:p w:rsidR="00B60846" w:rsidRDefault="008069FF">
            <w:pPr>
              <w:tabs>
                <w:tab w:val="clear" w:pos="2302"/>
              </w:tabs>
              <w:spacing w:after="0"/>
              <w:jc w:val="left"/>
              <w:rPr>
                <w:rFonts w:eastAsia="Calibri"/>
                <w:i/>
                <w:noProof/>
                <w:sz w:val="22"/>
                <w:szCs w:val="22"/>
              </w:rPr>
            </w:pPr>
            <w:r>
              <w:rPr>
                <w:rFonts w:eastAsia="Calibri"/>
                <w:i/>
                <w:iCs/>
                <w:noProof/>
                <w:sz w:val="22"/>
                <w:szCs w:val="22"/>
              </w:rPr>
              <w:t>Option A.1.</w:t>
            </w:r>
          </w:p>
        </w:tc>
        <w:tc>
          <w:tcPr>
            <w:tcW w:w="7350" w:type="dxa"/>
          </w:tcPr>
          <w:p w:rsidR="00B60846" w:rsidRDefault="008069FF">
            <w:pPr>
              <w:tabs>
                <w:tab w:val="clear" w:pos="2302"/>
              </w:tabs>
              <w:spacing w:after="0"/>
              <w:jc w:val="left"/>
              <w:rPr>
                <w:rFonts w:eastAsia="Calibri"/>
                <w:i/>
                <w:noProof/>
                <w:sz w:val="22"/>
                <w:szCs w:val="22"/>
              </w:rPr>
            </w:pPr>
            <w:r>
              <w:rPr>
                <w:rFonts w:eastAsia="Calibri"/>
                <w:i/>
                <w:iCs/>
                <w:noProof/>
                <w:sz w:val="22"/>
                <w:szCs w:val="22"/>
              </w:rPr>
              <w:t>Smart electricity grids and electricity storage</w:t>
            </w:r>
          </w:p>
        </w:tc>
      </w:tr>
      <w:tr w:rsidR="00B60846">
        <w:trPr>
          <w:trHeight w:val="136"/>
        </w:trPr>
        <w:tc>
          <w:tcPr>
            <w:tcW w:w="1830" w:type="dxa"/>
          </w:tcPr>
          <w:p w:rsidR="00B60846" w:rsidRDefault="008069FF">
            <w:pPr>
              <w:tabs>
                <w:tab w:val="clear" w:pos="2302"/>
              </w:tabs>
              <w:spacing w:after="0"/>
              <w:jc w:val="left"/>
              <w:rPr>
                <w:rFonts w:eastAsia="Calibri"/>
                <w:noProof/>
                <w:sz w:val="22"/>
                <w:szCs w:val="22"/>
              </w:rPr>
            </w:pPr>
            <w:r>
              <w:rPr>
                <w:rFonts w:eastAsia="Calibri"/>
                <w:noProof/>
                <w:sz w:val="22"/>
                <w:szCs w:val="22"/>
              </w:rPr>
              <w:t>Option A.1.0</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r>
      <w:tr w:rsidR="00B60846">
        <w:trPr>
          <w:trHeight w:val="136"/>
        </w:trPr>
        <w:tc>
          <w:tcPr>
            <w:tcW w:w="1830" w:type="dxa"/>
            <w:noWrap/>
            <w:hideMark/>
          </w:tcPr>
          <w:p w:rsidR="00B60846" w:rsidRDefault="008069FF">
            <w:pPr>
              <w:tabs>
                <w:tab w:val="clear" w:pos="2302"/>
              </w:tabs>
              <w:spacing w:after="0"/>
              <w:jc w:val="left"/>
              <w:rPr>
                <w:rFonts w:eastAsia="Calibri"/>
                <w:noProof/>
                <w:sz w:val="22"/>
                <w:szCs w:val="22"/>
              </w:rPr>
            </w:pPr>
            <w:r>
              <w:rPr>
                <w:rFonts w:eastAsia="Calibri"/>
                <w:noProof/>
                <w:sz w:val="22"/>
                <w:szCs w:val="22"/>
              </w:rPr>
              <w:t>Option A.1.1</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Broadened scope to reflect technological developments</w:t>
            </w:r>
          </w:p>
        </w:tc>
      </w:tr>
      <w:tr w:rsidR="00B60846">
        <w:trPr>
          <w:trHeight w:val="136"/>
        </w:trPr>
        <w:tc>
          <w:tcPr>
            <w:tcW w:w="1830" w:type="dxa"/>
            <w:noWrap/>
          </w:tcPr>
          <w:p w:rsidR="00B60846" w:rsidRDefault="00B60846">
            <w:pPr>
              <w:tabs>
                <w:tab w:val="clear" w:pos="2302"/>
              </w:tabs>
              <w:spacing w:after="0"/>
              <w:jc w:val="left"/>
              <w:rPr>
                <w:rFonts w:eastAsia="Calibri"/>
                <w:noProof/>
                <w:sz w:val="22"/>
                <w:szCs w:val="22"/>
              </w:rPr>
            </w:pP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u w:val="single"/>
              </w:rPr>
              <w:t>Sub-option</w:t>
            </w:r>
            <w:r>
              <w:rPr>
                <w:rFonts w:eastAsia="Calibri"/>
                <w:noProof/>
                <w:sz w:val="22"/>
                <w:szCs w:val="22"/>
              </w:rPr>
              <w:t xml:space="preserve">: </w:t>
            </w:r>
            <w:r>
              <w:rPr>
                <w:rFonts w:eastAsia="Calibri"/>
                <w:noProof/>
                <w:sz w:val="22"/>
                <w:szCs w:val="22"/>
              </w:rPr>
              <w:t>Non-mechanical storage</w:t>
            </w:r>
          </w:p>
        </w:tc>
      </w:tr>
      <w:tr w:rsidR="00B60846">
        <w:trPr>
          <w:trHeight w:val="136"/>
        </w:trPr>
        <w:tc>
          <w:tcPr>
            <w:tcW w:w="1830" w:type="dxa"/>
            <w:noWrap/>
          </w:tcPr>
          <w:p w:rsidR="00B60846" w:rsidRDefault="008069FF">
            <w:pPr>
              <w:tabs>
                <w:tab w:val="clear" w:pos="2302"/>
              </w:tabs>
              <w:spacing w:after="0"/>
              <w:jc w:val="left"/>
              <w:rPr>
                <w:rFonts w:eastAsia="Calibri"/>
                <w:i/>
                <w:noProof/>
                <w:sz w:val="22"/>
                <w:szCs w:val="22"/>
              </w:rPr>
            </w:pPr>
            <w:r>
              <w:rPr>
                <w:rFonts w:eastAsia="Calibri"/>
                <w:i/>
                <w:iCs/>
                <w:noProof/>
                <w:sz w:val="22"/>
                <w:szCs w:val="22"/>
              </w:rPr>
              <w:t>Option A.2</w:t>
            </w:r>
          </w:p>
        </w:tc>
        <w:tc>
          <w:tcPr>
            <w:tcW w:w="7350" w:type="dxa"/>
          </w:tcPr>
          <w:p w:rsidR="00B60846" w:rsidRDefault="008069FF">
            <w:pPr>
              <w:tabs>
                <w:tab w:val="clear" w:pos="2302"/>
              </w:tabs>
              <w:spacing w:after="0"/>
              <w:jc w:val="left"/>
              <w:rPr>
                <w:rFonts w:eastAsia="Calibri"/>
                <w:i/>
                <w:noProof/>
                <w:sz w:val="22"/>
                <w:szCs w:val="22"/>
              </w:rPr>
            </w:pPr>
            <w:r>
              <w:rPr>
                <w:rFonts w:eastAsia="Calibri"/>
                <w:i/>
                <w:iCs/>
                <w:noProof/>
                <w:sz w:val="22"/>
                <w:szCs w:val="22"/>
              </w:rPr>
              <w:t>Gas infrastructure, hydrogen networks and power-to-gas</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A.2.0</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A.2.1</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Exclude all natural gas infrastructure but include hydrogen and P2G</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A.2.2</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Exclude natural gas infrastructure but</w:t>
            </w:r>
            <w:r>
              <w:rPr>
                <w:rFonts w:eastAsia="Calibri"/>
                <w:noProof/>
                <w:sz w:val="22"/>
                <w:szCs w:val="22"/>
              </w:rPr>
              <w:t xml:space="preserve"> include hydrogen, P2G and smart gas grids for low-carbon and renewable gases</w:t>
            </w:r>
          </w:p>
        </w:tc>
      </w:tr>
      <w:tr w:rsidR="00B60846">
        <w:trPr>
          <w:trHeight w:val="136"/>
        </w:trPr>
        <w:tc>
          <w:tcPr>
            <w:tcW w:w="1830" w:type="dxa"/>
            <w:noWrap/>
          </w:tcPr>
          <w:p w:rsidR="00B60846" w:rsidRDefault="00B60846">
            <w:pPr>
              <w:tabs>
                <w:tab w:val="clear" w:pos="2302"/>
              </w:tabs>
              <w:spacing w:after="0"/>
              <w:jc w:val="left"/>
              <w:rPr>
                <w:rFonts w:eastAsia="Calibri"/>
                <w:noProof/>
                <w:sz w:val="22"/>
                <w:szCs w:val="22"/>
              </w:rPr>
            </w:pP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u w:val="single"/>
              </w:rPr>
              <w:t>Sub-option</w:t>
            </w:r>
            <w:r>
              <w:rPr>
                <w:rFonts w:eastAsia="Calibri"/>
                <w:noProof/>
                <w:sz w:val="22"/>
                <w:szCs w:val="22"/>
              </w:rPr>
              <w:t>: Natural gas infrastructure for renewable and low-carbon gases</w:t>
            </w:r>
          </w:p>
        </w:tc>
      </w:tr>
      <w:tr w:rsidR="00B60846">
        <w:trPr>
          <w:trHeight w:val="136"/>
        </w:trPr>
        <w:tc>
          <w:tcPr>
            <w:tcW w:w="1830" w:type="dxa"/>
            <w:noWrap/>
          </w:tcPr>
          <w:p w:rsidR="00B60846" w:rsidRDefault="00B60846">
            <w:pPr>
              <w:tabs>
                <w:tab w:val="clear" w:pos="2302"/>
              </w:tabs>
              <w:spacing w:after="0"/>
              <w:jc w:val="left"/>
              <w:rPr>
                <w:rFonts w:eastAsia="Calibri"/>
                <w:noProof/>
                <w:sz w:val="22"/>
                <w:szCs w:val="22"/>
              </w:rPr>
            </w:pPr>
          </w:p>
        </w:tc>
        <w:tc>
          <w:tcPr>
            <w:tcW w:w="7350" w:type="dxa"/>
          </w:tcPr>
          <w:p w:rsidR="00B60846" w:rsidRDefault="008069FF">
            <w:pPr>
              <w:tabs>
                <w:tab w:val="clear" w:pos="2302"/>
              </w:tabs>
              <w:spacing w:after="0"/>
              <w:jc w:val="left"/>
              <w:rPr>
                <w:rFonts w:eastAsia="Calibri"/>
                <w:noProof/>
                <w:sz w:val="22"/>
                <w:szCs w:val="22"/>
                <w:u w:val="single"/>
              </w:rPr>
            </w:pPr>
            <w:r>
              <w:rPr>
                <w:rFonts w:eastAsia="Calibri"/>
                <w:noProof/>
                <w:sz w:val="22"/>
                <w:szCs w:val="22"/>
                <w:u w:val="single"/>
              </w:rPr>
              <w:t>Sub-option</w:t>
            </w:r>
            <w:r>
              <w:rPr>
                <w:rFonts w:eastAsia="Calibri"/>
                <w:noProof/>
                <w:sz w:val="22"/>
                <w:szCs w:val="22"/>
              </w:rPr>
              <w:t>: Exceptions for natural gas PCIs (advanced implementation)</w:t>
            </w:r>
          </w:p>
        </w:tc>
      </w:tr>
      <w:tr w:rsidR="00B60846">
        <w:trPr>
          <w:trHeight w:val="136"/>
        </w:trPr>
        <w:tc>
          <w:tcPr>
            <w:tcW w:w="1830" w:type="dxa"/>
            <w:noWrap/>
          </w:tcPr>
          <w:p w:rsidR="00B60846" w:rsidRDefault="008069FF">
            <w:pPr>
              <w:tabs>
                <w:tab w:val="clear" w:pos="2302"/>
              </w:tabs>
              <w:spacing w:after="0"/>
              <w:jc w:val="left"/>
              <w:rPr>
                <w:rFonts w:eastAsia="Calibri"/>
                <w:i/>
                <w:iCs/>
                <w:noProof/>
                <w:sz w:val="22"/>
                <w:szCs w:val="22"/>
              </w:rPr>
            </w:pPr>
            <w:r>
              <w:rPr>
                <w:rFonts w:eastAsia="Calibri"/>
                <w:i/>
                <w:iCs/>
                <w:noProof/>
                <w:sz w:val="22"/>
                <w:szCs w:val="22"/>
              </w:rPr>
              <w:t>Option A.3</w:t>
            </w:r>
          </w:p>
        </w:tc>
        <w:tc>
          <w:tcPr>
            <w:tcW w:w="7350" w:type="dxa"/>
          </w:tcPr>
          <w:p w:rsidR="00B60846" w:rsidRDefault="008069FF">
            <w:pPr>
              <w:tabs>
                <w:tab w:val="clear" w:pos="2302"/>
              </w:tabs>
              <w:spacing w:after="0"/>
              <w:jc w:val="left"/>
              <w:rPr>
                <w:rFonts w:eastAsia="Calibri"/>
                <w:i/>
                <w:iCs/>
                <w:noProof/>
                <w:sz w:val="22"/>
                <w:szCs w:val="22"/>
              </w:rPr>
            </w:pPr>
            <w:r>
              <w:rPr>
                <w:rFonts w:eastAsia="Calibri"/>
                <w:i/>
                <w:iCs/>
                <w:noProof/>
                <w:sz w:val="22"/>
                <w:szCs w:val="22"/>
              </w:rPr>
              <w:t>Projects of mutual</w:t>
            </w:r>
            <w:r>
              <w:rPr>
                <w:rFonts w:eastAsia="Calibri"/>
                <w:i/>
                <w:iCs/>
                <w:noProof/>
                <w:sz w:val="22"/>
                <w:szCs w:val="22"/>
              </w:rPr>
              <w:t xml:space="preserve"> interest (PMIs)</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A.3.0</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A.3.1</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Inclusion of projects of mutual interest (PMIs)</w:t>
            </w:r>
          </w:p>
        </w:tc>
      </w:tr>
      <w:tr w:rsidR="00B60846">
        <w:trPr>
          <w:trHeight w:val="136"/>
        </w:trPr>
        <w:tc>
          <w:tcPr>
            <w:tcW w:w="9180" w:type="dxa"/>
            <w:gridSpan w:val="2"/>
            <w:noWrap/>
          </w:tcPr>
          <w:p w:rsidR="00B60846" w:rsidRDefault="008069FF">
            <w:pPr>
              <w:tabs>
                <w:tab w:val="clear" w:pos="2302"/>
              </w:tabs>
              <w:spacing w:after="0"/>
              <w:jc w:val="center"/>
              <w:rPr>
                <w:rFonts w:eastAsia="Calibri"/>
                <w:noProof/>
                <w:sz w:val="22"/>
                <w:szCs w:val="22"/>
              </w:rPr>
            </w:pPr>
            <w:r>
              <w:rPr>
                <w:rFonts w:eastAsia="Calibri"/>
                <w:b/>
                <w:bCs/>
                <w:smallCaps/>
                <w:noProof/>
                <w:sz w:val="22"/>
                <w:szCs w:val="22"/>
              </w:rPr>
              <w:t>B) Governance / Infrastructure planning</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Option B.1</w:t>
            </w:r>
          </w:p>
        </w:tc>
        <w:tc>
          <w:tcPr>
            <w:tcW w:w="7350" w:type="dxa"/>
          </w:tcPr>
          <w:p w:rsidR="00B60846" w:rsidRDefault="008069FF">
            <w:pPr>
              <w:tabs>
                <w:tab w:val="clear" w:pos="2302"/>
              </w:tabs>
              <w:spacing w:after="0"/>
              <w:jc w:val="left"/>
              <w:rPr>
                <w:rFonts w:eastAsia="Calibri"/>
                <w:noProof/>
                <w:sz w:val="22"/>
                <w:szCs w:val="22"/>
              </w:rPr>
            </w:pPr>
            <w:r>
              <w:rPr>
                <w:rFonts w:eastAsia="Calibri"/>
                <w:i/>
                <w:iCs/>
                <w:noProof/>
                <w:sz w:val="22"/>
                <w:szCs w:val="22"/>
              </w:rPr>
              <w:t>Offshore grids for renewable energy</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B.1.0</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B.1.1</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Integrated</w:t>
            </w:r>
            <w:r>
              <w:rPr>
                <w:rFonts w:eastAsia="Calibri"/>
                <w:noProof/>
                <w:sz w:val="22"/>
                <w:szCs w:val="22"/>
              </w:rPr>
              <w:t xml:space="preserve"> offshore development plans</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B.1.2</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Regional Independent System Operator / Joint Undertaking </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Option B.2</w:t>
            </w:r>
          </w:p>
        </w:tc>
        <w:tc>
          <w:tcPr>
            <w:tcW w:w="7350" w:type="dxa"/>
          </w:tcPr>
          <w:p w:rsidR="00B60846" w:rsidRDefault="008069FF">
            <w:pPr>
              <w:tabs>
                <w:tab w:val="clear" w:pos="2302"/>
              </w:tabs>
              <w:spacing w:after="0"/>
              <w:jc w:val="left"/>
              <w:rPr>
                <w:rFonts w:eastAsia="Calibri"/>
                <w:noProof/>
                <w:sz w:val="22"/>
                <w:szCs w:val="22"/>
              </w:rPr>
            </w:pPr>
            <w:r>
              <w:rPr>
                <w:rFonts w:eastAsia="Calibri"/>
                <w:i/>
                <w:iCs/>
                <w:noProof/>
                <w:sz w:val="22"/>
                <w:szCs w:val="22"/>
              </w:rPr>
              <w:t>Cross-sectoral infrastructure planning</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B.2.0</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B.2.1</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Strengthened governance and sustainability</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B.2.2</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New governance set-up and expansion of scope and role of the TYNDP</w:t>
            </w:r>
          </w:p>
        </w:tc>
      </w:tr>
      <w:tr w:rsidR="00B60846">
        <w:trPr>
          <w:trHeight w:val="136"/>
        </w:trPr>
        <w:tc>
          <w:tcPr>
            <w:tcW w:w="9180" w:type="dxa"/>
            <w:gridSpan w:val="2"/>
            <w:noWrap/>
          </w:tcPr>
          <w:p w:rsidR="00B60846" w:rsidRDefault="008069FF">
            <w:pPr>
              <w:tabs>
                <w:tab w:val="clear" w:pos="2302"/>
              </w:tabs>
              <w:spacing w:after="0"/>
              <w:jc w:val="center"/>
              <w:rPr>
                <w:rFonts w:eastAsia="Calibri"/>
                <w:noProof/>
                <w:sz w:val="22"/>
                <w:szCs w:val="22"/>
              </w:rPr>
            </w:pPr>
            <w:r>
              <w:rPr>
                <w:rFonts w:eastAsia="Calibri"/>
                <w:b/>
                <w:bCs/>
                <w:smallCaps/>
                <w:noProof/>
                <w:sz w:val="22"/>
                <w:szCs w:val="22"/>
              </w:rPr>
              <w:t xml:space="preserve">C) Permitting </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Option C.1</w:t>
            </w:r>
          </w:p>
        </w:tc>
        <w:tc>
          <w:tcPr>
            <w:tcW w:w="7350" w:type="dxa"/>
          </w:tcPr>
          <w:p w:rsidR="00B60846" w:rsidRDefault="008069FF">
            <w:pPr>
              <w:tabs>
                <w:tab w:val="clear" w:pos="2302"/>
              </w:tabs>
              <w:spacing w:after="0"/>
              <w:jc w:val="left"/>
              <w:rPr>
                <w:rFonts w:eastAsia="Calibri"/>
                <w:noProof/>
                <w:sz w:val="22"/>
                <w:szCs w:val="22"/>
              </w:rPr>
            </w:pPr>
            <w:r>
              <w:rPr>
                <w:rFonts w:eastAsia="Calibri"/>
                <w:i/>
                <w:iCs/>
                <w:noProof/>
                <w:sz w:val="22"/>
                <w:szCs w:val="22"/>
              </w:rPr>
              <w:t>Permitting</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C.1.0</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r>
      <w:tr w:rsidR="00B60846">
        <w:trPr>
          <w:trHeight w:val="136"/>
        </w:trPr>
        <w:tc>
          <w:tcPr>
            <w:tcW w:w="1830"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C.1.1</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Use of urgent court procedures</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C.1.2</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One-stop shop per sea basin for offshore renewable </w:t>
            </w:r>
            <w:r>
              <w:rPr>
                <w:rFonts w:eastAsia="Calibri"/>
                <w:noProof/>
                <w:sz w:val="22"/>
                <w:szCs w:val="22"/>
              </w:rPr>
              <w:t>infrastructure projects</w:t>
            </w:r>
          </w:p>
        </w:tc>
      </w:tr>
      <w:tr w:rsidR="00B60846">
        <w:trPr>
          <w:trHeight w:val="136"/>
        </w:trPr>
        <w:tc>
          <w:tcPr>
            <w:tcW w:w="9180" w:type="dxa"/>
            <w:gridSpan w:val="2"/>
            <w:noWrap/>
          </w:tcPr>
          <w:p w:rsidR="00B60846" w:rsidRDefault="008069FF">
            <w:pPr>
              <w:tabs>
                <w:tab w:val="clear" w:pos="2302"/>
              </w:tabs>
              <w:spacing w:after="0"/>
              <w:jc w:val="center"/>
              <w:rPr>
                <w:rFonts w:eastAsia="Calibri"/>
                <w:i/>
                <w:noProof/>
                <w:sz w:val="22"/>
                <w:szCs w:val="22"/>
              </w:rPr>
            </w:pPr>
            <w:r>
              <w:rPr>
                <w:rFonts w:eastAsia="Calibri"/>
                <w:b/>
                <w:bCs/>
                <w:smallCaps/>
                <w:noProof/>
                <w:sz w:val="22"/>
                <w:szCs w:val="22"/>
              </w:rPr>
              <w:t>D) Regulatory treatment</w:t>
            </w:r>
          </w:p>
        </w:tc>
      </w:tr>
      <w:tr w:rsidR="00B60846">
        <w:trPr>
          <w:trHeight w:val="136"/>
        </w:trPr>
        <w:tc>
          <w:tcPr>
            <w:tcW w:w="1830" w:type="dxa"/>
            <w:noWrap/>
          </w:tcPr>
          <w:p w:rsidR="00B60846" w:rsidRDefault="008069FF">
            <w:pPr>
              <w:tabs>
                <w:tab w:val="clear" w:pos="2302"/>
              </w:tabs>
              <w:spacing w:after="0"/>
              <w:jc w:val="left"/>
              <w:rPr>
                <w:rFonts w:eastAsia="Calibri"/>
                <w:i/>
                <w:noProof/>
                <w:sz w:val="22"/>
                <w:szCs w:val="22"/>
              </w:rPr>
            </w:pPr>
            <w:r>
              <w:rPr>
                <w:rFonts w:eastAsia="Calibri"/>
                <w:i/>
                <w:iCs/>
                <w:noProof/>
                <w:sz w:val="22"/>
                <w:szCs w:val="22"/>
              </w:rPr>
              <w:t>Option D.1</w:t>
            </w:r>
          </w:p>
        </w:tc>
        <w:tc>
          <w:tcPr>
            <w:tcW w:w="7350" w:type="dxa"/>
          </w:tcPr>
          <w:p w:rsidR="00B60846" w:rsidRDefault="008069FF">
            <w:pPr>
              <w:tabs>
                <w:tab w:val="clear" w:pos="2302"/>
              </w:tabs>
              <w:spacing w:after="0"/>
              <w:jc w:val="left"/>
              <w:rPr>
                <w:rFonts w:eastAsia="Calibri"/>
                <w:i/>
                <w:noProof/>
                <w:sz w:val="22"/>
                <w:szCs w:val="22"/>
              </w:rPr>
            </w:pPr>
            <w:r>
              <w:rPr>
                <w:rFonts w:eastAsia="Calibri"/>
                <w:i/>
                <w:iCs/>
                <w:noProof/>
                <w:sz w:val="22"/>
                <w:szCs w:val="22"/>
              </w:rPr>
              <w:t>Regulatory treatment</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D.1.0</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r>
      <w:tr w:rsidR="00B60846">
        <w:trPr>
          <w:trHeight w:val="136"/>
        </w:trPr>
        <w:tc>
          <w:tcPr>
            <w:tcW w:w="1830"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D.1.1</w:t>
            </w:r>
          </w:p>
        </w:tc>
        <w:tc>
          <w:tcPr>
            <w:tcW w:w="7350" w:type="dxa"/>
          </w:tcPr>
          <w:p w:rsidR="00B60846" w:rsidRDefault="008069FF">
            <w:pPr>
              <w:tabs>
                <w:tab w:val="clear" w:pos="2302"/>
              </w:tabs>
              <w:spacing w:after="0"/>
              <w:jc w:val="left"/>
              <w:rPr>
                <w:rFonts w:eastAsia="Calibri"/>
                <w:noProof/>
                <w:sz w:val="22"/>
                <w:szCs w:val="22"/>
              </w:rPr>
            </w:pPr>
            <w:r>
              <w:rPr>
                <w:rFonts w:eastAsia="Calibri"/>
                <w:noProof/>
                <w:sz w:val="22"/>
                <w:szCs w:val="22"/>
              </w:rPr>
              <w:t>Inclusion of full investment costs</w:t>
            </w:r>
          </w:p>
        </w:tc>
      </w:tr>
    </w:tbl>
    <w:p w:rsidR="00B60846" w:rsidRDefault="00B60846">
      <w:pPr>
        <w:rPr>
          <w:noProof/>
        </w:rPr>
      </w:pPr>
    </w:p>
    <w:p w:rsidR="00B60846" w:rsidRDefault="008069FF">
      <w:pPr>
        <w:rPr>
          <w:noProof/>
        </w:rPr>
      </w:pPr>
      <w:r>
        <w:rPr>
          <w:noProof/>
        </w:rPr>
        <w:t>The options set out in this section are those with a significant potential to address the problems identified above. Additional options are set out in Annex 9. These options propose changes or improvements of mainly technical nature and are considered non-</w:t>
      </w:r>
      <w:r>
        <w:rPr>
          <w:noProof/>
        </w:rPr>
        <w:t xml:space="preserve">essential in view of their potential to address the problem drivers. They do not entail political choices concerning the future TEN-E Regulation. </w:t>
      </w:r>
    </w:p>
    <w:p w:rsidR="00B60846" w:rsidRDefault="008069FF">
      <w:pPr>
        <w:rPr>
          <w:noProof/>
        </w:rPr>
      </w:pPr>
      <w:r>
        <w:rPr>
          <w:noProof/>
        </w:rPr>
        <w:t>During the evaluation study and the stakeholder consultations, several issues were subject to a large consens</w:t>
      </w:r>
      <w:r>
        <w:rPr>
          <w:noProof/>
        </w:rPr>
        <w:t>us between stakeholders. They are not re-discussed in detail in this report, as their positive impacts and contribution to the objectives of the initiative are considered well accepted. These issues are the following:</w:t>
      </w:r>
    </w:p>
    <w:p w:rsidR="00B60846" w:rsidRDefault="008069FF">
      <w:pPr>
        <w:pStyle w:val="ListParagraph"/>
        <w:numPr>
          <w:ilvl w:val="0"/>
          <w:numId w:val="6"/>
        </w:numPr>
        <w:rPr>
          <w:b/>
          <w:bCs/>
          <w:noProof/>
        </w:rPr>
      </w:pPr>
      <w:r>
        <w:rPr>
          <w:b/>
          <w:bCs/>
          <w:noProof/>
        </w:rPr>
        <w:t>Removal of oil pipelines as infrastruc</w:t>
      </w:r>
      <w:r>
        <w:rPr>
          <w:b/>
          <w:bCs/>
          <w:noProof/>
        </w:rPr>
        <w:t>ture category and thematic area:</w:t>
      </w:r>
    </w:p>
    <w:p w:rsidR="00B60846" w:rsidRDefault="008069FF">
      <w:pPr>
        <w:pStyle w:val="ListParagraph"/>
        <w:rPr>
          <w:noProof/>
        </w:rPr>
      </w:pPr>
      <w:r>
        <w:rPr>
          <w:noProof/>
        </w:rPr>
        <w:t>New cross-border oil pipelines are not in line with the long-term decarbonisation objectives. The Green Deal, and the relevant interim emission reduction objectives, put the transport sector on a more dynamic decarbonisatio</w:t>
      </w:r>
      <w:r>
        <w:rPr>
          <w:noProof/>
        </w:rPr>
        <w:t>n pathway then earlier targets</w:t>
      </w:r>
      <w:r>
        <w:rPr>
          <w:rStyle w:val="FootnoteReference"/>
          <w:noProof/>
        </w:rPr>
        <w:footnoteReference w:id="60"/>
      </w:r>
      <w:r>
        <w:rPr>
          <w:noProof/>
        </w:rPr>
        <w:t xml:space="preserve">. This is expected to drastically reduce oil demand and phase-out all unabated oil consumption. This trend and the already existing crude oil supply infrastructure coupled with the security of supply measures (e.g. emergency </w:t>
      </w:r>
      <w:r>
        <w:rPr>
          <w:noProof/>
        </w:rPr>
        <w:t xml:space="preserve">oil stocks) does not necessitate the inclusion of oil supply infrastructure in the revised TEN-E. </w:t>
      </w:r>
    </w:p>
    <w:p w:rsidR="00B60846" w:rsidRDefault="00B60846">
      <w:pPr>
        <w:pStyle w:val="ListParagraph"/>
        <w:rPr>
          <w:noProof/>
        </w:rPr>
      </w:pPr>
    </w:p>
    <w:p w:rsidR="00B60846" w:rsidRDefault="008069FF">
      <w:pPr>
        <w:pStyle w:val="ListParagraph"/>
        <w:numPr>
          <w:ilvl w:val="0"/>
          <w:numId w:val="6"/>
        </w:numPr>
        <w:rPr>
          <w:b/>
          <w:bCs/>
          <w:noProof/>
        </w:rPr>
      </w:pPr>
      <w:r>
        <w:rPr>
          <w:b/>
          <w:bCs/>
          <w:noProof/>
        </w:rPr>
        <w:t>Removal of electricity highways as infrastructure category and thematic area:</w:t>
      </w:r>
    </w:p>
    <w:p w:rsidR="00B60846" w:rsidRDefault="008069FF">
      <w:pPr>
        <w:pStyle w:val="ListParagraph"/>
        <w:rPr>
          <w:noProof/>
        </w:rPr>
      </w:pPr>
      <w:r>
        <w:rPr>
          <w:noProof/>
        </w:rPr>
        <w:t>Electricity highways are fully covered under the priority electricity corridor</w:t>
      </w:r>
      <w:r>
        <w:rPr>
          <w:noProof/>
        </w:rPr>
        <w:t>s. Hence, the removal of electricity highways would not affect the outcome of the PCI selection procedure but simplify the process and remove unnecessary administrative burden.</w:t>
      </w:r>
    </w:p>
    <w:p w:rsidR="00B60846" w:rsidRDefault="008069FF">
      <w:pPr>
        <w:pStyle w:val="Heading2"/>
        <w:ind w:left="1287" w:hanging="578"/>
        <w:rPr>
          <w:noProof/>
        </w:rPr>
      </w:pPr>
      <w:bookmarkStart w:id="394" w:name="_Toc39234421"/>
      <w:bookmarkStart w:id="395" w:name="_Toc49351335"/>
      <w:bookmarkStart w:id="396" w:name="_Toc49357728"/>
      <w:bookmarkStart w:id="397" w:name="_Toc49359406"/>
      <w:bookmarkStart w:id="398" w:name="_Toc49359741"/>
      <w:bookmarkStart w:id="399" w:name="_Toc49507986"/>
      <w:bookmarkStart w:id="400" w:name="_Toc49508430"/>
      <w:bookmarkStart w:id="401" w:name="_Toc49512341"/>
      <w:bookmarkStart w:id="402" w:name="_Toc49514225"/>
      <w:bookmarkStart w:id="403" w:name="_Toc49516460"/>
      <w:bookmarkStart w:id="404" w:name="_Ref50028853"/>
      <w:bookmarkStart w:id="405" w:name="_Toc50028472"/>
      <w:bookmarkStart w:id="406" w:name="_Toc50056967"/>
      <w:bookmarkStart w:id="407" w:name="_Toc50452073"/>
      <w:bookmarkStart w:id="408" w:name="_Ref50469631"/>
      <w:bookmarkStart w:id="409" w:name="_Toc50573892"/>
      <w:bookmarkStart w:id="410" w:name="_Toc50581875"/>
      <w:bookmarkStart w:id="411" w:name="_Toc50582658"/>
      <w:bookmarkStart w:id="412" w:name="_Toc51168551"/>
      <w:bookmarkStart w:id="413" w:name="_Toc51169040"/>
      <w:bookmarkStart w:id="414" w:name="_Toc51231534"/>
      <w:bookmarkStart w:id="415" w:name="_Toc51235470"/>
      <w:bookmarkStart w:id="416" w:name="_Toc51237260"/>
      <w:bookmarkStart w:id="417" w:name="_Toc51238645"/>
      <w:bookmarkStart w:id="418" w:name="_Toc51239370"/>
      <w:bookmarkStart w:id="419" w:name="_Toc51788282"/>
      <w:bookmarkStart w:id="420" w:name="_Toc51791820"/>
      <w:bookmarkStart w:id="421" w:name="_Toc51793252"/>
      <w:bookmarkStart w:id="422" w:name="_Toc55496451"/>
      <w:r>
        <w:rPr>
          <w:noProof/>
        </w:rPr>
        <w:t>What is the baseline from which options are assessed?</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rsidR="00B60846" w:rsidRDefault="008069FF">
      <w:pPr>
        <w:rPr>
          <w:noProof/>
        </w:rPr>
      </w:pPr>
      <w:r>
        <w:rPr>
          <w:noProof/>
        </w:rPr>
        <w:t>In the baseline, the curr</w:t>
      </w:r>
      <w:r>
        <w:rPr>
          <w:noProof/>
        </w:rPr>
        <w:t>ent TEN-E Regulation is assumed to continue. The provisions as described above would continue to apply and constitute the basis of the bi-annual selection of PCIs and their implementation. The Regulation is likely continue to deliver results/outcomes and i</w:t>
      </w:r>
      <w:r>
        <w:rPr>
          <w:noProof/>
        </w:rPr>
        <w:t>mpacts as shown in the evaluation (see Annex 5) and the expected benefits from future PCIs.</w:t>
      </w:r>
      <w:r>
        <w:rPr>
          <w:rStyle w:val="FootnoteReference"/>
          <w:noProof/>
        </w:rPr>
        <w:footnoteReference w:id="61"/>
      </w:r>
      <w:r>
        <w:rPr>
          <w:noProof/>
        </w:rPr>
        <w:t xml:space="preserve"> While the infrastructure planning and the PCI selection process would not change in substance, a methodology to assess the sustainability criterion for gas project</w:t>
      </w:r>
      <w:r>
        <w:rPr>
          <w:noProof/>
        </w:rPr>
        <w:t>s has been developed and may affect the number of gas projects on future PCI lists under the current TEN-E Regulation. Investments in system integration projects, such as hydrogen or biogas, would happen at local level but the necessary scaling up for an E</w:t>
      </w:r>
      <w:r>
        <w:rPr>
          <w:noProof/>
        </w:rPr>
        <w:t>uropean market to emerge would be hampered because of lack of cross-border cooperation and planning framework. As for permitting, the existing Regional Groups could be used to support better enforcement of the existing provisions, which may improve and ult</w:t>
      </w:r>
      <w:r>
        <w:rPr>
          <w:noProof/>
        </w:rPr>
        <w:t>imately shorten project implementation. These changes are incremental and would not significantly affect the outputs, results/outcomes and impacts as identified in the evaluation. At the same, the significant progress in establishing a resilient gas infras</w:t>
      </w:r>
      <w:r>
        <w:rPr>
          <w:noProof/>
        </w:rPr>
        <w:t>tructure is likely to decrease the number of natural gas candidate PCIs, whereas an increase of electricity candidate PCIs can be expected – within the limits of the current scope of the Regulation. In addition, external factors will affect the PCI process</w:t>
      </w:r>
      <w:r>
        <w:rPr>
          <w:noProof/>
        </w:rPr>
        <w:t>. Adopted or planned policy initiatives such as the 2030 Climate Target Plan, the revision of the Energy Efficiency Directive, the Renewable Energy Directive, and the gas package may enter into force and increase the demand for energy infrastructure. The t</w:t>
      </w:r>
      <w:r>
        <w:rPr>
          <w:noProof/>
        </w:rPr>
        <w:t>axonomy regulation is expected to influence private investments towards more sustainable infrastructure categories. The Covid-19 sanitary crisis is likely to affect the level of investments and may delay project implementation (see also section 2.3).</w:t>
      </w:r>
    </w:p>
    <w:p w:rsidR="00B60846" w:rsidRDefault="008069FF">
      <w:pPr>
        <w:pStyle w:val="Heading2"/>
        <w:ind w:left="1287" w:hanging="578"/>
        <w:rPr>
          <w:noProof/>
        </w:rPr>
      </w:pPr>
      <w:bookmarkStart w:id="423" w:name="_Toc49351336"/>
      <w:bookmarkStart w:id="424" w:name="_Toc49357729"/>
      <w:bookmarkStart w:id="425" w:name="_Toc49359407"/>
      <w:bookmarkStart w:id="426" w:name="_Toc49359742"/>
      <w:bookmarkStart w:id="427" w:name="_Toc49507987"/>
      <w:bookmarkStart w:id="428" w:name="_Toc49508431"/>
      <w:bookmarkStart w:id="429" w:name="_Toc49512342"/>
      <w:bookmarkStart w:id="430" w:name="_Toc49514226"/>
      <w:bookmarkStart w:id="431" w:name="_Toc49516461"/>
      <w:bookmarkStart w:id="432" w:name="_Toc50028473"/>
      <w:bookmarkStart w:id="433" w:name="_Toc50056968"/>
      <w:bookmarkStart w:id="434" w:name="_Toc50452074"/>
      <w:bookmarkStart w:id="435" w:name="_Toc50573893"/>
      <w:bookmarkStart w:id="436" w:name="_Toc50581876"/>
      <w:bookmarkStart w:id="437" w:name="_Toc50582659"/>
      <w:bookmarkStart w:id="438" w:name="_Toc51022072"/>
      <w:bookmarkStart w:id="439" w:name="_Toc51168552"/>
      <w:bookmarkStart w:id="440" w:name="_Toc51169041"/>
      <w:bookmarkStart w:id="441" w:name="_Toc51231535"/>
      <w:bookmarkStart w:id="442" w:name="_Toc51235471"/>
      <w:bookmarkStart w:id="443" w:name="_Toc51237261"/>
      <w:bookmarkStart w:id="444" w:name="_Toc51238646"/>
      <w:bookmarkStart w:id="445" w:name="_Toc51239371"/>
      <w:bookmarkStart w:id="446" w:name="_Toc51788283"/>
      <w:bookmarkStart w:id="447" w:name="_Toc51791821"/>
      <w:bookmarkStart w:id="448" w:name="_Toc51793253"/>
      <w:bookmarkStart w:id="449" w:name="_Toc55496452"/>
      <w:r>
        <w:rPr>
          <w:noProof/>
        </w:rPr>
        <w:t>Description of the policy options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B60846" w:rsidRDefault="008069FF">
      <w:pPr>
        <w:pStyle w:val="Heading3"/>
        <w:rPr>
          <w:noProof/>
        </w:rPr>
      </w:pPr>
      <w:bookmarkStart w:id="450" w:name="_Toc49351337"/>
      <w:bookmarkStart w:id="451" w:name="_Toc49357730"/>
      <w:bookmarkStart w:id="452" w:name="_Toc49359408"/>
      <w:bookmarkStart w:id="453" w:name="_Toc49359743"/>
      <w:bookmarkStart w:id="454" w:name="_Toc49507988"/>
      <w:bookmarkStart w:id="455" w:name="_Toc49508432"/>
      <w:bookmarkStart w:id="456" w:name="_Toc49512343"/>
      <w:bookmarkStart w:id="457" w:name="_Toc49514227"/>
      <w:bookmarkStart w:id="458" w:name="_Toc49516462"/>
      <w:bookmarkStart w:id="459" w:name="_Toc50028474"/>
      <w:bookmarkStart w:id="460" w:name="_Toc50056969"/>
      <w:bookmarkStart w:id="461" w:name="_Toc50452075"/>
      <w:bookmarkStart w:id="462" w:name="_Toc50573894"/>
      <w:bookmarkStart w:id="463" w:name="_Toc50581877"/>
      <w:bookmarkStart w:id="464" w:name="_Toc50582660"/>
      <w:bookmarkStart w:id="465" w:name="_Toc51022073"/>
      <w:bookmarkStart w:id="466" w:name="_Toc51168553"/>
      <w:bookmarkStart w:id="467" w:name="_Toc51169042"/>
      <w:bookmarkStart w:id="468" w:name="_Toc51231536"/>
      <w:bookmarkStart w:id="469" w:name="_Toc51235472"/>
      <w:bookmarkStart w:id="470" w:name="_Toc51237262"/>
      <w:bookmarkStart w:id="471" w:name="_Toc51238647"/>
      <w:bookmarkStart w:id="472" w:name="_Toc51239372"/>
      <w:bookmarkStart w:id="473" w:name="_Toc51245155"/>
      <w:bookmarkStart w:id="474" w:name="_Toc51268795"/>
      <w:bookmarkStart w:id="475" w:name="_Toc51268902"/>
      <w:bookmarkStart w:id="476" w:name="_Toc51346821"/>
      <w:bookmarkStart w:id="477" w:name="_Toc51350385"/>
      <w:bookmarkStart w:id="478" w:name="_Toc51760916"/>
      <w:bookmarkStart w:id="479" w:name="_Toc51784835"/>
      <w:bookmarkStart w:id="480" w:name="_Toc51788284"/>
      <w:bookmarkStart w:id="481" w:name="_Toc51791822"/>
      <w:bookmarkStart w:id="482" w:name="_Toc51793254"/>
      <w:bookmarkStart w:id="483" w:name="_Toc51879068"/>
      <w:bookmarkStart w:id="484" w:name="_Toc55155644"/>
      <w:bookmarkStart w:id="485" w:name="_Toc55290951"/>
      <w:bookmarkStart w:id="486" w:name="_Toc55296641"/>
      <w:bookmarkStart w:id="487" w:name="_Toc55496453"/>
      <w:bookmarkStart w:id="488" w:name="_Toc39234422"/>
      <w:r>
        <w:rPr>
          <w:noProof/>
        </w:rPr>
        <w:t>Scope</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B60846" w:rsidRDefault="008069FF">
      <w:pPr>
        <w:pStyle w:val="Heading4"/>
        <w:rPr>
          <w:noProof/>
        </w:rPr>
      </w:pPr>
      <w:bookmarkStart w:id="489" w:name="_Toc39234426"/>
      <w:bookmarkEnd w:id="488"/>
      <w:r>
        <w:rPr>
          <w:noProof/>
        </w:rPr>
        <w:t>Smart electricity grids</w:t>
      </w:r>
      <w:bookmarkEnd w:id="489"/>
      <w:r>
        <w:rPr>
          <w:noProof/>
        </w:rPr>
        <w:t xml:space="preserve"> and electricity storage</w:t>
      </w:r>
    </w:p>
    <w:p w:rsidR="00B60846" w:rsidRDefault="008069FF">
      <w:pPr>
        <w:rPr>
          <w:b/>
          <w:bCs/>
          <w:noProof/>
        </w:rPr>
      </w:pPr>
      <w:r>
        <w:rPr>
          <w:b/>
          <w:bCs/>
          <w:noProof/>
        </w:rPr>
        <w:t>Option A.1.0: Business as usual</w:t>
      </w:r>
    </w:p>
    <w:p w:rsidR="00B60846" w:rsidRDefault="008069FF">
      <w:pPr>
        <w:rPr>
          <w:noProof/>
        </w:rPr>
      </w:pPr>
      <w:r>
        <w:rPr>
          <w:noProof/>
        </w:rPr>
        <w:t xml:space="preserve">The TEN-E Regulation defines each infrastructure category and a set of general and specific selection criteria for PCI projects. The </w:t>
      </w:r>
      <w:r>
        <w:rPr>
          <w:noProof/>
        </w:rPr>
        <w:t>criteria for a smart electricity grid is exhaustive and very detailed from a technical point of view and are thus difficult to be met at the same time. Only a few smart grid projects have been eligible as PCIs to date, nine in total since the adoption of t</w:t>
      </w:r>
      <w:r>
        <w:rPr>
          <w:noProof/>
        </w:rPr>
        <w:t>he first PCI List. Concerning electricity storage the current definition is limited to mechanical storage with 13 storage projects on the current PCI list.</w:t>
      </w:r>
    </w:p>
    <w:p w:rsidR="00B60846" w:rsidRDefault="008069FF">
      <w:pPr>
        <w:rPr>
          <w:noProof/>
        </w:rPr>
      </w:pPr>
      <w:r>
        <w:rPr>
          <w:noProof/>
        </w:rPr>
        <w:t>On the cross border criterion for the smart electricity grids, a project needs to demonstrate in det</w:t>
      </w:r>
      <w:r>
        <w:rPr>
          <w:noProof/>
        </w:rPr>
        <w:t>ail the involvement of the project promoters (a TSO or a DSO from two or more Member States, or from at least one Member State and an EEA country). Since the concept of “involvement" is not clearly defined in the current Regulation, the current practice ha</w:t>
      </w:r>
      <w:r>
        <w:rPr>
          <w:noProof/>
        </w:rPr>
        <w:t>s provided further interpretation regarding the necessary support from a TSO level (not being a direct project promoter but supporting it in any case) . Under the current cross border criterion, only large hydro and compressed air storage facilities are el</w:t>
      </w:r>
      <w:r>
        <w:rPr>
          <w:noProof/>
        </w:rPr>
        <w:t>igible for PCI status for electricity storage, prohibiting utilisation of other advanced electricity storage technologies such as batteries.</w:t>
      </w:r>
    </w:p>
    <w:p w:rsidR="00B60846" w:rsidRDefault="008069FF">
      <w:pPr>
        <w:rPr>
          <w:b/>
          <w:bCs/>
          <w:noProof/>
        </w:rPr>
      </w:pPr>
      <w:r>
        <w:rPr>
          <w:b/>
          <w:bCs/>
          <w:noProof/>
        </w:rPr>
        <w:t>Option A.1.1: Broadened scope to reflect technological developments</w:t>
      </w:r>
    </w:p>
    <w:p w:rsidR="00B60846" w:rsidRDefault="008069FF">
      <w:pPr>
        <w:rPr>
          <w:noProof/>
          <w:lang w:val="en-IE"/>
        </w:rPr>
      </w:pPr>
      <w:r>
        <w:rPr>
          <w:noProof/>
        </w:rPr>
        <w:t>The definition and the description of smart ele</w:t>
      </w:r>
      <w:r>
        <w:rPr>
          <w:noProof/>
        </w:rPr>
        <w:t xml:space="preserve">ctricity grids thematic area would be updated by including elements regarding innovation and digital aspects that could be considered among the equipment or installations for smart grids. The criteria would be adjusted accordingly to reflect the broadened </w:t>
      </w:r>
      <w:r>
        <w:rPr>
          <w:noProof/>
        </w:rPr>
        <w:t>scope. Whereas the requirement for the involvement of project promotors from two or more Member States remains,  it would be clarified that not all involved DSOs and TSOs do not need to be project promoters, but it is important that the relevant TSOs and D</w:t>
      </w:r>
      <w:r>
        <w:rPr>
          <w:noProof/>
        </w:rPr>
        <w:t xml:space="preserve">SOs are duly informed about and supportive of the project. </w:t>
      </w:r>
      <w:r>
        <w:rPr>
          <w:rStyle w:val="normaltextrun"/>
          <w:noProof/>
        </w:rPr>
        <w:t xml:space="preserve">In addition, smart grid projects at TSO level, not involving DSOs, would also be allowed. </w:t>
      </w:r>
      <w:r>
        <w:rPr>
          <w:noProof/>
          <w:lang w:val="en-IE"/>
        </w:rPr>
        <w:t>The update would also include a specific reference to smart grids enabling charging infrastructure for elec</w:t>
      </w:r>
      <w:r>
        <w:rPr>
          <w:noProof/>
          <w:lang w:val="en-IE"/>
        </w:rPr>
        <w:t>tric vehicles at the medium to high-voltage level.</w:t>
      </w:r>
    </w:p>
    <w:p w:rsidR="00B60846" w:rsidRDefault="008069FF">
      <w:pPr>
        <w:rPr>
          <w:noProof/>
        </w:rPr>
      </w:pPr>
      <w:r>
        <w:rPr>
          <w:noProof/>
          <w:u w:val="single"/>
          <w:lang w:val="en-IE"/>
        </w:rPr>
        <w:t>Sub-option</w:t>
      </w:r>
      <w:r>
        <w:rPr>
          <w:noProof/>
          <w:lang w:val="en-IE"/>
        </w:rPr>
        <w:t>: Non-mechanical storage technologies</w:t>
      </w:r>
    </w:p>
    <w:p w:rsidR="00B60846" w:rsidRDefault="008069FF">
      <w:pPr>
        <w:rPr>
          <w:noProof/>
        </w:rPr>
      </w:pPr>
      <w:r>
        <w:rPr>
          <w:noProof/>
        </w:rPr>
        <w:t xml:space="preserve">The definition of electricity storage would be updated by including elements related to new technologies utilised for electricity storage. Key changes would </w:t>
      </w:r>
      <w:r>
        <w:rPr>
          <w:noProof/>
        </w:rPr>
        <w:t>be to define new criteria to prove significant cross border impact for new non-mechanical storage technologies (for ex. electrochemical storage in batteries or chemical storage in hydrogen). For non-mechanical storage technologies new values for minimum in</w:t>
      </w:r>
      <w:r>
        <w:rPr>
          <w:noProof/>
        </w:rPr>
        <w:t>stalled power in MW and energy capacity in MWh would be proposed. Those values would be smaller compared to the current values and be based on the latest Commission storage study</w:t>
      </w:r>
      <w:r>
        <w:rPr>
          <w:rStyle w:val="FootnoteReference"/>
          <w:noProof/>
        </w:rPr>
        <w:footnoteReference w:id="62"/>
      </w:r>
      <w:r>
        <w:rPr>
          <w:noProof/>
        </w:rPr>
        <w:t xml:space="preserve"> and would need to be sufficiently high to ensure significant cross-border be</w:t>
      </w:r>
      <w:r>
        <w:rPr>
          <w:noProof/>
        </w:rPr>
        <w:t>nefits.</w:t>
      </w:r>
      <w:r>
        <w:rPr>
          <w:noProof/>
          <w:sz w:val="22"/>
          <w:szCs w:val="22"/>
        </w:rPr>
        <w:t xml:space="preserve"> </w:t>
      </w:r>
      <w:r>
        <w:rPr>
          <w:noProof/>
        </w:rPr>
        <w:t>The current criteria would remain for mechanical storage facilities.</w:t>
      </w:r>
    </w:p>
    <w:p w:rsidR="00B60846" w:rsidRDefault="008069FF">
      <w:pPr>
        <w:rPr>
          <w:noProof/>
        </w:rPr>
      </w:pPr>
      <w:r>
        <w:rPr>
          <w:noProof/>
        </w:rPr>
        <w:t xml:space="preserve">This would allow the TEN-E frameworks integrate technological progress necessary to support a cost-efficient energy transition.  </w:t>
      </w:r>
    </w:p>
    <w:p w:rsidR="00B60846" w:rsidRDefault="008069FF">
      <w:pPr>
        <w:rPr>
          <w:noProof/>
        </w:rPr>
      </w:pPr>
      <w:r>
        <w:rPr>
          <w:b/>
          <w:bCs/>
          <w:i/>
          <w:iCs/>
          <w:noProof/>
        </w:rPr>
        <w:t>Stakeholder views:</w:t>
      </w:r>
      <w:r>
        <w:rPr>
          <w:noProof/>
        </w:rPr>
        <w:t xml:space="preserve"> Many stakeholders underline th</w:t>
      </w:r>
      <w:r>
        <w:rPr>
          <w:noProof/>
        </w:rPr>
        <w:t>e significance of electricity distribution infrastructure in an interconnected European energy market that increasingly relies on distributed generation and active participation of end consumers</w:t>
      </w:r>
      <w:r>
        <w:rPr>
          <w:rStyle w:val="FootnoteReference"/>
          <w:b/>
          <w:bCs/>
          <w:i/>
          <w:iCs/>
          <w:noProof/>
        </w:rPr>
        <w:footnoteReference w:id="63"/>
      </w:r>
      <w:r>
        <w:rPr>
          <w:noProof/>
        </w:rPr>
        <w:t xml:space="preserve">. In this context, many stakeholders pointed out a necessary </w:t>
      </w:r>
      <w:r>
        <w:rPr>
          <w:noProof/>
        </w:rPr>
        <w:t>update of smart electricity grids thematic area by including new smart technologies, solutions and concepts. Stakeholders suggested that the current eligibility criteria for storage technologies do not provide sufficient flexibility for the support of diff</w:t>
      </w:r>
      <w:r>
        <w:rPr>
          <w:noProof/>
        </w:rPr>
        <w:t>erent and emerging storage technologies.</w:t>
      </w:r>
    </w:p>
    <w:p w:rsidR="00B60846" w:rsidRDefault="008069FF">
      <w:pPr>
        <w:pStyle w:val="Heading4"/>
        <w:rPr>
          <w:noProof/>
        </w:rPr>
      </w:pPr>
      <w:r>
        <w:rPr>
          <w:noProof/>
        </w:rPr>
        <w:t>Gas infrastructure, hydrogen networks and power-to-gas</w:t>
      </w:r>
    </w:p>
    <w:p w:rsidR="00B60846" w:rsidRDefault="008069FF">
      <w:pPr>
        <w:rPr>
          <w:b/>
          <w:bCs/>
          <w:noProof/>
        </w:rPr>
      </w:pPr>
      <w:r>
        <w:rPr>
          <w:b/>
          <w:bCs/>
          <w:noProof/>
        </w:rPr>
        <w:t>Option A.2.0: Business as usual</w:t>
      </w:r>
    </w:p>
    <w:p w:rsidR="00B60846" w:rsidRDefault="008069FF">
      <w:pPr>
        <w:rPr>
          <w:noProof/>
        </w:rPr>
      </w:pPr>
      <w:r>
        <w:rPr>
          <w:noProof/>
        </w:rPr>
        <w:t>This policy option would keep the status quo regarding the scope of the Regulation with regard to gas infrastructure. Natural ga</w:t>
      </w:r>
      <w:r>
        <w:rPr>
          <w:noProof/>
        </w:rPr>
        <w:t>s projects would remain eligible for PCI status and CEF funding, if they contribute to the TEN-E objectives. Hydrogen, power-to-gas facilities and smart gas grids are not in the scope of the regulation and therefore not eligible for PCI status, nor CEF fun</w:t>
      </w:r>
      <w:r>
        <w:rPr>
          <w:noProof/>
        </w:rPr>
        <w:t xml:space="preserve">ding, except in case they fall under the new cross-border renewable window of CEF II coming into force under the 2021-2027 MFF. </w:t>
      </w:r>
    </w:p>
    <w:p w:rsidR="00B60846" w:rsidRDefault="008069FF">
      <w:pPr>
        <w:rPr>
          <w:noProof/>
        </w:rPr>
      </w:pPr>
      <w:r>
        <w:rPr>
          <w:noProof/>
        </w:rPr>
        <w:t>Retrofitting to allow for hydrogen blends and projects aiming specifically to integrate renewable gases (biogas/biomethane) wou</w:t>
      </w:r>
      <w:r>
        <w:rPr>
          <w:noProof/>
        </w:rPr>
        <w:t xml:space="preserve">ld remain eligible in principle (as long as they affect the transmission infrastructure) but in practice unlikely to meet all the current selection criteria, since such projects typically do not aim at increasing cross-border transport capacity. </w:t>
      </w:r>
    </w:p>
    <w:p w:rsidR="00B60846" w:rsidRDefault="008069FF">
      <w:pPr>
        <w:rPr>
          <w:b/>
          <w:bCs/>
          <w:noProof/>
          <w:lang w:val="en-US"/>
        </w:rPr>
      </w:pPr>
      <w:r>
        <w:rPr>
          <w:b/>
          <w:bCs/>
          <w:noProof/>
          <w:lang w:val="en-US"/>
        </w:rPr>
        <w:t>Option A.</w:t>
      </w:r>
      <w:r>
        <w:rPr>
          <w:b/>
          <w:bCs/>
          <w:noProof/>
          <w:lang w:val="en-US"/>
        </w:rPr>
        <w:t xml:space="preserve">2.1: Exclude all natural gas infrastructure, but include hydrogen and P2G </w:t>
      </w:r>
    </w:p>
    <w:p w:rsidR="00B60846" w:rsidRDefault="008069FF">
      <w:pPr>
        <w:rPr>
          <w:noProof/>
          <w:lang w:val="en-US"/>
        </w:rPr>
      </w:pPr>
      <w:r>
        <w:rPr>
          <w:noProof/>
          <w:lang w:val="en-US"/>
        </w:rPr>
        <w:t xml:space="preserve">Under this policy option, the scope of the TEN-E Regulation would cover only the following projects: </w:t>
      </w:r>
    </w:p>
    <w:p w:rsidR="00B60846" w:rsidRDefault="008069FF">
      <w:pPr>
        <w:pStyle w:val="ListParagraph"/>
        <w:numPr>
          <w:ilvl w:val="0"/>
          <w:numId w:val="13"/>
        </w:numPr>
        <w:spacing w:after="160"/>
        <w:rPr>
          <w:noProof/>
        </w:rPr>
      </w:pPr>
      <w:r>
        <w:rPr>
          <w:noProof/>
          <w:lang w:val="en-US"/>
        </w:rPr>
        <w:t>Dedicated new and repurposed hydrogen networks with cross border relevance (inc</w:t>
      </w:r>
      <w:r>
        <w:rPr>
          <w:noProof/>
          <w:lang w:val="en-US"/>
        </w:rPr>
        <w:t>luding hydrogen transmission pipelines and related equipment such as compressors; storage facilities; facilities for liquefied hydrogen).</w:t>
      </w:r>
    </w:p>
    <w:p w:rsidR="00B60846" w:rsidRDefault="008069FF">
      <w:pPr>
        <w:pStyle w:val="ListParagraph"/>
        <w:numPr>
          <w:ilvl w:val="0"/>
          <w:numId w:val="13"/>
        </w:numPr>
        <w:tabs>
          <w:tab w:val="clear" w:pos="2302"/>
        </w:tabs>
        <w:spacing w:after="160"/>
        <w:rPr>
          <w:noProof/>
        </w:rPr>
      </w:pPr>
      <w:r>
        <w:rPr>
          <w:noProof/>
          <w:lang w:val="en-US"/>
        </w:rPr>
        <w:t xml:space="preserve">Power-to-gas facilities </w:t>
      </w:r>
      <w:r>
        <w:rPr>
          <w:noProof/>
        </w:rPr>
        <w:t>and related infrastructure with cross-border relevance (i.e. aiming to supply at least two Mem</w:t>
      </w:r>
      <w:r>
        <w:rPr>
          <w:noProof/>
        </w:rPr>
        <w:t xml:space="preserve">ber States and consideration of setting a capacity threshold </w:t>
      </w:r>
    </w:p>
    <w:p w:rsidR="00B60846" w:rsidRDefault="008069FF">
      <w:pPr>
        <w:rPr>
          <w:noProof/>
          <w:lang w:val="en-US"/>
        </w:rPr>
      </w:pPr>
      <w:r>
        <w:rPr>
          <w:noProof/>
          <w:lang w:val="en-US"/>
        </w:rPr>
        <w:t>Only the above projects would be eligible for PCI status (apart from electricity and CO</w:t>
      </w:r>
      <w:r>
        <w:rPr>
          <w:noProof/>
          <w:vertAlign w:val="subscript"/>
          <w:lang w:val="en-US"/>
        </w:rPr>
        <w:t>2</w:t>
      </w:r>
      <w:r>
        <w:rPr>
          <w:noProof/>
          <w:lang w:val="en-US"/>
        </w:rPr>
        <w:t xml:space="preserve"> transportation projects). All infrastructure projects related to the </w:t>
      </w:r>
      <w:r>
        <w:rPr>
          <w:noProof/>
          <w:u w:val="single"/>
          <w:lang w:val="en-US"/>
        </w:rPr>
        <w:t>methane</w:t>
      </w:r>
      <w:r>
        <w:rPr>
          <w:noProof/>
          <w:lang w:val="en-US"/>
        </w:rPr>
        <w:t xml:space="preserve"> gas grid would be excluded from the scope. </w:t>
      </w:r>
    </w:p>
    <w:p w:rsidR="00B60846" w:rsidRDefault="008069FF">
      <w:pPr>
        <w:rPr>
          <w:b/>
          <w:bCs/>
          <w:noProof/>
        </w:rPr>
      </w:pPr>
      <w:r>
        <w:rPr>
          <w:b/>
          <w:bCs/>
          <w:noProof/>
        </w:rPr>
        <w:t xml:space="preserve">Policy option A.2.2: Exclude natural gas infrastructure but include hydrogen, P2G and smart gas grids for low-carbon and renewable gases </w:t>
      </w:r>
    </w:p>
    <w:p w:rsidR="00B60846" w:rsidRDefault="008069FF">
      <w:pPr>
        <w:rPr>
          <w:noProof/>
        </w:rPr>
      </w:pPr>
      <w:r>
        <w:rPr>
          <w:noProof/>
          <w:lang w:val="en-US"/>
        </w:rPr>
        <w:t xml:space="preserve">In addition to the inclusion of new and repurposed hydrogen networks and </w:t>
      </w:r>
      <w:r>
        <w:rPr>
          <w:noProof/>
          <w:lang w:val="en-US"/>
        </w:rPr>
        <w:t xml:space="preserve">P2G (as described in the previous option), </w:t>
      </w:r>
      <w:r>
        <w:rPr>
          <w:noProof/>
        </w:rPr>
        <w:t xml:space="preserve">a new PCI category would be created for smart gas grids. This would support investments at distribution and/or transmission level to integrate locally produced renewable and low carbon gases (typically biogas and </w:t>
      </w:r>
      <w:r>
        <w:rPr>
          <w:noProof/>
        </w:rPr>
        <w:t>biomethane but also hydrogen) in the network and help manage a resulting more complex system, building on innovative technologies. The candidate projects would consist of a range of investments directed at "smartening" and decarbonising a given gas network</w:t>
      </w:r>
      <w:r>
        <w:rPr>
          <w:noProof/>
        </w:rPr>
        <w:t xml:space="preserve">. Some of the investments would affect the TSO level, such as for instance compressor stations to enable DSO-to-TSO reverse flow. The following requirements could help ensure project scale and cross-border impact: </w:t>
      </w:r>
    </w:p>
    <w:p w:rsidR="00B60846" w:rsidRDefault="008069FF">
      <w:pPr>
        <w:pStyle w:val="ListParagraph"/>
        <w:numPr>
          <w:ilvl w:val="0"/>
          <w:numId w:val="13"/>
        </w:numPr>
        <w:tabs>
          <w:tab w:val="clear" w:pos="2302"/>
        </w:tabs>
        <w:spacing w:after="160"/>
        <w:rPr>
          <w:noProof/>
        </w:rPr>
      </w:pPr>
      <w:r>
        <w:rPr>
          <w:noProof/>
        </w:rPr>
        <w:t>To require the involvement of DSOs and TS</w:t>
      </w:r>
      <w:r>
        <w:rPr>
          <w:noProof/>
        </w:rPr>
        <w:t>Os from at least two Member States (mirroring the cross-border criterion for smart electricity grids).</w:t>
      </w:r>
    </w:p>
    <w:p w:rsidR="00B60846" w:rsidRDefault="008069FF">
      <w:pPr>
        <w:pStyle w:val="ListParagraph"/>
        <w:numPr>
          <w:ilvl w:val="0"/>
          <w:numId w:val="13"/>
        </w:numPr>
        <w:tabs>
          <w:tab w:val="clear" w:pos="2302"/>
        </w:tabs>
        <w:spacing w:after="160"/>
        <w:rPr>
          <w:noProof/>
        </w:rPr>
      </w:pPr>
      <w:r>
        <w:rPr>
          <w:noProof/>
        </w:rPr>
        <w:t>To require involvement of one or several DSOs as well as one or several TSOs.</w:t>
      </w:r>
    </w:p>
    <w:p w:rsidR="00B60846" w:rsidRDefault="008069FF">
      <w:pPr>
        <w:pStyle w:val="ListParagraph"/>
        <w:numPr>
          <w:ilvl w:val="0"/>
          <w:numId w:val="13"/>
        </w:numPr>
        <w:tabs>
          <w:tab w:val="clear" w:pos="2302"/>
        </w:tabs>
        <w:spacing w:after="160"/>
        <w:rPr>
          <w:noProof/>
        </w:rPr>
      </w:pPr>
      <w:r>
        <w:rPr>
          <w:noProof/>
        </w:rPr>
        <w:t>To establish a threshold, for instance based on the number of consumers and</w:t>
      </w:r>
      <w:r>
        <w:rPr>
          <w:noProof/>
        </w:rPr>
        <w:t>/or energy consumption volume, similar as for smart electricity grids.</w:t>
      </w:r>
    </w:p>
    <w:p w:rsidR="00B60846" w:rsidRDefault="008069FF">
      <w:pPr>
        <w:rPr>
          <w:noProof/>
          <w:lang w:val="en-US"/>
        </w:rPr>
      </w:pPr>
      <w:r>
        <w:rPr>
          <w:noProof/>
          <w:u w:val="single"/>
          <w:lang w:val="en-US"/>
        </w:rPr>
        <w:t>Sub-option</w:t>
      </w:r>
      <w:r>
        <w:rPr>
          <w:noProof/>
          <w:lang w:val="en-US"/>
        </w:rPr>
        <w:t>: Natural gas transport infrastructure for renewable and low-carbon gases</w:t>
      </w:r>
    </w:p>
    <w:p w:rsidR="00B60846" w:rsidRDefault="008069FF">
      <w:pPr>
        <w:rPr>
          <w:noProof/>
          <w:lang w:val="en-US"/>
        </w:rPr>
      </w:pPr>
      <w:r>
        <w:rPr>
          <w:noProof/>
          <w:lang w:val="en-US"/>
        </w:rPr>
        <w:t xml:space="preserve">Under this option, natural gas projects would no longer be eligible for PCI status, regardless of </w:t>
      </w:r>
      <w:r>
        <w:rPr>
          <w:noProof/>
          <w:lang w:val="en-US"/>
        </w:rPr>
        <w:t>their contribution to the TEN-E objectives.</w:t>
      </w:r>
    </w:p>
    <w:p w:rsidR="00B60846" w:rsidRDefault="008069FF">
      <w:pPr>
        <w:rPr>
          <w:noProof/>
          <w:lang w:val="en-US"/>
        </w:rPr>
      </w:pPr>
      <w:r>
        <w:rPr>
          <w:noProof/>
          <w:lang w:val="en-US"/>
        </w:rPr>
        <w:t xml:space="preserve">However, an exception could be made for gas infrastructure projects that specifically aim at integrating renewable and low-carbon gases </w:t>
      </w:r>
      <w:r>
        <w:rPr>
          <w:noProof/>
        </w:rPr>
        <w:t xml:space="preserve">(i.e. biogas, biomethane, synthetic methane produced from hydrogen, or pure </w:t>
      </w:r>
      <w:r>
        <w:rPr>
          <w:noProof/>
        </w:rPr>
        <w:t xml:space="preserve">hydrogen) </w:t>
      </w:r>
      <w:r>
        <w:rPr>
          <w:noProof/>
          <w:lang w:val="en-US"/>
        </w:rPr>
        <w:t>into the existing natural gas (methane) transmission network. This exception could comprise one or both of the following project types:</w:t>
      </w:r>
    </w:p>
    <w:p w:rsidR="00B60846" w:rsidRDefault="008069FF">
      <w:pPr>
        <w:pStyle w:val="ListParagraph"/>
        <w:numPr>
          <w:ilvl w:val="0"/>
          <w:numId w:val="21"/>
        </w:numPr>
        <w:rPr>
          <w:noProof/>
          <w:lang w:val="en-US"/>
        </w:rPr>
      </w:pPr>
      <w:r>
        <w:rPr>
          <w:noProof/>
          <w:lang w:val="en-US"/>
        </w:rPr>
        <w:t xml:space="preserve">Newly built gas transmission infrastructure projects of cross-border relevance aiming to integrate biomethane </w:t>
      </w:r>
      <w:r>
        <w:rPr>
          <w:noProof/>
          <w:lang w:val="en-US"/>
        </w:rPr>
        <w:t>and synthetic methane into the European gas network;</w:t>
      </w:r>
    </w:p>
    <w:p w:rsidR="00B60846" w:rsidRDefault="008069FF">
      <w:pPr>
        <w:pStyle w:val="ListParagraph"/>
        <w:numPr>
          <w:ilvl w:val="0"/>
          <w:numId w:val="21"/>
        </w:numPr>
        <w:rPr>
          <w:noProof/>
          <w:lang w:val="en-US"/>
        </w:rPr>
      </w:pPr>
      <w:r>
        <w:rPr>
          <w:noProof/>
          <w:lang w:val="en-US"/>
        </w:rPr>
        <w:t xml:space="preserve">Retrofits of existing natural gas transmission assets for hydrogen admixtures/blends. </w:t>
      </w:r>
    </w:p>
    <w:p w:rsidR="00B60846" w:rsidRDefault="008069FF">
      <w:pPr>
        <w:rPr>
          <w:noProof/>
          <w:lang w:val="en-US"/>
        </w:rPr>
      </w:pPr>
      <w:r>
        <w:rPr>
          <w:noProof/>
          <w:lang w:val="en-US"/>
        </w:rPr>
        <w:t>While certain investments on the transmission level could also form part of a smart gas grid project, the infrastruc</w:t>
      </w:r>
      <w:r>
        <w:rPr>
          <w:noProof/>
          <w:lang w:val="en-US"/>
        </w:rPr>
        <w:t xml:space="preserve">ture categories under this exception would affect exclusively the transmission level and would not necessarily involve any “smart” elements. </w:t>
      </w:r>
    </w:p>
    <w:p w:rsidR="00B60846" w:rsidRDefault="008069FF">
      <w:pPr>
        <w:rPr>
          <w:noProof/>
          <w:u w:val="single"/>
          <w:lang w:val="en-US"/>
        </w:rPr>
      </w:pPr>
      <w:r>
        <w:rPr>
          <w:noProof/>
          <w:u w:val="single"/>
          <w:lang w:val="en-US"/>
        </w:rPr>
        <w:t>Sub-option</w:t>
      </w:r>
      <w:r>
        <w:rPr>
          <w:noProof/>
          <w:lang w:val="en-US"/>
        </w:rPr>
        <w:t>: Exceptions for natural gas PCIs at</w:t>
      </w:r>
      <w:r>
        <w:rPr>
          <w:noProof/>
        </w:rPr>
        <w:t xml:space="preserve"> </w:t>
      </w:r>
      <w:r>
        <w:rPr>
          <w:noProof/>
          <w:lang w:val="en-US"/>
        </w:rPr>
        <w:t>an advanced implementation stage</w:t>
      </w:r>
    </w:p>
    <w:p w:rsidR="00B60846" w:rsidRDefault="008069FF">
      <w:pPr>
        <w:rPr>
          <w:noProof/>
        </w:rPr>
      </w:pPr>
      <w:r>
        <w:rPr>
          <w:noProof/>
          <w:lang w:val="en-US"/>
        </w:rPr>
        <w:t xml:space="preserve">A further exception could be made </w:t>
      </w:r>
      <w:r>
        <w:rPr>
          <w:noProof/>
          <w:lang w:val="en-US"/>
        </w:rPr>
        <w:t xml:space="preserve">(under either of the two policy options) for existing natural gas PCI projects at an advanced stage of implementation to cater for legitimate expectations by the affected promoters. This would mean the following: </w:t>
      </w:r>
      <w:r>
        <w:rPr>
          <w:noProof/>
        </w:rPr>
        <w:t>existing gas PCIs which are already under c</w:t>
      </w:r>
      <w:r>
        <w:rPr>
          <w:noProof/>
        </w:rPr>
        <w:t>onstruction, or will start construction before [the end of 2022]</w:t>
      </w:r>
      <w:r>
        <w:rPr>
          <w:rStyle w:val="FootnoteReference"/>
          <w:noProof/>
        </w:rPr>
        <w:footnoteReference w:id="64"/>
      </w:r>
      <w:r>
        <w:rPr>
          <w:noProof/>
        </w:rPr>
        <w:t>, or for which a CEF grant agreement for works has been concluded before [the end of 2022], would remain eligible for PCI status under current rules to allow the finalisation of these project</w:t>
      </w:r>
      <w:r>
        <w:rPr>
          <w:noProof/>
        </w:rPr>
        <w:t xml:space="preserve">s under a preferential treatment. There could be an additional limitation which would make the affected projects eligible under the current rules only for the first list to be adopted under the revised TEN-E. </w:t>
      </w:r>
    </w:p>
    <w:p w:rsidR="00B60846" w:rsidRDefault="008069FF">
      <w:pPr>
        <w:rPr>
          <w:noProof/>
          <w:lang w:val="en-US"/>
        </w:rPr>
      </w:pPr>
      <w:r>
        <w:rPr>
          <w:noProof/>
          <w:lang w:val="en-US"/>
        </w:rPr>
        <w:t xml:space="preserve">The choices on the updated gas infrastructure </w:t>
      </w:r>
      <w:r>
        <w:rPr>
          <w:noProof/>
          <w:lang w:val="en-US"/>
        </w:rPr>
        <w:t xml:space="preserve">priorities and eligible infrastructure categories will be reflected in the structure and objectives of the affected regional groups and thematic priority areas defined in the TEN-E Regulation. </w:t>
      </w:r>
    </w:p>
    <w:p w:rsidR="00B60846" w:rsidRDefault="008069FF">
      <w:pPr>
        <w:pStyle w:val="Caption"/>
        <w:rPr>
          <w:noProof/>
        </w:rPr>
      </w:pPr>
      <w:bookmarkStart w:id="490" w:name="_Ref50902760"/>
      <w:bookmarkStart w:id="491" w:name="_Ref50902754"/>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490"/>
      <w:r>
        <w:rPr>
          <w:noProof/>
        </w:rPr>
        <w:t>: Overview of policy options fo</w:t>
      </w:r>
      <w:r>
        <w:rPr>
          <w:noProof/>
        </w:rPr>
        <w:t>r gas infrastructure</w:t>
      </w:r>
      <w:bookmarkEnd w:id="491"/>
    </w:p>
    <w:tbl>
      <w:tblPr>
        <w:tblStyle w:val="TableGrid"/>
        <w:tblW w:w="0" w:type="auto"/>
        <w:jc w:val="center"/>
        <w:tblLook w:val="04A0" w:firstRow="1" w:lastRow="0" w:firstColumn="1" w:lastColumn="0" w:noHBand="0" w:noVBand="1"/>
      </w:tblPr>
      <w:tblGrid>
        <w:gridCol w:w="2325"/>
        <w:gridCol w:w="1577"/>
        <w:gridCol w:w="1671"/>
        <w:gridCol w:w="1671"/>
      </w:tblGrid>
      <w:tr w:rsidR="00B60846">
        <w:trPr>
          <w:jc w:val="center"/>
        </w:trPr>
        <w:tc>
          <w:tcPr>
            <w:tcW w:w="2325" w:type="dxa"/>
          </w:tcPr>
          <w:p w:rsidR="00B60846" w:rsidRDefault="008069FF">
            <w:pPr>
              <w:tabs>
                <w:tab w:val="clear" w:pos="2302"/>
              </w:tabs>
              <w:spacing w:after="160" w:line="259" w:lineRule="auto"/>
              <w:jc w:val="left"/>
              <w:rPr>
                <w:b/>
                <w:bCs/>
                <w:noProof/>
                <w:sz w:val="22"/>
                <w:szCs w:val="22"/>
                <w:lang w:val="en-US"/>
              </w:rPr>
            </w:pPr>
            <w:r>
              <w:rPr>
                <w:b/>
                <w:bCs/>
                <w:noProof/>
                <w:sz w:val="22"/>
                <w:szCs w:val="22"/>
                <w:lang w:val="en-US"/>
              </w:rPr>
              <w:t>Gas policy options and infrastructure categories</w:t>
            </w:r>
          </w:p>
        </w:tc>
        <w:tc>
          <w:tcPr>
            <w:tcW w:w="1577" w:type="dxa"/>
          </w:tcPr>
          <w:p w:rsidR="00B60846" w:rsidRDefault="008069FF">
            <w:pPr>
              <w:tabs>
                <w:tab w:val="clear" w:pos="2302"/>
              </w:tabs>
              <w:spacing w:after="160" w:line="259" w:lineRule="auto"/>
              <w:jc w:val="left"/>
              <w:rPr>
                <w:b/>
                <w:bCs/>
                <w:noProof/>
                <w:sz w:val="22"/>
                <w:szCs w:val="22"/>
                <w:lang w:val="en-US"/>
              </w:rPr>
            </w:pPr>
            <w:r>
              <w:rPr>
                <w:b/>
                <w:bCs/>
                <w:noProof/>
                <w:sz w:val="22"/>
                <w:szCs w:val="22"/>
                <w:lang w:val="en-US"/>
              </w:rPr>
              <w:t>A.2.0: Business-as-usual</w:t>
            </w:r>
          </w:p>
        </w:tc>
        <w:tc>
          <w:tcPr>
            <w:tcW w:w="1671" w:type="dxa"/>
          </w:tcPr>
          <w:p w:rsidR="00B60846" w:rsidRDefault="008069FF">
            <w:pPr>
              <w:tabs>
                <w:tab w:val="clear" w:pos="2302"/>
              </w:tabs>
              <w:spacing w:after="160" w:line="259" w:lineRule="auto"/>
              <w:jc w:val="left"/>
              <w:rPr>
                <w:b/>
                <w:bCs/>
                <w:noProof/>
                <w:sz w:val="22"/>
                <w:szCs w:val="22"/>
                <w:lang w:val="en-US"/>
              </w:rPr>
            </w:pPr>
            <w:r>
              <w:rPr>
                <w:b/>
                <w:bCs/>
                <w:noProof/>
                <w:sz w:val="22"/>
                <w:szCs w:val="22"/>
                <w:lang w:val="en-US"/>
              </w:rPr>
              <w:t xml:space="preserve">A.2.1: Hydrogen and P2G </w:t>
            </w:r>
          </w:p>
        </w:tc>
        <w:tc>
          <w:tcPr>
            <w:tcW w:w="1671" w:type="dxa"/>
          </w:tcPr>
          <w:p w:rsidR="00B60846" w:rsidRDefault="008069FF">
            <w:pPr>
              <w:tabs>
                <w:tab w:val="clear" w:pos="2302"/>
              </w:tabs>
              <w:spacing w:after="160" w:line="259" w:lineRule="auto"/>
              <w:jc w:val="left"/>
              <w:rPr>
                <w:b/>
                <w:bCs/>
                <w:noProof/>
                <w:sz w:val="22"/>
                <w:szCs w:val="22"/>
                <w:lang w:val="en-US"/>
              </w:rPr>
            </w:pPr>
            <w:r>
              <w:rPr>
                <w:b/>
                <w:bCs/>
                <w:noProof/>
                <w:sz w:val="22"/>
                <w:szCs w:val="22"/>
                <w:lang w:val="en-US"/>
              </w:rPr>
              <w:t>A.2.2: Green gas infrastructure</w:t>
            </w:r>
          </w:p>
        </w:tc>
      </w:tr>
      <w:tr w:rsidR="00B60846">
        <w:trPr>
          <w:jc w:val="center"/>
        </w:trPr>
        <w:tc>
          <w:tcPr>
            <w:tcW w:w="2325" w:type="dxa"/>
          </w:tcPr>
          <w:p w:rsidR="00B60846" w:rsidRDefault="008069FF">
            <w:pPr>
              <w:tabs>
                <w:tab w:val="clear" w:pos="2302"/>
              </w:tabs>
              <w:spacing w:after="160" w:line="259" w:lineRule="auto"/>
              <w:jc w:val="left"/>
              <w:rPr>
                <w:b/>
                <w:noProof/>
                <w:sz w:val="22"/>
                <w:szCs w:val="22"/>
                <w:lang w:val="en-US"/>
              </w:rPr>
            </w:pPr>
            <w:r>
              <w:rPr>
                <w:b/>
                <w:bCs/>
                <w:noProof/>
                <w:sz w:val="22"/>
                <w:szCs w:val="22"/>
                <w:lang w:val="en-US"/>
              </w:rPr>
              <w:t>Hydrogen networks</w:t>
            </w:r>
          </w:p>
        </w:tc>
        <w:tc>
          <w:tcPr>
            <w:tcW w:w="1577"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X</w:t>
            </w:r>
          </w:p>
        </w:tc>
        <w:tc>
          <w:tcPr>
            <w:tcW w:w="1671"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c>
          <w:tcPr>
            <w:tcW w:w="1671"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r>
      <w:tr w:rsidR="00B60846">
        <w:trPr>
          <w:jc w:val="center"/>
        </w:trPr>
        <w:tc>
          <w:tcPr>
            <w:tcW w:w="2325" w:type="dxa"/>
          </w:tcPr>
          <w:p w:rsidR="00B60846" w:rsidRDefault="008069FF">
            <w:pPr>
              <w:tabs>
                <w:tab w:val="clear" w:pos="2302"/>
              </w:tabs>
              <w:spacing w:after="160" w:line="259" w:lineRule="auto"/>
              <w:jc w:val="left"/>
              <w:rPr>
                <w:b/>
                <w:noProof/>
                <w:sz w:val="22"/>
                <w:szCs w:val="22"/>
                <w:lang w:val="en-US"/>
              </w:rPr>
            </w:pPr>
            <w:r>
              <w:rPr>
                <w:b/>
                <w:bCs/>
                <w:noProof/>
                <w:sz w:val="22"/>
                <w:szCs w:val="22"/>
                <w:lang w:val="en-US"/>
              </w:rPr>
              <w:t>Power-to-gas</w:t>
            </w:r>
          </w:p>
        </w:tc>
        <w:tc>
          <w:tcPr>
            <w:tcW w:w="1577"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X</w:t>
            </w:r>
          </w:p>
        </w:tc>
        <w:tc>
          <w:tcPr>
            <w:tcW w:w="1671"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c>
          <w:tcPr>
            <w:tcW w:w="1671"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r>
      <w:tr w:rsidR="00B60846">
        <w:trPr>
          <w:jc w:val="center"/>
        </w:trPr>
        <w:tc>
          <w:tcPr>
            <w:tcW w:w="2325" w:type="dxa"/>
          </w:tcPr>
          <w:p w:rsidR="00B60846" w:rsidRDefault="008069FF">
            <w:pPr>
              <w:tabs>
                <w:tab w:val="clear" w:pos="2302"/>
              </w:tabs>
              <w:spacing w:after="160" w:line="259" w:lineRule="auto"/>
              <w:jc w:val="left"/>
              <w:rPr>
                <w:b/>
                <w:noProof/>
                <w:sz w:val="22"/>
                <w:szCs w:val="22"/>
                <w:lang w:val="en-US"/>
              </w:rPr>
            </w:pPr>
            <w:r>
              <w:rPr>
                <w:b/>
                <w:bCs/>
                <w:noProof/>
                <w:sz w:val="22"/>
                <w:szCs w:val="22"/>
                <w:lang w:val="en-US"/>
              </w:rPr>
              <w:t>Smart gas grids</w:t>
            </w:r>
          </w:p>
        </w:tc>
        <w:tc>
          <w:tcPr>
            <w:tcW w:w="1577"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X</w:t>
            </w:r>
          </w:p>
        </w:tc>
        <w:tc>
          <w:tcPr>
            <w:tcW w:w="1671"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X</w:t>
            </w:r>
          </w:p>
        </w:tc>
        <w:tc>
          <w:tcPr>
            <w:tcW w:w="1671"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r>
      <w:tr w:rsidR="00B60846">
        <w:trPr>
          <w:jc w:val="center"/>
        </w:trPr>
        <w:tc>
          <w:tcPr>
            <w:tcW w:w="2325" w:type="dxa"/>
          </w:tcPr>
          <w:p w:rsidR="00B60846" w:rsidRDefault="008069FF">
            <w:pPr>
              <w:tabs>
                <w:tab w:val="clear" w:pos="2302"/>
              </w:tabs>
              <w:spacing w:after="160" w:line="259" w:lineRule="auto"/>
              <w:jc w:val="left"/>
              <w:rPr>
                <w:b/>
                <w:noProof/>
                <w:sz w:val="22"/>
                <w:szCs w:val="22"/>
                <w:lang w:val="en-US"/>
              </w:rPr>
            </w:pPr>
            <w:r>
              <w:rPr>
                <w:b/>
                <w:bCs/>
                <w:noProof/>
                <w:sz w:val="22"/>
                <w:szCs w:val="22"/>
                <w:lang w:val="en-US"/>
              </w:rPr>
              <w:t>Natural gas infrastructure</w:t>
            </w:r>
          </w:p>
        </w:tc>
        <w:tc>
          <w:tcPr>
            <w:tcW w:w="1577"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c>
          <w:tcPr>
            <w:tcW w:w="1671"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X</w:t>
            </w:r>
          </w:p>
        </w:tc>
        <w:tc>
          <w:tcPr>
            <w:tcW w:w="1671"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X</w:t>
            </w:r>
          </w:p>
        </w:tc>
      </w:tr>
      <w:tr w:rsidR="00B60846">
        <w:trPr>
          <w:jc w:val="center"/>
        </w:trPr>
        <w:tc>
          <w:tcPr>
            <w:tcW w:w="2325" w:type="dxa"/>
          </w:tcPr>
          <w:p w:rsidR="00B60846" w:rsidRDefault="008069FF">
            <w:pPr>
              <w:tabs>
                <w:tab w:val="clear" w:pos="2302"/>
              </w:tabs>
              <w:spacing w:after="160" w:line="259" w:lineRule="auto"/>
              <w:jc w:val="left"/>
              <w:rPr>
                <w:i/>
                <w:noProof/>
                <w:sz w:val="22"/>
                <w:szCs w:val="22"/>
                <w:lang w:val="en-US"/>
              </w:rPr>
            </w:pPr>
            <w:r>
              <w:rPr>
                <w:i/>
                <w:iCs/>
                <w:noProof/>
                <w:sz w:val="22"/>
                <w:szCs w:val="22"/>
                <w:lang w:val="en-US"/>
              </w:rPr>
              <w:t>Exception for advanced natural gas PCIs</w:t>
            </w:r>
          </w:p>
        </w:tc>
        <w:tc>
          <w:tcPr>
            <w:tcW w:w="1577"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NA</w:t>
            </w:r>
          </w:p>
        </w:tc>
        <w:tc>
          <w:tcPr>
            <w:tcW w:w="1671"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c>
          <w:tcPr>
            <w:tcW w:w="1671"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r>
      <w:tr w:rsidR="00B60846">
        <w:trPr>
          <w:jc w:val="center"/>
        </w:trPr>
        <w:tc>
          <w:tcPr>
            <w:tcW w:w="2325" w:type="dxa"/>
          </w:tcPr>
          <w:p w:rsidR="00B60846" w:rsidRDefault="008069FF">
            <w:pPr>
              <w:tabs>
                <w:tab w:val="clear" w:pos="2302"/>
              </w:tabs>
              <w:spacing w:after="160" w:line="259" w:lineRule="auto"/>
              <w:jc w:val="left"/>
              <w:rPr>
                <w:i/>
                <w:noProof/>
                <w:sz w:val="22"/>
                <w:szCs w:val="22"/>
                <w:lang w:val="en-US"/>
              </w:rPr>
            </w:pPr>
            <w:r>
              <w:rPr>
                <w:i/>
                <w:iCs/>
                <w:noProof/>
                <w:sz w:val="22"/>
                <w:szCs w:val="22"/>
                <w:lang w:val="en-US"/>
              </w:rPr>
              <w:t xml:space="preserve">Exception for natural gas TSO  infrastructure to integrate </w:t>
            </w:r>
            <w:r>
              <w:rPr>
                <w:i/>
                <w:noProof/>
                <w:sz w:val="22"/>
                <w:szCs w:val="22"/>
                <w:lang w:val="en-US"/>
              </w:rPr>
              <w:t xml:space="preserve">biomethane and synthetic methane </w:t>
            </w:r>
          </w:p>
        </w:tc>
        <w:tc>
          <w:tcPr>
            <w:tcW w:w="1577"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w:t>
            </w:r>
            <w:r>
              <w:rPr>
                <w:rFonts w:ascii="Segoe UI Symbol" w:hAnsi="Segoe UI Symbol" w:cs="Segoe UI Symbol"/>
                <w:noProof/>
                <w:sz w:val="22"/>
                <w:szCs w:val="22"/>
                <w:lang w:val="en-US"/>
              </w:rPr>
              <w:t>✔</w:t>
            </w:r>
            <w:r>
              <w:rPr>
                <w:noProof/>
                <w:sz w:val="22"/>
                <w:szCs w:val="22"/>
                <w:lang w:val="en-US"/>
              </w:rPr>
              <w:t>)</w:t>
            </w:r>
          </w:p>
        </w:tc>
        <w:tc>
          <w:tcPr>
            <w:tcW w:w="1671"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X</w:t>
            </w:r>
          </w:p>
        </w:tc>
        <w:tc>
          <w:tcPr>
            <w:tcW w:w="1671"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r>
      <w:tr w:rsidR="00B60846">
        <w:trPr>
          <w:jc w:val="center"/>
        </w:trPr>
        <w:tc>
          <w:tcPr>
            <w:tcW w:w="2325" w:type="dxa"/>
          </w:tcPr>
          <w:p w:rsidR="00B60846" w:rsidRDefault="008069FF">
            <w:pPr>
              <w:tabs>
                <w:tab w:val="clear" w:pos="2302"/>
              </w:tabs>
              <w:spacing w:after="160" w:line="259" w:lineRule="auto"/>
              <w:jc w:val="left"/>
              <w:rPr>
                <w:i/>
                <w:noProof/>
                <w:sz w:val="22"/>
                <w:szCs w:val="22"/>
                <w:lang w:val="en-US"/>
              </w:rPr>
            </w:pPr>
            <w:r>
              <w:rPr>
                <w:i/>
                <w:iCs/>
                <w:noProof/>
                <w:sz w:val="22"/>
                <w:szCs w:val="22"/>
                <w:lang w:val="en-US"/>
              </w:rPr>
              <w:t xml:space="preserve">Exception for natural gas TSO retrofits for hydrogen admixtures </w:t>
            </w:r>
          </w:p>
        </w:tc>
        <w:tc>
          <w:tcPr>
            <w:tcW w:w="1577"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w:t>
            </w:r>
            <w:r>
              <w:rPr>
                <w:rFonts w:ascii="Segoe UI Symbol" w:hAnsi="Segoe UI Symbol" w:cs="Segoe UI Symbol"/>
                <w:noProof/>
                <w:sz w:val="22"/>
                <w:szCs w:val="22"/>
                <w:lang w:val="en-US"/>
              </w:rPr>
              <w:t>✔</w:t>
            </w:r>
            <w:r>
              <w:rPr>
                <w:noProof/>
                <w:sz w:val="22"/>
                <w:szCs w:val="22"/>
                <w:lang w:val="en-US"/>
              </w:rPr>
              <w:t>)</w:t>
            </w:r>
          </w:p>
        </w:tc>
        <w:tc>
          <w:tcPr>
            <w:tcW w:w="1671" w:type="dxa"/>
          </w:tcPr>
          <w:p w:rsidR="00B60846" w:rsidRDefault="008069FF">
            <w:pPr>
              <w:tabs>
                <w:tab w:val="clear" w:pos="2302"/>
              </w:tabs>
              <w:spacing w:after="160" w:line="259" w:lineRule="auto"/>
              <w:jc w:val="center"/>
              <w:rPr>
                <w:noProof/>
                <w:sz w:val="22"/>
                <w:szCs w:val="22"/>
                <w:lang w:val="en-US"/>
              </w:rPr>
            </w:pPr>
            <w:r>
              <w:rPr>
                <w:noProof/>
                <w:sz w:val="22"/>
                <w:szCs w:val="22"/>
                <w:lang w:val="en-US"/>
              </w:rPr>
              <w:t>X</w:t>
            </w:r>
          </w:p>
        </w:tc>
        <w:tc>
          <w:tcPr>
            <w:tcW w:w="1671" w:type="dxa"/>
          </w:tcPr>
          <w:p w:rsidR="00B60846" w:rsidRDefault="008069FF">
            <w:pPr>
              <w:tabs>
                <w:tab w:val="clear" w:pos="2302"/>
              </w:tabs>
              <w:spacing w:after="160" w:line="259" w:lineRule="auto"/>
              <w:jc w:val="center"/>
              <w:rPr>
                <w:noProof/>
                <w:sz w:val="22"/>
                <w:szCs w:val="22"/>
                <w:lang w:val="en-US"/>
              </w:rPr>
            </w:pPr>
            <w:r>
              <w:rPr>
                <w:rFonts w:ascii="Segoe UI Symbol" w:hAnsi="Segoe UI Symbol" w:cs="Segoe UI Symbol"/>
                <w:noProof/>
                <w:sz w:val="22"/>
                <w:szCs w:val="22"/>
                <w:lang w:val="en-US"/>
              </w:rPr>
              <w:t>✔</w:t>
            </w:r>
          </w:p>
        </w:tc>
      </w:tr>
    </w:tbl>
    <w:p w:rsidR="00B60846" w:rsidRDefault="008069FF">
      <w:pPr>
        <w:tabs>
          <w:tab w:val="clear" w:pos="2302"/>
        </w:tabs>
        <w:spacing w:after="160" w:line="259" w:lineRule="auto"/>
        <w:rPr>
          <w:i/>
          <w:noProof/>
          <w:sz w:val="20"/>
          <w:lang w:val="en-US"/>
        </w:rPr>
      </w:pPr>
      <w:r>
        <w:rPr>
          <w:i/>
          <w:iCs/>
          <w:noProof/>
          <w:sz w:val="20"/>
          <w:lang w:val="en-US"/>
        </w:rPr>
        <w:t xml:space="preserve">Legend: </w:t>
      </w:r>
      <w:r>
        <w:rPr>
          <w:rFonts w:ascii="Segoe UI Symbol" w:hAnsi="Segoe UI Symbol" w:cs="Segoe UI Symbol"/>
          <w:b/>
          <w:bCs/>
          <w:i/>
          <w:iCs/>
          <w:noProof/>
          <w:sz w:val="20"/>
          <w:lang w:val="en-US"/>
        </w:rPr>
        <w:t>✔</w:t>
      </w:r>
      <w:r>
        <w:rPr>
          <w:i/>
          <w:iCs/>
          <w:noProof/>
          <w:sz w:val="20"/>
          <w:lang w:val="en-US"/>
        </w:rPr>
        <w:t xml:space="preserve"> : infrastructure category possibly included in the scope; </w:t>
      </w:r>
      <w:r>
        <w:rPr>
          <w:b/>
          <w:bCs/>
          <w:i/>
          <w:iCs/>
          <w:noProof/>
          <w:sz w:val="20"/>
          <w:lang w:val="en-US"/>
        </w:rPr>
        <w:t>(</w:t>
      </w:r>
      <w:r>
        <w:rPr>
          <w:rFonts w:ascii="Segoe UI Symbol" w:hAnsi="Segoe UI Symbol" w:cs="Segoe UI Symbol"/>
          <w:b/>
          <w:bCs/>
          <w:i/>
          <w:iCs/>
          <w:noProof/>
          <w:sz w:val="20"/>
          <w:lang w:val="en-US"/>
        </w:rPr>
        <w:t>✔</w:t>
      </w:r>
      <w:r>
        <w:rPr>
          <w:b/>
          <w:bCs/>
          <w:i/>
          <w:iCs/>
          <w:noProof/>
          <w:sz w:val="20"/>
          <w:lang w:val="en-US"/>
        </w:rPr>
        <w:t>)</w:t>
      </w:r>
      <w:r>
        <w:rPr>
          <w:i/>
          <w:iCs/>
          <w:noProof/>
          <w:sz w:val="20"/>
          <w:lang w:val="en-US"/>
        </w:rPr>
        <w:t xml:space="preserve">: included in principle but unlikely to meet (all) PCI eligibility criteria; </w:t>
      </w:r>
      <w:r>
        <w:rPr>
          <w:b/>
          <w:bCs/>
          <w:i/>
          <w:iCs/>
          <w:noProof/>
          <w:sz w:val="20"/>
          <w:lang w:val="en-US"/>
        </w:rPr>
        <w:t>X</w:t>
      </w:r>
      <w:r>
        <w:rPr>
          <w:i/>
          <w:iCs/>
          <w:noProof/>
          <w:sz w:val="20"/>
          <w:lang w:val="en-US"/>
        </w:rPr>
        <w:t xml:space="preserve">: excluded from the scope; </w:t>
      </w:r>
      <w:r>
        <w:rPr>
          <w:b/>
          <w:bCs/>
          <w:i/>
          <w:iCs/>
          <w:noProof/>
          <w:sz w:val="20"/>
          <w:lang w:val="en-US"/>
        </w:rPr>
        <w:t>NA</w:t>
      </w:r>
      <w:r>
        <w:rPr>
          <w:i/>
          <w:iCs/>
          <w:noProof/>
          <w:sz w:val="20"/>
          <w:lang w:val="en-US"/>
        </w:rPr>
        <w:t>: not applicable</w:t>
      </w:r>
    </w:p>
    <w:p w:rsidR="00B60846" w:rsidRDefault="008069FF">
      <w:pPr>
        <w:rPr>
          <w:b/>
          <w:i/>
          <w:noProof/>
          <w:lang w:val="en-US"/>
        </w:rPr>
      </w:pPr>
      <w:r>
        <w:rPr>
          <w:noProof/>
        </w:rPr>
        <w:t xml:space="preserve">The eligibility for CEF financial assistance would be adjusted to the </w:t>
      </w:r>
      <w:r>
        <w:rPr>
          <w:noProof/>
        </w:rPr>
        <w:t>infrastructure categories of the revised TEN-E Regulation, i.e. expand eligibility to all or some of those categories that were added, while those removed would by default be excluded from CEF financial assistance. For CEF financial assistance for works th</w:t>
      </w:r>
      <w:r>
        <w:rPr>
          <w:noProof/>
        </w:rPr>
        <w:t xml:space="preserve">e same principles as under the current framework (commercial non-viability and externalities) would apply. However, as electrolysers would be already eligible for CEF financial assistance as cross-border projects in the field of renewable energy under CEF </w:t>
      </w:r>
      <w:r>
        <w:rPr>
          <w:noProof/>
        </w:rPr>
        <w:t>II (so-called cross-border RES window), under this option electrolysers would not be eligible for CEF financial assistance under the future TEN-E Regulation.</w:t>
      </w:r>
    </w:p>
    <w:p w:rsidR="00B60846" w:rsidRDefault="008069FF">
      <w:pPr>
        <w:rPr>
          <w:noProof/>
          <w:lang w:val="en-US"/>
        </w:rPr>
      </w:pPr>
      <w:r>
        <w:rPr>
          <w:b/>
          <w:bCs/>
          <w:i/>
          <w:iCs/>
          <w:noProof/>
          <w:lang w:val="en-US"/>
        </w:rPr>
        <w:t>Stakeholder views:</w:t>
      </w:r>
      <w:r>
        <w:rPr>
          <w:noProof/>
          <w:lang w:val="en-US"/>
        </w:rPr>
        <w:t xml:space="preserve"> </w:t>
      </w:r>
      <w:r>
        <w:rPr>
          <w:noProof/>
        </w:rPr>
        <w:t>While several stakeholder groups, mainly representing TSOs and industry associa</w:t>
      </w:r>
      <w:r>
        <w:rPr>
          <w:noProof/>
        </w:rPr>
        <w:t>tions, considered the inclusion of hydrogen infrastructures, smart gas distribution grids as well as power-to-gas important, there was mixed support notably from NGOs</w:t>
      </w:r>
      <w:r>
        <w:rPr>
          <w:noProof/>
          <w:lang w:val="en-US"/>
        </w:rPr>
        <w:t>. Environmental NGOs in particular, but also some stakeholders representing the electricit</w:t>
      </w:r>
      <w:r>
        <w:rPr>
          <w:noProof/>
          <w:lang w:val="en-US"/>
        </w:rPr>
        <w:t>y sector, were against the inclusion of natural gas infrastructure in the future scope of TEN-E and voiced concerns about the sustainability of the new types of gases.</w:t>
      </w:r>
    </w:p>
    <w:p w:rsidR="00B60846" w:rsidRDefault="008069FF">
      <w:pPr>
        <w:pStyle w:val="Heading4"/>
        <w:rPr>
          <w:noProof/>
        </w:rPr>
      </w:pPr>
      <w:r>
        <w:rPr>
          <w:noProof/>
        </w:rPr>
        <w:t>Projects of mutual interest (PMIs)</w:t>
      </w:r>
    </w:p>
    <w:p w:rsidR="00B60846" w:rsidRDefault="008069FF">
      <w:pPr>
        <w:rPr>
          <w:b/>
          <w:bCs/>
          <w:noProof/>
        </w:rPr>
      </w:pPr>
      <w:r>
        <w:rPr>
          <w:b/>
          <w:bCs/>
          <w:noProof/>
        </w:rPr>
        <w:t>Option A.5.0: Business as usual</w:t>
      </w:r>
    </w:p>
    <w:p w:rsidR="00B60846" w:rsidRDefault="008069FF">
      <w:pPr>
        <w:rPr>
          <w:noProof/>
        </w:rPr>
      </w:pPr>
      <w:r>
        <w:rPr>
          <w:noProof/>
        </w:rPr>
        <w:t xml:space="preserve">Only projects, which are able to demonstrate socio-economic benefits for at least two EU Member States are eligible for PCI status. Significant cross-border impact needs to be demonstrated by meeting a certain capacity threshold. </w:t>
      </w:r>
    </w:p>
    <w:p w:rsidR="00B60846" w:rsidRDefault="008069FF">
      <w:pPr>
        <w:rPr>
          <w:b/>
          <w:bCs/>
          <w:noProof/>
        </w:rPr>
      </w:pPr>
      <w:r>
        <w:rPr>
          <w:b/>
          <w:bCs/>
          <w:noProof/>
        </w:rPr>
        <w:t>Option A.5.1: Inclusion o</w:t>
      </w:r>
      <w:r>
        <w:rPr>
          <w:b/>
          <w:bCs/>
          <w:noProof/>
        </w:rPr>
        <w:t xml:space="preserve">f PMIs under the TEN-E Regulation </w:t>
      </w:r>
    </w:p>
    <w:p w:rsidR="00B60846" w:rsidRDefault="008069FF">
      <w:pPr>
        <w:rPr>
          <w:noProof/>
        </w:rPr>
      </w:pPr>
      <w:r>
        <w:rPr>
          <w:noProof/>
        </w:rPr>
        <w:t>The status of projects, which are able to demonstrate significant net socio-economic benefits for at least two EU Member State and at least one third country could be recognised by the revised TEN-E Regulation by introduc</w:t>
      </w:r>
      <w:r>
        <w:rPr>
          <w:noProof/>
        </w:rPr>
        <w:t>ing specific criteria for such projects. For such projects to obtain a priority status, the conditions of regulatory approximation with the EU would need to be fulfilled, and the projects would need to contribute to the EU overall energy and climate object</w:t>
      </w:r>
      <w:r>
        <w:rPr>
          <w:noProof/>
        </w:rPr>
        <w:t>ives in terms of security of supply, decarbonisation. In addition, the third country, when supporting the priority status of the given project, would also commit to full support of the project in view of complying with a similar timeline for accelerated im</w:t>
      </w:r>
      <w:r>
        <w:rPr>
          <w:noProof/>
        </w:rPr>
        <w:t>plementation and other policy support measures, as stipulated in the TEN-E Regulation.</w:t>
      </w:r>
    </w:p>
    <w:p w:rsidR="00B60846" w:rsidRDefault="008069FF">
      <w:pPr>
        <w:rPr>
          <w:noProof/>
        </w:rPr>
      </w:pPr>
      <w:r>
        <w:rPr>
          <w:noProof/>
        </w:rPr>
        <w:t>The presented options would not effect the very few projects with third countries which already qualify under the existing PCI eligibility criteria.</w:t>
      </w:r>
    </w:p>
    <w:p w:rsidR="00B60846" w:rsidRDefault="008069FF">
      <w:pPr>
        <w:rPr>
          <w:noProof/>
        </w:rPr>
      </w:pPr>
      <w:r>
        <w:rPr>
          <w:noProof/>
        </w:rPr>
        <w:t>This would allow ide</w:t>
      </w:r>
      <w:r>
        <w:rPr>
          <w:noProof/>
        </w:rPr>
        <w:t xml:space="preserve">ntifying cross-border infrastructure between the EU and neighbourhood countries that is mutually beneficial and necessary for the energy transition and the achievement of the climate targets.  </w:t>
      </w:r>
    </w:p>
    <w:p w:rsidR="00B60846" w:rsidRDefault="008069FF">
      <w:pPr>
        <w:rPr>
          <w:noProof/>
          <w:lang w:val="en-US"/>
        </w:rPr>
      </w:pPr>
      <w:r>
        <w:rPr>
          <w:b/>
          <w:bCs/>
          <w:i/>
          <w:iCs/>
          <w:noProof/>
          <w:lang w:val="en-US"/>
        </w:rPr>
        <w:t>Stakeholder views:</w:t>
      </w:r>
      <w:r>
        <w:rPr>
          <w:noProof/>
          <w:lang w:val="en-US"/>
        </w:rPr>
        <w:t xml:space="preserve"> </w:t>
      </w:r>
      <w:r>
        <w:rPr>
          <w:noProof/>
        </w:rPr>
        <w:t xml:space="preserve">There was mixed support among stakeholders </w:t>
      </w:r>
      <w:r>
        <w:rPr>
          <w:noProof/>
        </w:rPr>
        <w:t>to extend the scope of the Regulation to Energy Community countries and other third countries. Support was mainly expressed by TSOs of Member States with borders to non-EU countries as well as non-EU stakeholders. Some stakeholders called for a specific re</w:t>
      </w:r>
      <w:r>
        <w:rPr>
          <w:noProof/>
        </w:rPr>
        <w:t>gime for this kind of projects to ensure that similar regulatory standards are complied with.</w:t>
      </w:r>
    </w:p>
    <w:p w:rsidR="00B60846" w:rsidRDefault="008069FF">
      <w:pPr>
        <w:pStyle w:val="Heading3"/>
        <w:rPr>
          <w:noProof/>
        </w:rPr>
      </w:pPr>
      <w:bookmarkStart w:id="492" w:name="_Toc49351338"/>
      <w:bookmarkStart w:id="493" w:name="_Toc49357731"/>
      <w:bookmarkStart w:id="494" w:name="_Toc49359409"/>
      <w:bookmarkStart w:id="495" w:name="_Toc49359744"/>
      <w:bookmarkStart w:id="496" w:name="_Toc49507989"/>
      <w:bookmarkStart w:id="497" w:name="_Toc49508433"/>
      <w:bookmarkStart w:id="498" w:name="_Toc49512344"/>
      <w:bookmarkStart w:id="499" w:name="_Toc49514228"/>
      <w:bookmarkStart w:id="500" w:name="_Toc49516463"/>
      <w:bookmarkStart w:id="501" w:name="_Toc50028475"/>
      <w:bookmarkStart w:id="502" w:name="_Toc50056970"/>
      <w:bookmarkStart w:id="503" w:name="_Toc50452076"/>
      <w:bookmarkStart w:id="504" w:name="_Toc50573895"/>
      <w:bookmarkStart w:id="505" w:name="_Toc50581878"/>
      <w:bookmarkStart w:id="506" w:name="_Toc50582661"/>
      <w:bookmarkStart w:id="507" w:name="_Toc51022074"/>
      <w:bookmarkStart w:id="508" w:name="_Toc51168554"/>
      <w:bookmarkStart w:id="509" w:name="_Toc51169043"/>
      <w:bookmarkStart w:id="510" w:name="_Toc51231537"/>
      <w:bookmarkStart w:id="511" w:name="_Toc51235473"/>
      <w:bookmarkStart w:id="512" w:name="_Toc51237263"/>
      <w:bookmarkStart w:id="513" w:name="_Toc51238648"/>
      <w:bookmarkStart w:id="514" w:name="_Toc51239373"/>
      <w:bookmarkStart w:id="515" w:name="_Toc51245156"/>
      <w:bookmarkStart w:id="516" w:name="_Toc51268796"/>
      <w:bookmarkStart w:id="517" w:name="_Toc51268903"/>
      <w:bookmarkStart w:id="518" w:name="_Toc51346822"/>
      <w:bookmarkStart w:id="519" w:name="_Toc51350386"/>
      <w:bookmarkStart w:id="520" w:name="_Toc51760917"/>
      <w:bookmarkStart w:id="521" w:name="_Toc51784836"/>
      <w:bookmarkStart w:id="522" w:name="_Toc51788285"/>
      <w:bookmarkStart w:id="523" w:name="_Toc51791823"/>
      <w:bookmarkStart w:id="524" w:name="_Toc51793255"/>
      <w:bookmarkStart w:id="525" w:name="_Toc51879069"/>
      <w:bookmarkStart w:id="526" w:name="_Toc55155645"/>
      <w:bookmarkStart w:id="527" w:name="_Toc55290952"/>
      <w:bookmarkStart w:id="528" w:name="_Toc55296642"/>
      <w:bookmarkStart w:id="529" w:name="_Toc55496454"/>
      <w:r>
        <w:rPr>
          <w:noProof/>
        </w:rPr>
        <w:t>Governance / Infrastructure planning</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B60846" w:rsidRDefault="008069FF">
      <w:pPr>
        <w:pStyle w:val="Heading4"/>
        <w:rPr>
          <w:noProof/>
        </w:rPr>
      </w:pPr>
      <w:r>
        <w:rPr>
          <w:noProof/>
        </w:rPr>
        <w:t>Offshore grids for renewable energy</w:t>
      </w:r>
    </w:p>
    <w:p w:rsidR="00B60846" w:rsidRDefault="008069FF">
      <w:pPr>
        <w:rPr>
          <w:noProof/>
        </w:rPr>
      </w:pPr>
      <w:r>
        <w:rPr>
          <w:noProof/>
        </w:rPr>
        <w:t>The offshore grids for renewable energy is a transmission infrastructure, with dual funct</w:t>
      </w:r>
      <w:r>
        <w:rPr>
          <w:noProof/>
        </w:rPr>
        <w:t>ionality: interconnection and transport of offshore renewable energy from the offshore generation sites to two or more Member States (thereafter hybrid grids). The offshore grid can also include the Member States internal high voltage transmission infrastr</w:t>
      </w:r>
      <w:r>
        <w:rPr>
          <w:noProof/>
        </w:rPr>
        <w:t>uctures (new or reinforcements) that demonstrate significant necessity for the transport of offshore renewable energy to the consumption sites, as well as any offshore adjacent equipment or installation essential to operate safely, securely and efficiently</w:t>
      </w:r>
      <w:r>
        <w:rPr>
          <w:noProof/>
        </w:rPr>
        <w:t>, including protection, monitoring and control systems and necessary substations.</w:t>
      </w:r>
    </w:p>
    <w:p w:rsidR="00B60846" w:rsidRDefault="008069FF">
      <w:pPr>
        <w:rPr>
          <w:b/>
          <w:bCs/>
          <w:noProof/>
        </w:rPr>
      </w:pPr>
      <w:r>
        <w:rPr>
          <w:b/>
          <w:bCs/>
          <w:noProof/>
        </w:rPr>
        <w:t>Option B.1.0: Business as usual</w:t>
      </w:r>
    </w:p>
    <w:p w:rsidR="00B60846" w:rsidRDefault="008069FF">
      <w:pPr>
        <w:rPr>
          <w:noProof/>
          <w:szCs w:val="24"/>
        </w:rPr>
      </w:pPr>
      <w:r>
        <w:rPr>
          <w:noProof/>
        </w:rPr>
        <w:t>This option would continue the incremental development of offshore grids observed so far. As regards planning, ENTSO-E would identify and anal</w:t>
      </w:r>
      <w:r>
        <w:rPr>
          <w:noProof/>
        </w:rPr>
        <w:t>yse within the Regional Investment Plans (which are part of the ten-Year Network Development Plans package) the necessary regional offshore grid infrastructure. The identification of the infrastructure needs, project proposals and assessment done in line w</w:t>
      </w:r>
      <w:r>
        <w:rPr>
          <w:noProof/>
        </w:rPr>
        <w:t xml:space="preserve">ith the latest available Commission scenarios and Member States commitments on offshore renewable energy. This enhanced TYNDP would be the basis for the PCI selection process. </w:t>
      </w:r>
    </w:p>
    <w:p w:rsidR="00B60846" w:rsidRDefault="008069FF">
      <w:pPr>
        <w:rPr>
          <w:b/>
          <w:bCs/>
          <w:noProof/>
        </w:rPr>
      </w:pPr>
      <w:r>
        <w:rPr>
          <w:b/>
          <w:bCs/>
          <w:noProof/>
        </w:rPr>
        <w:t>Option B.1.1 Integrated offshore development plans</w:t>
      </w:r>
    </w:p>
    <w:p w:rsidR="00B60846" w:rsidRDefault="008069FF">
      <w:pPr>
        <w:rPr>
          <w:noProof/>
        </w:rPr>
      </w:pPr>
      <w:r>
        <w:rPr>
          <w:noProof/>
        </w:rPr>
        <w:t>This option would strengthen</w:t>
      </w:r>
      <w:r>
        <w:rPr>
          <w:noProof/>
        </w:rPr>
        <w:t xml:space="preserve"> the cooperation in offshore infrastructure planning and implementation. It would require Member States within each sea basin to jointly commit to the amount of the offshore renewable deployment for each sea basin</w:t>
      </w:r>
      <w:r>
        <w:rPr>
          <w:rStyle w:val="FootnoteReference"/>
          <w:noProof/>
        </w:rPr>
        <w:footnoteReference w:id="65"/>
      </w:r>
      <w:r>
        <w:rPr>
          <w:noProof/>
        </w:rPr>
        <w:t>. In addition, it would mandate ENTSO-E, w</w:t>
      </w:r>
      <w:r>
        <w:rPr>
          <w:noProof/>
        </w:rPr>
        <w:t>ith the involvement of the relevant TSOs and in line with the political commitments, to develop offshore plans for time horizons 2030, 2040 and 2050 respectively for all the sea basins. The integrated offshore network development plan is to be coherent wit</w:t>
      </w:r>
      <w:r>
        <w:rPr>
          <w:noProof/>
        </w:rPr>
        <w:t>h the TYNDP and developed under the Commission’s steering and binding opinion. If, based on ENTSO-E’s report, a group cannot agree on an integrated offshore network development plan, or ENTSO-E does not develop such plans on time, the Commission may take o</w:t>
      </w:r>
      <w:r>
        <w:rPr>
          <w:noProof/>
        </w:rPr>
        <w:t>ver, possibly with input from a third party in view of having an integrated offshore network development plan established per sea basin. Finally, this option would include a requirement for the Commission to develop a specific cost-benefit and cost-sharing</w:t>
      </w:r>
      <w:r>
        <w:rPr>
          <w:noProof/>
        </w:rPr>
        <w:t xml:space="preserve"> method for offshore infrastructure that will enable Member States to properly assess the direction they want to take and carry out a preliminary cost sharing procedure.</w:t>
      </w:r>
    </w:p>
    <w:p w:rsidR="00B60846" w:rsidRDefault="008069FF">
      <w:pPr>
        <w:rPr>
          <w:noProof/>
        </w:rPr>
      </w:pPr>
      <w:r>
        <w:rPr>
          <w:b/>
          <w:bCs/>
          <w:noProof/>
        </w:rPr>
        <w:t>Option B.1.2 Regional Independent System Operator / Joint Undertaking</w:t>
      </w:r>
    </w:p>
    <w:p w:rsidR="00B60846" w:rsidRDefault="008069FF">
      <w:pPr>
        <w:rPr>
          <w:noProof/>
        </w:rPr>
      </w:pPr>
      <w:r>
        <w:rPr>
          <w:noProof/>
        </w:rPr>
        <w:t>This option give</w:t>
      </w:r>
      <w:r>
        <w:rPr>
          <w:noProof/>
        </w:rPr>
        <w:t>s the task of offshore grid planning, including the identification of infrastructure gaps, proposal and implementation and offshore grids, investment per sea basin and cross border cost allocation process for offshore infrastructures to a new entity, eithe</w:t>
      </w:r>
      <w:r>
        <w:rPr>
          <w:noProof/>
        </w:rPr>
        <w:t>r a regional Independent System Operator or a Joint Undertaking e.g. per sea basin. A single entity could optimise the grid planning and investment per sea basin more efficiently, than a group of TSOs. The entity would have to take over key responsibilitie</w:t>
      </w:r>
      <w:r>
        <w:rPr>
          <w:noProof/>
        </w:rPr>
        <w:t>s from the national TSOs.</w:t>
      </w:r>
    </w:p>
    <w:p w:rsidR="00B60846" w:rsidRDefault="008069FF">
      <w:pPr>
        <w:rPr>
          <w:noProof/>
        </w:rPr>
      </w:pPr>
      <w:r>
        <w:rPr>
          <w:noProof/>
        </w:rPr>
        <w:t>Options B.1.1 and B.1.2 would allow going beyond the bottom-up approach to infrastructure planning for offshore infrastructure.</w:t>
      </w:r>
    </w:p>
    <w:p w:rsidR="00B60846" w:rsidRDefault="008069FF">
      <w:pPr>
        <w:rPr>
          <w:noProof/>
          <w:szCs w:val="24"/>
        </w:rPr>
      </w:pPr>
      <w:r>
        <w:rPr>
          <w:b/>
          <w:bCs/>
          <w:i/>
          <w:iCs/>
          <w:noProof/>
        </w:rPr>
        <w:t xml:space="preserve">Stakeholders view: </w:t>
      </w:r>
      <w:r>
        <w:rPr>
          <w:noProof/>
        </w:rPr>
        <w:t>Stakeholders did not express specific views on the future offshore infrastructure p</w:t>
      </w:r>
      <w:r>
        <w:rPr>
          <w:noProof/>
        </w:rPr>
        <w:t xml:space="preserve">lanning regime. However, there was the general view that hybrid assets and meshed offshore wind hubs will be essential for the development of offshore renewable energy in Europe. </w:t>
      </w:r>
    </w:p>
    <w:p w:rsidR="00B60846" w:rsidRDefault="008069FF">
      <w:pPr>
        <w:pStyle w:val="Heading4"/>
        <w:rPr>
          <w:noProof/>
        </w:rPr>
      </w:pPr>
      <w:r>
        <w:rPr>
          <w:noProof/>
        </w:rPr>
        <w:t>Cross-sectoral infrastructure planning</w:t>
      </w:r>
    </w:p>
    <w:p w:rsidR="00B60846" w:rsidRDefault="008069FF">
      <w:pPr>
        <w:rPr>
          <w:b/>
          <w:bCs/>
          <w:noProof/>
        </w:rPr>
      </w:pPr>
      <w:r>
        <w:rPr>
          <w:b/>
          <w:bCs/>
          <w:noProof/>
        </w:rPr>
        <w:t>Option B.2.0: Business as usual</w:t>
      </w:r>
    </w:p>
    <w:p w:rsidR="00B60846" w:rsidRDefault="008069FF">
      <w:pPr>
        <w:rPr>
          <w:noProof/>
        </w:rPr>
      </w:pPr>
      <w:r>
        <w:rPr>
          <w:noProof/>
        </w:rPr>
        <w:t>The c</w:t>
      </w:r>
      <w:r>
        <w:rPr>
          <w:noProof/>
        </w:rPr>
        <w:t>urrent conditions continue to apply without changes. The Electricity and Gas Regulations mandate the ENTSOs to develop every two years their respective 10-year Network Development Plans (TYNDP) and give ACER the power to deliver a non-binding opinion on th</w:t>
      </w:r>
      <w:r>
        <w:rPr>
          <w:noProof/>
        </w:rPr>
        <w:t>ese plans. The Commission has no direct role in the development of these plans. The sole oversight of the Commission is on the ENTSOs’ gas/electricity Cost-Benefit Analysis (CBA) methodologies, which must receive approval from the Commission before their u</w:t>
      </w:r>
      <w:r>
        <w:rPr>
          <w:noProof/>
        </w:rPr>
        <w:t>se in the TYNDPs and the PCI selection process.</w:t>
      </w:r>
    </w:p>
    <w:p w:rsidR="00B60846" w:rsidRDefault="008069FF">
      <w:pPr>
        <w:rPr>
          <w:noProof/>
        </w:rPr>
      </w:pPr>
      <w:r>
        <w:rPr>
          <w:noProof/>
        </w:rPr>
        <w:t>Sustainability is an integral part of the CBA methodologies for PCI selection. Under the TEN-E framework, sustainability is as optional criterion alongside security of supply, competition or market integratio</w:t>
      </w:r>
      <w:r>
        <w:rPr>
          <w:noProof/>
        </w:rPr>
        <w:t xml:space="preserve">n. Although in practice the Cost-Benefit Analysis methodology provides leeway to prioritise some criteria over others, prioritisation is not enshrined in the current TEN-E text. Thus, keeping the current frame would allow a project with negative impact on </w:t>
      </w:r>
      <w:r>
        <w:rPr>
          <w:noProof/>
        </w:rPr>
        <w:t>the sustainability criterion but good results on other criteria be selected as PCI.</w:t>
      </w:r>
    </w:p>
    <w:p w:rsidR="00B60846" w:rsidRDefault="008069FF">
      <w:pPr>
        <w:rPr>
          <w:b/>
          <w:bCs/>
          <w:noProof/>
        </w:rPr>
      </w:pPr>
      <w:r>
        <w:rPr>
          <w:b/>
          <w:bCs/>
          <w:noProof/>
        </w:rPr>
        <w:t>Option B.2.1: Strengthened governance and sustainability</w:t>
      </w:r>
    </w:p>
    <w:p w:rsidR="00B60846" w:rsidRDefault="008069FF">
      <w:pPr>
        <w:rPr>
          <w:noProof/>
          <w:lang w:val="en-IE"/>
        </w:rPr>
      </w:pPr>
      <w:r>
        <w:rPr>
          <w:noProof/>
          <w:lang w:val="en-IE"/>
        </w:rPr>
        <w:t xml:space="preserve">This option entails maintaining the current governance of the </w:t>
      </w:r>
      <w:r>
        <w:rPr>
          <w:noProof/>
        </w:rPr>
        <w:t>TYNDPs</w:t>
      </w:r>
      <w:r>
        <w:rPr>
          <w:noProof/>
          <w:lang w:val="en-IE"/>
        </w:rPr>
        <w:t xml:space="preserve"> and the role of the ENTSOs with significant im</w:t>
      </w:r>
      <w:r>
        <w:rPr>
          <w:noProof/>
          <w:lang w:val="en-IE"/>
        </w:rPr>
        <w:t xml:space="preserve">provements in the Commission and ACER oversight on the TYNDP. This includes in particular three elements. First, a strengthened oversight role for the Commission, through means of binding opinions, on the ENTSOs’ scenarios and system needs identification, </w:t>
      </w:r>
      <w:r>
        <w:rPr>
          <w:noProof/>
          <w:lang w:val="en-IE"/>
        </w:rPr>
        <w:t xml:space="preserve">which are key steps in the process to deliver the TYNDPs and define what infrastructures are needed. This would allow the Commission to safeguard the alignment of the ENTSOs’ scenarios to climate and energy targets and Commission scenarios, along with the </w:t>
      </w:r>
      <w:r>
        <w:rPr>
          <w:noProof/>
          <w:lang w:val="en-IE"/>
        </w:rPr>
        <w:t>improved identification of the infrastructure needs.</w:t>
      </w:r>
    </w:p>
    <w:p w:rsidR="00B60846" w:rsidRDefault="008069FF">
      <w:pPr>
        <w:rPr>
          <w:noProof/>
          <w:lang w:val="en-IE"/>
        </w:rPr>
      </w:pPr>
      <w:r>
        <w:rPr>
          <w:noProof/>
          <w:lang w:val="en-IE"/>
        </w:rPr>
        <w:t>Second, a reinforced role for ACER in the development of scenarios and in the Cost-Benefit Analysis methodology by mandating the Agency to develop framework guidelines for the ENTSOs’ scenarios and appro</w:t>
      </w:r>
      <w:r>
        <w:rPr>
          <w:noProof/>
          <w:lang w:val="en-IE"/>
        </w:rPr>
        <w:t xml:space="preserve">ve incremental improvements of the Cost Benefit methodology. Third, a deeper interlinkage between the sectoral TYNDPs to reinforce their contribution to the energy system integration process and increased participation of the DSOs in the planning process. </w:t>
      </w:r>
    </w:p>
    <w:p w:rsidR="00B60846" w:rsidRDefault="008069FF">
      <w:pPr>
        <w:rPr>
          <w:noProof/>
          <w:lang w:val="en-IE"/>
        </w:rPr>
      </w:pPr>
      <w:r>
        <w:rPr>
          <w:noProof/>
          <w:lang w:val="en-IE"/>
        </w:rPr>
        <w:t>This option would also require the inclusion of a mandatory sustainability criterion for all infrastructure categories with at least one other criterion (market integration, security of supply, competition) at the stage of project selection. The relevance</w:t>
      </w:r>
      <w:r>
        <w:rPr>
          <w:noProof/>
          <w:lang w:val="en-IE"/>
        </w:rPr>
        <w:t xml:space="preserve"> of each criterion in the ranking of the projects would be defined in the assessment methodology for the ranking of the candidate projects. This methodology is discussed and validated by the regional groups as under the current TEN-E Regulation</w:t>
      </w:r>
      <w:r>
        <w:rPr>
          <w:rStyle w:val="FootnoteReference"/>
          <w:noProof/>
          <w:lang w:val="en-IE"/>
        </w:rPr>
        <w:footnoteReference w:id="66"/>
      </w:r>
      <w:r>
        <w:rPr>
          <w:noProof/>
          <w:lang w:val="en-IE"/>
        </w:rPr>
        <w:t xml:space="preserve">. While the details of the assessment methodology would be agreed by the regional groups, all candidate project would need to contribute to </w:t>
      </w:r>
      <w:r>
        <w:rPr>
          <w:i/>
          <w:noProof/>
          <w:lang w:val="en-IE"/>
        </w:rPr>
        <w:t>at least</w:t>
      </w:r>
      <w:r>
        <w:rPr>
          <w:noProof/>
          <w:lang w:val="en-IE"/>
        </w:rPr>
        <w:t xml:space="preserve"> the sustainability criterion. </w:t>
      </w:r>
    </w:p>
    <w:p w:rsidR="00B60846" w:rsidRDefault="008069FF">
      <w:pPr>
        <w:rPr>
          <w:noProof/>
        </w:rPr>
      </w:pPr>
      <w:r>
        <w:rPr>
          <w:b/>
          <w:bCs/>
          <w:noProof/>
          <w:lang w:val="en-IE"/>
        </w:rPr>
        <w:t xml:space="preserve">Option </w:t>
      </w:r>
      <w:r>
        <w:rPr>
          <w:b/>
          <w:bCs/>
          <w:noProof/>
        </w:rPr>
        <w:t>B.2.2</w:t>
      </w:r>
      <w:r>
        <w:rPr>
          <w:b/>
          <w:bCs/>
          <w:noProof/>
          <w:lang w:val="en-IE"/>
        </w:rPr>
        <w:t>:</w:t>
      </w:r>
      <w:r>
        <w:rPr>
          <w:noProof/>
          <w:lang w:val="en-IE"/>
        </w:rPr>
        <w:t xml:space="preserve"> </w:t>
      </w:r>
      <w:r>
        <w:rPr>
          <w:b/>
          <w:bCs/>
          <w:noProof/>
          <w:lang w:val="en-IE"/>
        </w:rPr>
        <w:t>New</w:t>
      </w:r>
      <w:r>
        <w:rPr>
          <w:b/>
          <w:bCs/>
          <w:noProof/>
        </w:rPr>
        <w:t xml:space="preserve"> governance set-up and expansion of the scope and the role </w:t>
      </w:r>
      <w:r>
        <w:rPr>
          <w:b/>
          <w:bCs/>
          <w:noProof/>
        </w:rPr>
        <w:t>of the TYNDP</w:t>
      </w:r>
    </w:p>
    <w:p w:rsidR="00B60846" w:rsidRDefault="008069FF">
      <w:pPr>
        <w:rPr>
          <w:noProof/>
          <w:lang w:val="en-IE"/>
        </w:rPr>
      </w:pPr>
      <w:r>
        <w:rPr>
          <w:noProof/>
          <w:lang w:val="en-IE"/>
        </w:rPr>
        <w:t xml:space="preserve">This option would establish a new governance set-up for the TYNDPs and expand the scope of the TYNDP in order to integrate energy system-wide cost-efficiency. Through a governance reform, a neutral actor (such as the Commission or ACER) would </w:t>
      </w:r>
      <w:r>
        <w:rPr>
          <w:noProof/>
          <w:lang w:val="en-IE"/>
        </w:rPr>
        <w:t>take a leading role in the TYNDPs development. Within this frame, the Commission or ACER would not be responsible of delivering any opinion or approval of the ENTSOs work as in option B2.1. Instead, the neutral actor will be responsible of the entire plann</w:t>
      </w:r>
      <w:r>
        <w:rPr>
          <w:noProof/>
          <w:lang w:val="en-IE"/>
        </w:rPr>
        <w:t>ing process, meaning developing scenarios and the associated data, run market and network studies to identify infrastructure gaps within electricity and gas sectors, assess the benefits of possible and draft and publish the planning reports. The role of EN</w:t>
      </w:r>
      <w:r>
        <w:rPr>
          <w:noProof/>
          <w:lang w:val="en-IE"/>
        </w:rPr>
        <w:t>TSOs and TSOs would be limited to providing information given their unique expertise in networks. This option would also require the inclusion of a mandatory sustainability criterion for all infrastructure categories as per option B.2.1.</w:t>
      </w:r>
    </w:p>
    <w:p w:rsidR="00B60846" w:rsidRDefault="008069FF">
      <w:pPr>
        <w:rPr>
          <w:noProof/>
        </w:rPr>
      </w:pPr>
      <w:r>
        <w:rPr>
          <w:noProof/>
        </w:rPr>
        <w:t xml:space="preserve">Options B.2.1 and </w:t>
      </w:r>
      <w:r>
        <w:rPr>
          <w:noProof/>
        </w:rPr>
        <w:t>B.2.2 would allow overcoming the sectoral approach to infrastructure planning and ensuring that sustainability will be considered during the PCI selection process.</w:t>
      </w:r>
    </w:p>
    <w:p w:rsidR="00B60846" w:rsidRDefault="008069FF">
      <w:pPr>
        <w:rPr>
          <w:noProof/>
          <w:szCs w:val="24"/>
        </w:rPr>
      </w:pPr>
      <w:r>
        <w:rPr>
          <w:b/>
          <w:bCs/>
          <w:i/>
          <w:iCs/>
          <w:noProof/>
        </w:rPr>
        <w:t>Stakeholders view</w:t>
      </w:r>
      <w:r>
        <w:rPr>
          <w:noProof/>
          <w:lang w:val="en-IE"/>
        </w:rPr>
        <w:t>: ACER and a majority of other stakeholders, while recognising the merits o</w:t>
      </w:r>
      <w:r>
        <w:rPr>
          <w:noProof/>
          <w:lang w:val="en-IE"/>
        </w:rPr>
        <w:t>f having the ENTSOs’ expertise in the process, asked for a stronger oversight from the Commission and ACER on scenarios, cost-benefit analysis and identification of system needs. There is a large consensus among stakeholders that the importance of sustaina</w:t>
      </w:r>
      <w:r>
        <w:rPr>
          <w:noProof/>
          <w:lang w:val="en-IE"/>
        </w:rPr>
        <w:t>bility in the PCI selection process of the (decarbonised) gas projects needs to be reinforced. Some categories of stakeholders also underline the importance of maintaining strong weighting for other criteria, in particular security of supply, in a multi-cr</w:t>
      </w:r>
      <w:r>
        <w:rPr>
          <w:noProof/>
          <w:lang w:val="en-IE"/>
        </w:rPr>
        <w:t>iteria selection approach.</w:t>
      </w:r>
    </w:p>
    <w:p w:rsidR="00B60846" w:rsidRDefault="008069FF">
      <w:pPr>
        <w:pStyle w:val="Heading3"/>
        <w:rPr>
          <w:noProof/>
        </w:rPr>
      </w:pPr>
      <w:bookmarkStart w:id="530" w:name="_Toc49351339"/>
      <w:bookmarkStart w:id="531" w:name="_Toc49357732"/>
      <w:bookmarkStart w:id="532" w:name="_Toc49359410"/>
      <w:bookmarkStart w:id="533" w:name="_Toc49359745"/>
      <w:bookmarkStart w:id="534" w:name="_Toc49507990"/>
      <w:bookmarkStart w:id="535" w:name="_Toc49508434"/>
      <w:bookmarkStart w:id="536" w:name="_Toc49512345"/>
      <w:bookmarkStart w:id="537" w:name="_Toc49514229"/>
      <w:bookmarkStart w:id="538" w:name="_Toc49516464"/>
      <w:bookmarkStart w:id="539" w:name="_Toc50028476"/>
      <w:bookmarkStart w:id="540" w:name="_Toc50056971"/>
      <w:bookmarkStart w:id="541" w:name="_Toc50452077"/>
      <w:bookmarkStart w:id="542" w:name="_Toc50573896"/>
      <w:bookmarkStart w:id="543" w:name="_Toc50581879"/>
      <w:bookmarkStart w:id="544" w:name="_Toc50582662"/>
      <w:bookmarkStart w:id="545" w:name="_Toc51022075"/>
      <w:bookmarkStart w:id="546" w:name="_Toc51168555"/>
      <w:bookmarkStart w:id="547" w:name="_Toc51169044"/>
      <w:bookmarkStart w:id="548" w:name="_Toc51231538"/>
      <w:bookmarkStart w:id="549" w:name="_Toc51235474"/>
      <w:bookmarkStart w:id="550" w:name="_Toc51237264"/>
      <w:bookmarkStart w:id="551" w:name="_Toc51238649"/>
      <w:bookmarkStart w:id="552" w:name="_Toc51239374"/>
      <w:bookmarkStart w:id="553" w:name="_Toc51245157"/>
      <w:bookmarkStart w:id="554" w:name="_Toc51268797"/>
      <w:bookmarkStart w:id="555" w:name="_Toc51268904"/>
      <w:bookmarkStart w:id="556" w:name="_Toc51346823"/>
      <w:bookmarkStart w:id="557" w:name="_Toc51350387"/>
      <w:bookmarkStart w:id="558" w:name="_Toc51760918"/>
      <w:bookmarkStart w:id="559" w:name="_Toc51784837"/>
      <w:bookmarkStart w:id="560" w:name="_Toc51788286"/>
      <w:bookmarkStart w:id="561" w:name="_Toc51791824"/>
      <w:bookmarkStart w:id="562" w:name="_Toc51793256"/>
      <w:bookmarkStart w:id="563" w:name="_Toc51879070"/>
      <w:bookmarkStart w:id="564" w:name="_Toc55155646"/>
      <w:bookmarkStart w:id="565" w:name="_Toc55290953"/>
      <w:bookmarkStart w:id="566" w:name="_Toc55296643"/>
      <w:bookmarkStart w:id="567" w:name="_Toc55496455"/>
      <w:r>
        <w:rPr>
          <w:noProof/>
        </w:rPr>
        <w:t>Permitting and public participation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rStyle w:val="FootnoteReference"/>
          <w:noProof/>
        </w:rPr>
        <w:footnoteReference w:id="67"/>
      </w:r>
      <w:bookmarkEnd w:id="564"/>
      <w:bookmarkEnd w:id="565"/>
      <w:bookmarkEnd w:id="566"/>
      <w:bookmarkEnd w:id="567"/>
    </w:p>
    <w:p w:rsidR="00B60846" w:rsidRDefault="008069FF">
      <w:pPr>
        <w:rPr>
          <w:b/>
          <w:bCs/>
          <w:noProof/>
        </w:rPr>
      </w:pPr>
      <w:r>
        <w:rPr>
          <w:b/>
          <w:bCs/>
          <w:noProof/>
        </w:rPr>
        <w:t>Option C.1.0 Business as usual</w:t>
      </w:r>
    </w:p>
    <w:p w:rsidR="00B60846" w:rsidRDefault="008069FF">
      <w:pPr>
        <w:rPr>
          <w:noProof/>
          <w:szCs w:val="24"/>
        </w:rPr>
      </w:pPr>
      <w:r>
        <w:rPr>
          <w:noProof/>
        </w:rPr>
        <w:t>The permitting provisions in the TEN-E Regulation, which are very innovative and have already proven their effectiveness with the permitting duration of PCIs dec</w:t>
      </w:r>
      <w:r>
        <w:rPr>
          <w:noProof/>
        </w:rPr>
        <w:t xml:space="preserve">reasing significantly, would remain unchanged. </w:t>
      </w:r>
    </w:p>
    <w:p w:rsidR="00B60846" w:rsidRDefault="008069FF">
      <w:pPr>
        <w:rPr>
          <w:b/>
          <w:bCs/>
          <w:noProof/>
        </w:rPr>
      </w:pPr>
      <w:r>
        <w:rPr>
          <w:b/>
          <w:bCs/>
          <w:noProof/>
        </w:rPr>
        <w:t>Option C.1.1: Use of urgent court procedures</w:t>
      </w:r>
    </w:p>
    <w:p w:rsidR="00B60846" w:rsidRDefault="008069FF">
      <w:pPr>
        <w:rPr>
          <w:noProof/>
        </w:rPr>
      </w:pPr>
      <w:r>
        <w:rPr>
          <w:noProof/>
        </w:rPr>
        <w:t xml:space="preserve">While the evaluation of the TEN-E Regulation finds that the underlying reasons for permitting delays are to a large extent related to national implementation and, </w:t>
      </w:r>
      <w:r>
        <w:rPr>
          <w:noProof/>
        </w:rPr>
        <w:t>mainly, outside the scope of the TEN-E Regulation,  some aspects could still be tackled at Union level that would allow a swifter implementation of PCIs. For example, the length of PCI related court procedures was not tackled in the current TEN-E Regulatio</w:t>
      </w:r>
      <w:r>
        <w:rPr>
          <w:noProof/>
        </w:rPr>
        <w:t>n, but appears, in accordance with the stakeholders views, to be a factor that could delay project implementation.</w:t>
      </w:r>
    </w:p>
    <w:p w:rsidR="00B60846" w:rsidRDefault="008069FF">
      <w:pPr>
        <w:rPr>
          <w:noProof/>
          <w:szCs w:val="24"/>
        </w:rPr>
      </w:pPr>
      <w:r>
        <w:rPr>
          <w:noProof/>
        </w:rPr>
        <w:t>Administrative appeal procedures and judicial remedies before a court or tribunal do not fall within the time limit prescribed for the permit</w:t>
      </w:r>
      <w:r>
        <w:rPr>
          <w:noProof/>
        </w:rPr>
        <w:t>ting process of 3.5. years meaning that their duration, if they happen, adds on to the project implementation delay. To accelerate the completion of the permitting process, Member States, which already have urgent court procedures under national legislatio</w:t>
      </w:r>
      <w:r>
        <w:rPr>
          <w:noProof/>
        </w:rPr>
        <w:t xml:space="preserve">n in other domains, would have to ensure that these accelerated litigation procedures are applicable to PCIs under national legislations. </w:t>
      </w:r>
    </w:p>
    <w:p w:rsidR="00B60846" w:rsidRDefault="008069FF">
      <w:pPr>
        <w:rPr>
          <w:b/>
          <w:bCs/>
          <w:noProof/>
        </w:rPr>
      </w:pPr>
      <w:r>
        <w:rPr>
          <w:b/>
          <w:bCs/>
          <w:noProof/>
        </w:rPr>
        <w:t xml:space="preserve">Option C1.2: One-stop shop per sea basin for offshore renewable infrastructure projects </w:t>
      </w:r>
    </w:p>
    <w:p w:rsidR="00B60846" w:rsidRDefault="008069FF">
      <w:pPr>
        <w:rPr>
          <w:noProof/>
        </w:rPr>
      </w:pPr>
      <w:r>
        <w:rPr>
          <w:noProof/>
        </w:rPr>
        <w:t>The one-stop shop would issu</w:t>
      </w:r>
      <w:r>
        <w:rPr>
          <w:noProof/>
        </w:rPr>
        <w:t>e the comprehensive decisions for the infrastructure elements for offshore projects by coordinating all the national and regional permits to be obtained within the 3.5 years time-limit and ensure that offshore projects do not encounter delays beyond this p</w:t>
      </w:r>
      <w:r>
        <w:rPr>
          <w:noProof/>
        </w:rPr>
        <w:t>eriod. It would enable coordination between the permitting process for the infrastructure and the one for the generation assets and it would act as a single point of contact for project promoters and a repository of existing sea basin studies and plans, wh</w:t>
      </w:r>
      <w:r>
        <w:rPr>
          <w:noProof/>
        </w:rPr>
        <w:t>ich would facilitate the permitting of individual projects. The one stop shop would be comprised of staff from all the already existing national permitting one-stop shops. This option is complementary to the ones mentioned above.</w:t>
      </w:r>
    </w:p>
    <w:p w:rsidR="00B60846" w:rsidRDefault="008069FF">
      <w:pPr>
        <w:rPr>
          <w:b/>
          <w:bCs/>
          <w:noProof/>
        </w:rPr>
      </w:pPr>
      <w:r>
        <w:rPr>
          <w:noProof/>
        </w:rPr>
        <w:t>Options C1.1 and C1.2 woul</w:t>
      </w:r>
      <w:r>
        <w:rPr>
          <w:noProof/>
        </w:rPr>
        <w:t>d allow shortening permitting procedures.</w:t>
      </w:r>
      <w:r>
        <w:rPr>
          <w:b/>
          <w:bCs/>
          <w:i/>
          <w:iCs/>
          <w:noProof/>
        </w:rPr>
        <w:t xml:space="preserve"> </w:t>
      </w:r>
    </w:p>
    <w:p w:rsidR="00B60846" w:rsidRDefault="008069FF">
      <w:pPr>
        <w:rPr>
          <w:noProof/>
          <w:szCs w:val="24"/>
        </w:rPr>
      </w:pPr>
      <w:r>
        <w:rPr>
          <w:b/>
          <w:bCs/>
          <w:i/>
          <w:iCs/>
          <w:noProof/>
        </w:rPr>
        <w:t>Stakeholder views:</w:t>
      </w:r>
      <w:r>
        <w:rPr>
          <w:noProof/>
        </w:rPr>
        <w:t xml:space="preserve"> While a series of stakeholders pointed to the difficulties with complex and lengthy permitting process for offshore projects crossing several jurisdictions and called for a simplified permitting</w:t>
      </w:r>
      <w:r>
        <w:rPr>
          <w:noProof/>
        </w:rPr>
        <w:t xml:space="preserve"> process, no stakeholder expressed any specific opinion on a possible new one-stop-shop for offshore wind projects. Stakeholders involved in the permitting procedures indicated that several notions in the permitting chapter could be clarified (see addition</w:t>
      </w:r>
      <w:r>
        <w:rPr>
          <w:noProof/>
        </w:rPr>
        <w:t>al options in Annex 9). Stakeholders also raised the delay with the court and appeal procedures regarding PCIs and called for streamlines court procedures for PCIs.</w:t>
      </w:r>
    </w:p>
    <w:p w:rsidR="00B60846" w:rsidRDefault="008069FF">
      <w:pPr>
        <w:pStyle w:val="Heading3"/>
        <w:rPr>
          <w:noProof/>
        </w:rPr>
      </w:pPr>
      <w:bookmarkStart w:id="568" w:name="_Toc49351340"/>
      <w:bookmarkStart w:id="569" w:name="_Toc49357733"/>
      <w:bookmarkStart w:id="570" w:name="_Toc49359411"/>
      <w:bookmarkStart w:id="571" w:name="_Toc49359746"/>
      <w:bookmarkStart w:id="572" w:name="_Toc49507991"/>
      <w:bookmarkStart w:id="573" w:name="_Toc49508435"/>
      <w:bookmarkStart w:id="574" w:name="_Toc49512346"/>
      <w:bookmarkStart w:id="575" w:name="_Toc49514230"/>
      <w:bookmarkStart w:id="576" w:name="_Toc49516465"/>
      <w:bookmarkStart w:id="577" w:name="_Toc50028477"/>
      <w:bookmarkStart w:id="578" w:name="_Toc50056972"/>
      <w:bookmarkStart w:id="579" w:name="_Toc50452078"/>
      <w:bookmarkStart w:id="580" w:name="_Toc50573897"/>
      <w:bookmarkStart w:id="581" w:name="_Toc50581880"/>
      <w:bookmarkStart w:id="582" w:name="_Toc50582663"/>
      <w:bookmarkStart w:id="583" w:name="_Toc51022076"/>
      <w:bookmarkStart w:id="584" w:name="_Toc51168556"/>
      <w:bookmarkStart w:id="585" w:name="_Toc51169045"/>
      <w:bookmarkStart w:id="586" w:name="_Toc51231539"/>
      <w:bookmarkStart w:id="587" w:name="_Toc51235475"/>
      <w:bookmarkStart w:id="588" w:name="_Toc51237265"/>
      <w:bookmarkStart w:id="589" w:name="_Toc51238650"/>
      <w:bookmarkStart w:id="590" w:name="_Toc51239375"/>
      <w:bookmarkStart w:id="591" w:name="_Toc51245158"/>
      <w:bookmarkStart w:id="592" w:name="_Toc51268798"/>
      <w:bookmarkStart w:id="593" w:name="_Toc51268905"/>
      <w:bookmarkStart w:id="594" w:name="_Toc51346824"/>
      <w:bookmarkStart w:id="595" w:name="_Toc51350388"/>
      <w:bookmarkStart w:id="596" w:name="_Toc51760919"/>
      <w:bookmarkStart w:id="597" w:name="_Toc51784838"/>
      <w:bookmarkStart w:id="598" w:name="_Toc51788287"/>
      <w:bookmarkStart w:id="599" w:name="_Toc51791825"/>
      <w:bookmarkStart w:id="600" w:name="_Toc51793257"/>
      <w:bookmarkStart w:id="601" w:name="_Toc51879071"/>
      <w:bookmarkStart w:id="602" w:name="_Toc55155647"/>
      <w:bookmarkStart w:id="603" w:name="_Toc55290954"/>
      <w:bookmarkStart w:id="604" w:name="_Toc55296644"/>
      <w:bookmarkStart w:id="605" w:name="_Toc55496456"/>
      <w:r>
        <w:rPr>
          <w:noProof/>
        </w:rPr>
        <w:t>Regulato</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Pr>
          <w:noProof/>
        </w:rPr>
        <w:t>ry treatment</w:t>
      </w:r>
      <w:r>
        <w:rPr>
          <w:rStyle w:val="FootnoteReference"/>
          <w:noProof/>
        </w:rPr>
        <w:footnoteReference w:id="68"/>
      </w:r>
      <w:bookmarkEnd w:id="602"/>
      <w:bookmarkEnd w:id="603"/>
      <w:bookmarkEnd w:id="604"/>
      <w:bookmarkEnd w:id="605"/>
    </w:p>
    <w:p w:rsidR="00B60846" w:rsidRDefault="008069FF">
      <w:pPr>
        <w:tabs>
          <w:tab w:val="clear" w:pos="2302"/>
        </w:tabs>
        <w:spacing w:after="200" w:line="276" w:lineRule="auto"/>
        <w:rPr>
          <w:rFonts w:eastAsiaTheme="minorEastAsia"/>
          <w:b/>
          <w:noProof/>
        </w:rPr>
      </w:pPr>
      <w:r>
        <w:rPr>
          <w:rFonts w:eastAsiaTheme="minorEastAsia"/>
          <w:b/>
          <w:bCs/>
          <w:noProof/>
        </w:rPr>
        <w:t xml:space="preserve">Option D.1.0: Business as usual </w:t>
      </w:r>
    </w:p>
    <w:p w:rsidR="00B60846" w:rsidRDefault="008069FF">
      <w:pPr>
        <w:rPr>
          <w:rFonts w:eastAsiaTheme="minorEastAsia"/>
          <w:noProof/>
        </w:rPr>
      </w:pPr>
      <w:r>
        <w:rPr>
          <w:rFonts w:eastAsiaTheme="minorEastAsia"/>
          <w:noProof/>
        </w:rPr>
        <w:t>The current CBCA provisions, which p</w:t>
      </w:r>
      <w:r>
        <w:rPr>
          <w:rFonts w:eastAsiaTheme="minorEastAsia"/>
          <w:noProof/>
        </w:rPr>
        <w:t>rovide the principles and tools to ensure that costs are allocated cross-border in an orderly manner enabling the development of such projects, would be maintained. However, in practice this means that the CBCA procedure would be used only as a pre-requisi</w:t>
      </w:r>
      <w:r>
        <w:rPr>
          <w:rFonts w:eastAsiaTheme="minorEastAsia"/>
          <w:noProof/>
        </w:rPr>
        <w:t xml:space="preserve">te for requesting CEF grants for work and the provisions would not reach their potential in enabling projects implementation. </w:t>
      </w:r>
    </w:p>
    <w:p w:rsidR="00B60846" w:rsidRDefault="008069FF">
      <w:pPr>
        <w:tabs>
          <w:tab w:val="clear" w:pos="2302"/>
        </w:tabs>
        <w:spacing w:after="200" w:line="276" w:lineRule="auto"/>
        <w:rPr>
          <w:rFonts w:eastAsiaTheme="minorEastAsia"/>
          <w:b/>
          <w:noProof/>
        </w:rPr>
      </w:pPr>
      <w:r>
        <w:rPr>
          <w:rFonts w:eastAsiaTheme="minorEastAsia"/>
          <w:b/>
          <w:bCs/>
          <w:noProof/>
        </w:rPr>
        <w:t>Option D.1.1: Inclusion of full investment costs</w:t>
      </w:r>
    </w:p>
    <w:p w:rsidR="00B60846" w:rsidRDefault="008069FF">
      <w:pPr>
        <w:rPr>
          <w:rFonts w:eastAsiaTheme="minorEastAsia"/>
          <w:noProof/>
        </w:rPr>
      </w:pPr>
      <w:r>
        <w:rPr>
          <w:rFonts w:eastAsiaTheme="minorEastAsia"/>
          <w:noProof/>
        </w:rPr>
        <w:t>This option aims at ensuring consistency between the CBCA decisions and safeguar</w:t>
      </w:r>
      <w:r>
        <w:rPr>
          <w:rFonts w:eastAsiaTheme="minorEastAsia"/>
          <w:noProof/>
        </w:rPr>
        <w:t>ding the primary goal of the CBCA. This would entail a two-stage approach in which: (i) The NRAs would allocate all investment costs across borders and include them in full in the national tariffs and, afterwards, if necessary, (ii) assess whether any affo</w:t>
      </w:r>
      <w:r>
        <w:rPr>
          <w:rFonts w:eastAsiaTheme="minorEastAsia"/>
          <w:noProof/>
        </w:rPr>
        <w:t>rdability issues arise as regards the increase in tariffs due to the inclusion of such costs. The NRAs would always assess how much a certain project would cost if it were paid for completely by tariffs and this should be the basis for the affordability te</w:t>
      </w:r>
      <w:r>
        <w:rPr>
          <w:rFonts w:eastAsiaTheme="minorEastAsia"/>
          <w:noProof/>
        </w:rPr>
        <w:t>st and, ultimately, for calculating any public financing.</w:t>
      </w:r>
    </w:p>
    <w:p w:rsidR="00B60846" w:rsidRDefault="008069FF">
      <w:pPr>
        <w:rPr>
          <w:rFonts w:eastAsiaTheme="minorEastAsia"/>
          <w:noProof/>
        </w:rPr>
      </w:pPr>
      <w:r>
        <w:rPr>
          <w:rFonts w:eastAsiaTheme="minorEastAsia"/>
          <w:noProof/>
        </w:rPr>
        <w:t>This would allow for a better implementation and use of the cost sharing tools.</w:t>
      </w:r>
    </w:p>
    <w:p w:rsidR="00B60846" w:rsidRDefault="008069FF">
      <w:pPr>
        <w:pStyle w:val="Heading2"/>
        <w:ind w:left="1287" w:hanging="578"/>
        <w:rPr>
          <w:noProof/>
        </w:rPr>
      </w:pPr>
      <w:bookmarkStart w:id="606" w:name="_Toc51784839"/>
      <w:bookmarkStart w:id="607" w:name="_Toc51790705"/>
      <w:bookmarkStart w:id="608" w:name="_Toc51784840"/>
      <w:bookmarkStart w:id="609" w:name="_Toc51790706"/>
      <w:bookmarkStart w:id="610" w:name="_Toc39234438"/>
      <w:bookmarkStart w:id="611" w:name="_Toc49351343"/>
      <w:bookmarkStart w:id="612" w:name="_Toc49357736"/>
      <w:bookmarkStart w:id="613" w:name="_Toc49359414"/>
      <w:bookmarkStart w:id="614" w:name="_Toc49359749"/>
      <w:bookmarkStart w:id="615" w:name="_Toc49507993"/>
      <w:bookmarkStart w:id="616" w:name="_Toc49508437"/>
      <w:bookmarkStart w:id="617" w:name="_Toc49512348"/>
      <w:bookmarkStart w:id="618" w:name="_Toc49514232"/>
      <w:bookmarkStart w:id="619" w:name="_Toc49516467"/>
      <w:bookmarkStart w:id="620" w:name="_Toc50028479"/>
      <w:bookmarkStart w:id="621" w:name="_Toc50056974"/>
      <w:bookmarkStart w:id="622" w:name="_Toc50452080"/>
      <w:bookmarkStart w:id="623" w:name="_Toc50573899"/>
      <w:bookmarkStart w:id="624" w:name="_Toc50581882"/>
      <w:bookmarkStart w:id="625" w:name="_Toc50582665"/>
      <w:bookmarkStart w:id="626" w:name="_Toc51022077"/>
      <w:bookmarkStart w:id="627" w:name="_Toc51168557"/>
      <w:bookmarkStart w:id="628" w:name="_Toc51169046"/>
      <w:bookmarkStart w:id="629" w:name="_Toc51231540"/>
      <w:bookmarkStart w:id="630" w:name="_Toc51235476"/>
      <w:bookmarkStart w:id="631" w:name="_Toc51237266"/>
      <w:bookmarkStart w:id="632" w:name="_Toc51238651"/>
      <w:bookmarkStart w:id="633" w:name="_Toc51239376"/>
      <w:bookmarkStart w:id="634" w:name="_Toc51788288"/>
      <w:bookmarkStart w:id="635" w:name="_Toc51791826"/>
      <w:bookmarkStart w:id="636" w:name="_Toc51793258"/>
      <w:bookmarkStart w:id="637" w:name="_Toc55496457"/>
      <w:bookmarkEnd w:id="606"/>
      <w:bookmarkEnd w:id="607"/>
      <w:bookmarkEnd w:id="608"/>
      <w:bookmarkEnd w:id="609"/>
      <w:r>
        <w:rPr>
          <w:noProof/>
        </w:rPr>
        <w:t>Options discarded at an early stage</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B60846" w:rsidRDefault="008069FF">
      <w:pPr>
        <w:pStyle w:val="ListParagraph"/>
        <w:numPr>
          <w:ilvl w:val="0"/>
          <w:numId w:val="3"/>
        </w:numPr>
        <w:rPr>
          <w:b/>
          <w:bCs/>
          <w:noProof/>
        </w:rPr>
      </w:pPr>
      <w:bookmarkStart w:id="638" w:name="_Toc39234440"/>
      <w:r>
        <w:rPr>
          <w:b/>
          <w:bCs/>
          <w:noProof/>
        </w:rPr>
        <w:t>Expand CO</w:t>
      </w:r>
      <w:r>
        <w:rPr>
          <w:b/>
          <w:bCs/>
          <w:noProof/>
          <w:vertAlign w:val="subscript"/>
        </w:rPr>
        <w:t>2</w:t>
      </w:r>
      <w:r>
        <w:rPr>
          <w:b/>
          <w:bCs/>
          <w:noProof/>
        </w:rPr>
        <w:t xml:space="preserve"> infrastructure category to include CO</w:t>
      </w:r>
      <w:r>
        <w:rPr>
          <w:b/>
          <w:bCs/>
          <w:noProof/>
          <w:vertAlign w:val="subscript"/>
        </w:rPr>
        <w:t>2</w:t>
      </w:r>
      <w:r>
        <w:rPr>
          <w:b/>
          <w:bCs/>
          <w:noProof/>
        </w:rPr>
        <w:t xml:space="preserve"> transport by ship </w:t>
      </w:r>
      <w:bookmarkEnd w:id="638"/>
      <w:r>
        <w:rPr>
          <w:b/>
          <w:bCs/>
          <w:noProof/>
        </w:rPr>
        <w:t xml:space="preserve">and </w:t>
      </w:r>
      <w:r>
        <w:rPr>
          <w:b/>
          <w:bCs/>
          <w:noProof/>
        </w:rPr>
        <w:t>infrastructure necessary for the permanent geological storage of CO</w:t>
      </w:r>
      <w:r>
        <w:rPr>
          <w:b/>
          <w:bCs/>
          <w:noProof/>
          <w:vertAlign w:val="subscript"/>
        </w:rPr>
        <w:t>2</w:t>
      </w:r>
    </w:p>
    <w:p w:rsidR="00B60846" w:rsidRDefault="008069FF">
      <w:pPr>
        <w:rPr>
          <w:noProof/>
        </w:rPr>
      </w:pPr>
      <w:r>
        <w:rPr>
          <w:noProof/>
        </w:rPr>
        <w:t>Mainly stakeholders representing the CO</w:t>
      </w:r>
      <w:r>
        <w:rPr>
          <w:noProof/>
          <w:vertAlign w:val="subscript"/>
        </w:rPr>
        <w:t>2</w:t>
      </w:r>
      <w:r>
        <w:rPr>
          <w:noProof/>
        </w:rPr>
        <w:t xml:space="preserve"> industry argued for the inclusion of CO</w:t>
      </w:r>
      <w:r>
        <w:rPr>
          <w:noProof/>
          <w:vertAlign w:val="subscript"/>
        </w:rPr>
        <w:t>2</w:t>
      </w:r>
      <w:r>
        <w:rPr>
          <w:noProof/>
        </w:rPr>
        <w:t xml:space="preserve"> transport by ship and infrastructure necessary for the permanent geological storage of CO</w:t>
      </w:r>
      <w:r>
        <w:rPr>
          <w:noProof/>
          <w:vertAlign w:val="subscript"/>
        </w:rPr>
        <w:t>2</w:t>
      </w:r>
      <w:r>
        <w:rPr>
          <w:noProof/>
        </w:rPr>
        <w:t>in the TEN-E Re</w:t>
      </w:r>
      <w:r>
        <w:rPr>
          <w:noProof/>
        </w:rPr>
        <w:t>gulation. The transport infrastructure category would be enlarged from only pipeline infrastructure to also include shipping infrastructure, both the facilities necessary to enable shipping as the actual ships themselves, and infrastructure related to CO</w:t>
      </w:r>
      <w:r>
        <w:rPr>
          <w:noProof/>
          <w:vertAlign w:val="subscript"/>
        </w:rPr>
        <w:t>2</w:t>
      </w:r>
      <w:r>
        <w:rPr>
          <w:noProof/>
        </w:rPr>
        <w:t xml:space="preserve"> </w:t>
      </w:r>
      <w:r>
        <w:rPr>
          <w:noProof/>
        </w:rPr>
        <w:t xml:space="preserve">storage. </w:t>
      </w:r>
    </w:p>
    <w:p w:rsidR="00B60846" w:rsidRDefault="008069FF">
      <w:pPr>
        <w:rPr>
          <w:noProof/>
        </w:rPr>
      </w:pPr>
      <w:r>
        <w:rPr>
          <w:noProof/>
        </w:rPr>
        <w:t>However, it is not clear how the inclusion of transport with mobile assets such as ships in the TEN-E Regulation would help the implementation of such projects. There are no regulatory or administrative barriers in relation to cross-border networ</w:t>
      </w:r>
      <w:r>
        <w:rPr>
          <w:noProof/>
        </w:rPr>
        <w:t>ks that could be addressed by the provisions in the TEN-E Regulation. The key barrier to the deployment of CO</w:t>
      </w:r>
      <w:r>
        <w:rPr>
          <w:noProof/>
          <w:vertAlign w:val="subscript"/>
        </w:rPr>
        <w:t>2</w:t>
      </w:r>
      <w:r>
        <w:rPr>
          <w:noProof/>
        </w:rPr>
        <w:t xml:space="preserve"> infrastructure, including for the geological storage of CO</w:t>
      </w:r>
      <w:r>
        <w:rPr>
          <w:noProof/>
          <w:vertAlign w:val="subscript"/>
        </w:rPr>
        <w:t>2</w:t>
      </w:r>
      <w:r>
        <w:rPr>
          <w:noProof/>
        </w:rPr>
        <w:t xml:space="preserve"> and shipping, is access to financing.</w:t>
      </w:r>
      <w:r>
        <w:rPr>
          <w:rStyle w:val="FootnoteReference"/>
          <w:noProof/>
        </w:rPr>
        <w:footnoteReference w:id="69"/>
      </w:r>
      <w:r>
        <w:rPr>
          <w:noProof/>
        </w:rPr>
        <w:t xml:space="preserve"> The only benefit sought by such projects being</w:t>
      </w:r>
      <w:r>
        <w:rPr>
          <w:noProof/>
        </w:rPr>
        <w:t xml:space="preserve"> eligible for PCI status would be that they may get access to CEF financial assistance. However, the key objectives of the TEN-E is to support the timely implementation of infrastructure projects of cross-border nature where CEF financial assistance is onl</w:t>
      </w:r>
      <w:r>
        <w:rPr>
          <w:noProof/>
        </w:rPr>
        <w:t>y one element as a last resort financing option. Moreover, such expansion would not relate to transmission networks and interconnections in accordance with the legal base. Other EU and national financing instruments are available to support CO</w:t>
      </w:r>
      <w:r>
        <w:rPr>
          <w:noProof/>
          <w:vertAlign w:val="subscript"/>
        </w:rPr>
        <w:t>2</w:t>
      </w:r>
      <w:r>
        <w:rPr>
          <w:noProof/>
        </w:rPr>
        <w:t xml:space="preserve"> infrastruct</w:t>
      </w:r>
      <w:r>
        <w:rPr>
          <w:noProof/>
        </w:rPr>
        <w:t>ure for geological storage and shipping such as the Innovation Fund.</w:t>
      </w:r>
    </w:p>
    <w:p w:rsidR="00B60846" w:rsidRDefault="008069FF">
      <w:pPr>
        <w:pStyle w:val="ListParagraph"/>
        <w:numPr>
          <w:ilvl w:val="0"/>
          <w:numId w:val="3"/>
        </w:numPr>
        <w:rPr>
          <w:b/>
          <w:bCs/>
          <w:noProof/>
        </w:rPr>
      </w:pPr>
      <w:r>
        <w:rPr>
          <w:b/>
          <w:bCs/>
          <w:noProof/>
        </w:rPr>
        <w:t>Projects to reduce methane leakage</w:t>
      </w:r>
    </w:p>
    <w:p w:rsidR="00B60846" w:rsidRDefault="008069FF">
      <w:pPr>
        <w:rPr>
          <w:noProof/>
        </w:rPr>
      </w:pPr>
      <w:r>
        <w:rPr>
          <w:noProof/>
        </w:rPr>
        <w:t>Methane leakage projects would be unlikely to demonstrate cross-border impact. Methane leakage projects consist of retrofits and repairs of different el</w:t>
      </w:r>
      <w:r>
        <w:rPr>
          <w:noProof/>
        </w:rPr>
        <w:t xml:space="preserve">ements of a gas network. They often do not involve capital investments but rather network management and repair methods (more related to operational expenses). The investments involved are often targeted at the distribution level, which is responsible for </w:t>
      </w:r>
      <w:r>
        <w:rPr>
          <w:noProof/>
        </w:rPr>
        <w:t>around 60% of methane emissions from gas operations in Europe. Such investments are therefore per definition related to one country’s network and aim at improving the efficiency of the network operation and emission savings but do not aim at increasing cro</w:t>
      </w:r>
      <w:r>
        <w:rPr>
          <w:noProof/>
        </w:rPr>
        <w:t>ss-border capacity, neither do they have indirect effects on cross-border trade or capacities. Therefore, projects specifically aiming at methane leakage reductions do not really fit the intervention logic of the TEN-E Regulation nor under the concept of p</w:t>
      </w:r>
      <w:r>
        <w:rPr>
          <w:noProof/>
        </w:rPr>
        <w:t>rojects of common interest of a trans-European importance. Based on IEA data, the gas industry itself has cost-effective options to make its contribution to methane emission reductions by deploying best available technologies for the various gas chain elem</w:t>
      </w:r>
      <w:r>
        <w:rPr>
          <w:noProof/>
        </w:rPr>
        <w:t xml:space="preserve">ents and processes; and by adopting best practices and implementing leak detection and repair programmes. </w:t>
      </w:r>
    </w:p>
    <w:p w:rsidR="00B60846" w:rsidRDefault="008069FF">
      <w:pPr>
        <w:pStyle w:val="ListParagraph"/>
        <w:numPr>
          <w:ilvl w:val="0"/>
          <w:numId w:val="17"/>
        </w:numPr>
        <w:rPr>
          <w:b/>
          <w:bCs/>
          <w:noProof/>
        </w:rPr>
      </w:pPr>
      <w:r>
        <w:rPr>
          <w:b/>
          <w:bCs/>
          <w:noProof/>
        </w:rPr>
        <w:t>Removing cross-border requirements for smart electricity projects (inclusion of pure DSO level projects at local level)</w:t>
      </w:r>
    </w:p>
    <w:p w:rsidR="00B60846" w:rsidRDefault="008069FF">
      <w:pPr>
        <w:rPr>
          <w:noProof/>
        </w:rPr>
      </w:pPr>
      <w:r>
        <w:rPr>
          <w:noProof/>
        </w:rPr>
        <w:t xml:space="preserve">Different stakeholders have </w:t>
      </w:r>
      <w:r>
        <w:rPr>
          <w:noProof/>
        </w:rPr>
        <w:t>called for the eligibility of all smart electricity grid projects, also those with no involvement of TSOs, for PCI status. With 2 400 DSOs in Europe, the potential number of eligible projects would be very high. At the same time, without the involvement of</w:t>
      </w:r>
      <w:r>
        <w:rPr>
          <w:noProof/>
        </w:rPr>
        <w:t xml:space="preserve"> a TSO, it would be difficult, if not impossible, to demonstrate a significant cross-border impact for such projects. It would not be in line with the legal base, which requires a clear link to the transmission level. The required resources for the selecti</w:t>
      </w:r>
      <w:r>
        <w:rPr>
          <w:noProof/>
        </w:rPr>
        <w:t>on process would be disproportionate in view of the projects that could actually qualify. The inclusion of projects at a DSO level and hence without a (significant) cross-border impact would neither imply more investments at the distribution level nor an e</w:t>
      </w:r>
      <w:r>
        <w:rPr>
          <w:noProof/>
        </w:rPr>
        <w:t>asier implementation process for such projects. To the contrary, it may rather create wrong expectations and add unnecessary burden on all parties involved in the PCI selection process.</w:t>
      </w:r>
    </w:p>
    <w:p w:rsidR="00B60846" w:rsidRDefault="008069FF">
      <w:pPr>
        <w:pStyle w:val="ListParagraph"/>
        <w:numPr>
          <w:ilvl w:val="0"/>
          <w:numId w:val="3"/>
        </w:numPr>
        <w:rPr>
          <w:b/>
          <w:bCs/>
          <w:noProof/>
        </w:rPr>
      </w:pPr>
      <w:bookmarkStart w:id="639" w:name="_Toc39234439"/>
      <w:r>
        <w:rPr>
          <w:b/>
          <w:bCs/>
          <w:noProof/>
        </w:rPr>
        <w:t>Heat networks as new infrastructure category</w:t>
      </w:r>
      <w:bookmarkEnd w:id="639"/>
    </w:p>
    <w:p w:rsidR="00B60846" w:rsidRDefault="008069FF">
      <w:pPr>
        <w:rPr>
          <w:noProof/>
        </w:rPr>
      </w:pPr>
      <w:r>
        <w:rPr>
          <w:noProof/>
        </w:rPr>
        <w:t>Some stakeholders such as</w:t>
      </w:r>
      <w:r>
        <w:rPr>
          <w:noProof/>
        </w:rPr>
        <w:t xml:space="preserve"> heat network operators argued for the inclusion of smart heat networks in the TEN-E Regulation as this could bring benefits in terms of system integration. However, heat networks are local in nature with no or very limited cross-border impact. There are n</w:t>
      </w:r>
      <w:r>
        <w:rPr>
          <w:noProof/>
        </w:rPr>
        <w:t>o heat transmission networks as it is not efficient to transport heat over long distances. European infrastructure planning for the purpose of interconnections and interoperability is therefore not needed for heat networks.</w:t>
      </w:r>
    </w:p>
    <w:p w:rsidR="00B60846" w:rsidRDefault="008069FF">
      <w:pPr>
        <w:rPr>
          <w:noProof/>
        </w:rPr>
      </w:pPr>
      <w:r>
        <w:rPr>
          <w:noProof/>
        </w:rPr>
        <w:t xml:space="preserve">Additional discarded options of </w:t>
      </w:r>
      <w:r>
        <w:rPr>
          <w:noProof/>
        </w:rPr>
        <w:t>more technical nature, also based on the evaluation results and stakeholder views, are included in Annex 7 and relate to the following topics: breaking the link between the CBCA and CEF financing, conditional CBCA decisions, and the easing of environmental</w:t>
      </w:r>
      <w:r>
        <w:rPr>
          <w:noProof/>
        </w:rPr>
        <w:t xml:space="preserve"> and location approvals for PCIs.</w:t>
      </w:r>
    </w:p>
    <w:p w:rsidR="00B60846" w:rsidRDefault="008069FF">
      <w:pPr>
        <w:pStyle w:val="Heading1"/>
        <w:rPr>
          <w:noProof/>
        </w:rPr>
      </w:pPr>
      <w:bookmarkStart w:id="640" w:name="_Toc50573900"/>
      <w:bookmarkStart w:id="641" w:name="_Toc50581883"/>
      <w:bookmarkStart w:id="642" w:name="_Toc50582666"/>
      <w:bookmarkStart w:id="643" w:name="_Toc51022078"/>
      <w:bookmarkStart w:id="644" w:name="_Toc51168558"/>
      <w:bookmarkStart w:id="645" w:name="_Toc51169047"/>
      <w:bookmarkStart w:id="646" w:name="_Toc51231541"/>
      <w:bookmarkStart w:id="647" w:name="_Toc51235477"/>
      <w:bookmarkStart w:id="648" w:name="_Toc51237267"/>
      <w:bookmarkStart w:id="649" w:name="_Toc51238652"/>
      <w:bookmarkStart w:id="650" w:name="_Toc51239377"/>
      <w:bookmarkStart w:id="651" w:name="_Toc51268907"/>
      <w:bookmarkStart w:id="652" w:name="_Toc51788289"/>
      <w:bookmarkStart w:id="653" w:name="_Toc51791827"/>
      <w:bookmarkStart w:id="654" w:name="_Toc51793259"/>
      <w:bookmarkStart w:id="655" w:name="_Toc55496458"/>
      <w:bookmarkStart w:id="656" w:name="_Toc50452081"/>
      <w:bookmarkStart w:id="657" w:name="_Toc50452082"/>
      <w:bookmarkStart w:id="658" w:name="_Toc50452083"/>
      <w:bookmarkStart w:id="659" w:name="_Toc50452084"/>
      <w:bookmarkStart w:id="660" w:name="_Toc50452085"/>
      <w:bookmarkStart w:id="661" w:name="_Toc50452086"/>
      <w:bookmarkStart w:id="662" w:name="_Toc50452087"/>
      <w:bookmarkStart w:id="663" w:name="_Toc50452088"/>
      <w:bookmarkStart w:id="664" w:name="_Toc50452089"/>
      <w:bookmarkStart w:id="665" w:name="_Toc50452090"/>
      <w:bookmarkStart w:id="666" w:name="_Toc50452091"/>
      <w:bookmarkStart w:id="667" w:name="_Toc50452092"/>
      <w:bookmarkStart w:id="668" w:name="_Toc50452093"/>
      <w:bookmarkStart w:id="669" w:name="_Toc50452094"/>
      <w:bookmarkStart w:id="670" w:name="_Toc50028494"/>
      <w:bookmarkStart w:id="671" w:name="_Toc50056989"/>
      <w:bookmarkStart w:id="672" w:name="_Toc50063616"/>
      <w:bookmarkStart w:id="673" w:name="_Toc50452095"/>
      <w:r>
        <w:rPr>
          <w:noProof/>
        </w:rPr>
        <w:t>What are the impacts of the policy options?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rsidR="00B60846" w:rsidRDefault="008069FF">
      <w:pPr>
        <w:rPr>
          <w:noProof/>
        </w:rPr>
      </w:pPr>
      <w:r>
        <w:rPr>
          <w:noProof/>
        </w:rPr>
        <w:t xml:space="preserve">The assessment of the impacts of each policy option relies to a large extent on a qualitative approach looking at the main environmental, economic, and social impacts as well as </w:t>
      </w:r>
      <w:r>
        <w:rPr>
          <w:noProof/>
        </w:rPr>
        <w:t>administrative burden, if applicable. It was not possible to quantify the impacts for all options because the specifics of future PCIs would need to be available for that purpose which is particularly challenging for new or emerging infrastructure categori</w:t>
      </w:r>
      <w:r>
        <w:rPr>
          <w:noProof/>
        </w:rPr>
        <w:t xml:space="preserve">es. Moreover, many of the proposed changes are mainly improvements to the current framework, which has been deemed to work relatively well and broadly meet its aims. </w:t>
      </w:r>
    </w:p>
    <w:p w:rsidR="00B60846" w:rsidRDefault="008069FF">
      <w:pPr>
        <w:rPr>
          <w:noProof/>
        </w:rPr>
      </w:pPr>
      <w:r>
        <w:rPr>
          <w:noProof/>
        </w:rPr>
        <w:t xml:space="preserve">Relevant sectoral studies or literature are used to provide a quantitative indication of </w:t>
      </w:r>
      <w:r>
        <w:rPr>
          <w:noProof/>
        </w:rPr>
        <w:t xml:space="preserve">certain impacts even if their scope is not limited to PCIs. While PCIs as cross-border infrastructure project cover a comparatively small number of energy infrastructure projects and needs in Europe, they constitute key infrastructure projects that enable </w:t>
      </w:r>
      <w:r>
        <w:rPr>
          <w:noProof/>
        </w:rPr>
        <w:t xml:space="preserve">and trigger additional investments with impacts beyond the direct benefits of the projects of common interest. </w:t>
      </w:r>
    </w:p>
    <w:p w:rsidR="00B60846" w:rsidRDefault="008069FF">
      <w:pPr>
        <w:rPr>
          <w:noProof/>
        </w:rPr>
      </w:pPr>
      <w:r>
        <w:rPr>
          <w:noProof/>
        </w:rPr>
        <w:t>The TEN-E Regulation does not impose obligations on economic operators, but it does set requirements on promoters of PCIs, mainly TSOs and DSOs,</w:t>
      </w:r>
      <w:r>
        <w:rPr>
          <w:noProof/>
        </w:rPr>
        <w:t xml:space="preserve"> which decide to apply for PCI status and subsequently become subject to certain obligations, mainly in the form of monitoring and reporting obligations. In addition, the TEN-E Regulation sets obligations on competent national authorities and regulators co</w:t>
      </w:r>
      <w:r>
        <w:rPr>
          <w:noProof/>
        </w:rPr>
        <w:t xml:space="preserve">ncerning permitting, regulatory incentives, and public participation as well as on network operators concerning long-term network planning. Consumers are mainly affected through network tariffs to finance investments in the regulatory asset base (RAB). </w:t>
      </w:r>
    </w:p>
    <w:p w:rsidR="00B60846" w:rsidRDefault="008069FF">
      <w:pPr>
        <w:pStyle w:val="Heading2"/>
        <w:ind w:left="1287" w:hanging="578"/>
        <w:rPr>
          <w:noProof/>
        </w:rPr>
      </w:pPr>
      <w:bookmarkStart w:id="674" w:name="_Toc49351345"/>
      <w:bookmarkStart w:id="675" w:name="_Toc49357738"/>
      <w:bookmarkStart w:id="676" w:name="_Toc49359416"/>
      <w:bookmarkStart w:id="677" w:name="_Toc49359751"/>
      <w:bookmarkStart w:id="678" w:name="_Toc49507995"/>
      <w:bookmarkStart w:id="679" w:name="_Toc49508439"/>
      <w:bookmarkStart w:id="680" w:name="_Toc49512350"/>
      <w:bookmarkStart w:id="681" w:name="_Toc49514234"/>
      <w:bookmarkStart w:id="682" w:name="_Toc49516469"/>
      <w:bookmarkStart w:id="683" w:name="_Toc50028481"/>
      <w:bookmarkStart w:id="684" w:name="_Toc50056976"/>
      <w:bookmarkStart w:id="685" w:name="_Toc50063603"/>
      <w:bookmarkStart w:id="686" w:name="_Toc50366590"/>
      <w:bookmarkStart w:id="687" w:name="_Toc50573901"/>
      <w:bookmarkStart w:id="688" w:name="_Toc50581884"/>
      <w:bookmarkStart w:id="689" w:name="_Toc50582667"/>
      <w:bookmarkStart w:id="690" w:name="_Toc51022079"/>
      <w:bookmarkStart w:id="691" w:name="_Toc51168559"/>
      <w:bookmarkStart w:id="692" w:name="_Toc51169048"/>
      <w:bookmarkStart w:id="693" w:name="_Toc51231542"/>
      <w:bookmarkStart w:id="694" w:name="_Toc51235478"/>
      <w:bookmarkStart w:id="695" w:name="_Toc51237268"/>
      <w:bookmarkStart w:id="696" w:name="_Toc51238653"/>
      <w:bookmarkStart w:id="697" w:name="_Toc51239378"/>
      <w:bookmarkStart w:id="698" w:name="_Toc51245161"/>
      <w:bookmarkStart w:id="699" w:name="_Toc51268908"/>
      <w:bookmarkStart w:id="700" w:name="_Toc51788290"/>
      <w:bookmarkStart w:id="701" w:name="_Toc51791828"/>
      <w:bookmarkStart w:id="702" w:name="_Toc51793260"/>
      <w:bookmarkStart w:id="703" w:name="_Toc55496459"/>
      <w:r>
        <w:rPr>
          <w:noProof/>
        </w:rPr>
        <w:t>Sc</w:t>
      </w:r>
      <w:r>
        <w:rPr>
          <w:noProof/>
        </w:rPr>
        <w:t>ope</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rsidR="00B60846" w:rsidRDefault="008069FF">
      <w:pPr>
        <w:pStyle w:val="Heading3"/>
        <w:rPr>
          <w:noProof/>
        </w:rPr>
      </w:pPr>
      <w:bookmarkStart w:id="704" w:name="_Toc49351348"/>
      <w:bookmarkStart w:id="705" w:name="_Toc49357741"/>
      <w:bookmarkStart w:id="706" w:name="_Toc49359419"/>
      <w:bookmarkStart w:id="707" w:name="_Toc49359754"/>
      <w:bookmarkStart w:id="708" w:name="_Toc49507998"/>
      <w:bookmarkStart w:id="709" w:name="_Toc49508442"/>
      <w:bookmarkStart w:id="710" w:name="_Toc49512353"/>
      <w:bookmarkStart w:id="711" w:name="_Toc49514237"/>
      <w:bookmarkStart w:id="712" w:name="_Toc49516472"/>
      <w:bookmarkStart w:id="713" w:name="_Toc50028482"/>
      <w:bookmarkStart w:id="714" w:name="_Toc50056977"/>
      <w:bookmarkStart w:id="715" w:name="_Toc50063604"/>
      <w:bookmarkStart w:id="716" w:name="_Toc50366591"/>
      <w:bookmarkStart w:id="717" w:name="_Toc50573902"/>
      <w:bookmarkStart w:id="718" w:name="_Toc50581885"/>
      <w:bookmarkStart w:id="719" w:name="_Toc50582668"/>
      <w:bookmarkStart w:id="720" w:name="_Toc51022080"/>
      <w:bookmarkStart w:id="721" w:name="_Toc51168560"/>
      <w:bookmarkStart w:id="722" w:name="_Toc51169049"/>
      <w:bookmarkStart w:id="723" w:name="_Toc51231543"/>
      <w:bookmarkStart w:id="724" w:name="_Toc51235479"/>
      <w:bookmarkStart w:id="725" w:name="_Toc51237269"/>
      <w:bookmarkStart w:id="726" w:name="_Toc51238654"/>
      <w:bookmarkStart w:id="727" w:name="_Toc51239379"/>
      <w:bookmarkStart w:id="728" w:name="_Toc51245162"/>
      <w:bookmarkStart w:id="729" w:name="_Toc51268802"/>
      <w:bookmarkStart w:id="730" w:name="_Toc51268909"/>
      <w:bookmarkStart w:id="731" w:name="_Toc51350392"/>
      <w:bookmarkStart w:id="732" w:name="_Toc51760923"/>
      <w:bookmarkStart w:id="733" w:name="_Toc51784844"/>
      <w:bookmarkStart w:id="734" w:name="_Toc51788291"/>
      <w:bookmarkStart w:id="735" w:name="_Toc51791829"/>
      <w:bookmarkStart w:id="736" w:name="_Toc51793261"/>
      <w:bookmarkStart w:id="737" w:name="_Toc51879075"/>
      <w:bookmarkStart w:id="738" w:name="_Toc55155651"/>
      <w:bookmarkStart w:id="739" w:name="_Toc55290958"/>
      <w:bookmarkStart w:id="740" w:name="_Toc55296648"/>
      <w:bookmarkStart w:id="741" w:name="_Toc55496460"/>
      <w:r>
        <w:rPr>
          <w:noProof/>
        </w:rPr>
        <w:t>Smart electricity grids end electricity storage</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B60846" w:rsidRDefault="008069FF">
      <w:pPr>
        <w:rPr>
          <w:b/>
          <w:bCs/>
          <w:noProof/>
        </w:rPr>
      </w:pPr>
      <w:r>
        <w:rPr>
          <w:b/>
          <w:bCs/>
          <w:noProof/>
        </w:rPr>
        <w:t>Option A.1.0: Business as usual</w:t>
      </w:r>
    </w:p>
    <w:p w:rsidR="00B60846" w:rsidRDefault="008069FF">
      <w:pPr>
        <w:rPr>
          <w:noProof/>
        </w:rPr>
      </w:pPr>
      <w:r>
        <w:rPr>
          <w:noProof/>
        </w:rPr>
        <w:t>To keep the current eligibility criteria would imply that the smart electricity grids thematic area remains restricted and only accessible for a limited number of infrastru</w:t>
      </w:r>
      <w:r>
        <w:rPr>
          <w:noProof/>
        </w:rPr>
        <w:t>cture projects. In the case of electricity storage, it would imply that it remains limited to large mechanical/hydro storage projects. In the case of smart electricity grids, digitalisation and innovation in the grids creates would not sufficiently reflect</w:t>
      </w:r>
      <w:r>
        <w:rPr>
          <w:noProof/>
        </w:rPr>
        <w:t xml:space="preserve"> recent technologies and hence potential positive </w:t>
      </w:r>
      <w:r>
        <w:rPr>
          <w:i/>
          <w:noProof/>
        </w:rPr>
        <w:t>environmental, economic and social impacts</w:t>
      </w:r>
      <w:r>
        <w:rPr>
          <w:noProof/>
        </w:rPr>
        <w:t xml:space="preserve"> would not be enough exploited (see below). Regulatory frameworks and regulatory practice in the Member States in many cases do not sufficiently support innovative </w:t>
      </w:r>
      <w:r>
        <w:rPr>
          <w:noProof/>
        </w:rPr>
        <w:t>grid investments by the TSOs or even constitute a barrier to such investments.</w:t>
      </w:r>
      <w:r>
        <w:rPr>
          <w:rStyle w:val="FootnoteReference"/>
          <w:noProof/>
        </w:rPr>
        <w:footnoteReference w:id="70"/>
      </w:r>
    </w:p>
    <w:p w:rsidR="00B60846" w:rsidRDefault="008069FF">
      <w:pPr>
        <w:rPr>
          <w:b/>
          <w:bCs/>
          <w:noProof/>
        </w:rPr>
      </w:pPr>
      <w:r>
        <w:rPr>
          <w:b/>
          <w:bCs/>
          <w:noProof/>
        </w:rPr>
        <w:t>Option A.1.1: Broadened scope to reflect technological developments</w:t>
      </w:r>
    </w:p>
    <w:p w:rsidR="00B60846" w:rsidRDefault="008069FF">
      <w:pPr>
        <w:pStyle w:val="Subtitle"/>
        <w:rPr>
          <w:noProof/>
        </w:rPr>
      </w:pPr>
      <w:r>
        <w:rPr>
          <w:noProof/>
        </w:rPr>
        <w:t xml:space="preserve">Environmental impacts </w:t>
      </w:r>
    </w:p>
    <w:p w:rsidR="00B60846" w:rsidRDefault="008069FF">
      <w:pPr>
        <w:rPr>
          <w:noProof/>
        </w:rPr>
      </w:pPr>
      <w:r>
        <w:rPr>
          <w:noProof/>
        </w:rPr>
        <w:t>The broadened scope for electricity smart grids would support the changing infrastruc</w:t>
      </w:r>
      <w:r>
        <w:rPr>
          <w:noProof/>
        </w:rPr>
        <w:t>ture and system security needs with a higher uptake of innovation and digitalisation in the grids. Over 90% of distributed renewable energy generation will most likely continue to be connected at distribution grid level</w:t>
      </w:r>
      <w:r>
        <w:rPr>
          <w:rStyle w:val="FootnoteReference"/>
          <w:noProof/>
          <w:sz w:val="18"/>
          <w:szCs w:val="18"/>
        </w:rPr>
        <w:footnoteReference w:id="71"/>
      </w:r>
      <w:r>
        <w:rPr>
          <w:noProof/>
        </w:rPr>
        <w:t>. Consumers, mostly connected to the</w:t>
      </w:r>
      <w:r>
        <w:rPr>
          <w:noProof/>
        </w:rPr>
        <w:t xml:space="preserve"> distribution grid, are allowed to provide demand-side flexibility, with 120 GW-150 GW of flexible load available by 2045. The ongoing rollout of smart metering will boost this development. Further synergies with the TEN-T Regulation would help to enhance </w:t>
      </w:r>
      <w:r>
        <w:rPr>
          <w:noProof/>
        </w:rPr>
        <w:t>the future charging infrastructure for electric vehicles and would benefit users of electric vehicles by supporting smart grid projects enabling charging infrastructure for electric vehicles. It is expected that the vehicle stock share of electric cars wil</w:t>
      </w:r>
      <w:r>
        <w:rPr>
          <w:noProof/>
        </w:rPr>
        <w:t>l increase to up to 11% by 2030</w:t>
      </w:r>
      <w:r>
        <w:rPr>
          <w:rStyle w:val="FootnoteReference"/>
          <w:noProof/>
        </w:rPr>
        <w:footnoteReference w:id="72"/>
      </w:r>
      <w:r>
        <w:rPr>
          <w:noProof/>
        </w:rPr>
        <w:t xml:space="preserve"> from currently below 1%. Electric vehicles with “smart charging” could provide capacity for flexibility and demand response. These use cases alone or as elements of virtual power plant platforms could become an important interface between energy and mobil</w:t>
      </w:r>
      <w:r>
        <w:rPr>
          <w:noProof/>
        </w:rPr>
        <w:t xml:space="preserve">ity, since digital infrastructure is a key enabler for the energy transition in these two sectors with a significant greenhouse gas reduction potential. While TEN-E would only cover smart grid projects with a cross-border impact, these projects could make </w:t>
      </w:r>
      <w:r>
        <w:rPr>
          <w:noProof/>
        </w:rPr>
        <w:t>a significant impact to ensure interoperability across Member States.</w:t>
      </w:r>
    </w:p>
    <w:p w:rsidR="00B60846" w:rsidRDefault="008069FF">
      <w:pPr>
        <w:rPr>
          <w:noProof/>
        </w:rPr>
      </w:pPr>
      <w:r>
        <w:rPr>
          <w:noProof/>
          <w:u w:val="single"/>
          <w:lang w:val="en-IE"/>
        </w:rPr>
        <w:t>Sub-option</w:t>
      </w:r>
      <w:r>
        <w:rPr>
          <w:noProof/>
          <w:lang w:val="en-IE"/>
        </w:rPr>
        <w:t>: Non-mechanical storage technologies</w:t>
      </w:r>
    </w:p>
    <w:p w:rsidR="00B60846" w:rsidRDefault="008069FF">
      <w:pPr>
        <w:rPr>
          <w:rFonts w:eastAsiaTheme="minorEastAsia"/>
          <w:noProof/>
          <w:color w:val="000000"/>
        </w:rPr>
      </w:pPr>
      <w:r>
        <w:rPr>
          <w:rFonts w:eastAsiaTheme="minorEastAsia"/>
          <w:noProof/>
          <w:color w:val="000000"/>
        </w:rPr>
        <w:t>The estimated daily flexibility required to be provided by electricity storage in 2030 is 97 GW for EU-27</w:t>
      </w:r>
      <w:r>
        <w:rPr>
          <w:rStyle w:val="FootnoteReference"/>
          <w:noProof/>
        </w:rPr>
        <w:footnoteReference w:id="73"/>
      </w:r>
      <w:r>
        <w:rPr>
          <w:rFonts w:eastAsiaTheme="minorEastAsia"/>
          <w:noProof/>
          <w:color w:val="000000"/>
        </w:rPr>
        <w:t>. Electricity storage provides f</w:t>
      </w:r>
      <w:r>
        <w:rPr>
          <w:rFonts w:eastAsiaTheme="minorEastAsia"/>
          <w:noProof/>
          <w:color w:val="000000"/>
        </w:rPr>
        <w:t>lexibility to the power system operation and decreases the need for new power lines within the power system</w:t>
      </w:r>
      <w:r>
        <w:rPr>
          <w:rStyle w:val="FootnoteReference"/>
          <w:rFonts w:eastAsiaTheme="minorEastAsia"/>
          <w:noProof/>
          <w:color w:val="000000"/>
        </w:rPr>
        <w:footnoteReference w:id="74"/>
      </w:r>
      <w:r>
        <w:rPr>
          <w:rFonts w:eastAsiaTheme="minorEastAsia"/>
          <w:noProof/>
          <w:color w:val="000000"/>
        </w:rPr>
        <w:t>. In certain cases energy storage systems can be deployed faster than transmission lines and have a smaller footprint than transmission projects eli</w:t>
      </w:r>
      <w:r>
        <w:rPr>
          <w:rFonts w:eastAsiaTheme="minorEastAsia"/>
          <w:noProof/>
          <w:color w:val="000000"/>
        </w:rPr>
        <w:t>minating environmental impacts from construction of those projects</w:t>
      </w:r>
      <w:r>
        <w:rPr>
          <w:rStyle w:val="FootnoteReference"/>
          <w:rFonts w:eastAsiaTheme="minorEastAsia"/>
          <w:noProof/>
          <w:color w:val="000000"/>
        </w:rPr>
        <w:footnoteReference w:id="75"/>
      </w:r>
      <w:r>
        <w:rPr>
          <w:rFonts w:eastAsiaTheme="minorEastAsia"/>
          <w:noProof/>
          <w:color w:val="000000"/>
        </w:rPr>
        <w:t>. The increased demand of different storage technologies, especially electrochemical (batteries) would support development and usage of new, more advanced storage systems, decreasing the ov</w:t>
      </w:r>
      <w:r>
        <w:rPr>
          <w:rFonts w:eastAsiaTheme="minorEastAsia"/>
          <w:noProof/>
          <w:color w:val="000000"/>
        </w:rPr>
        <w:t>erall impact on the environment.</w:t>
      </w:r>
    </w:p>
    <w:p w:rsidR="00B60846" w:rsidRDefault="008069FF">
      <w:pPr>
        <w:rPr>
          <w:noProof/>
          <w:szCs w:val="24"/>
        </w:rPr>
      </w:pPr>
      <w:r>
        <w:rPr>
          <w:noProof/>
        </w:rPr>
        <w:t>Higher uptake of electric storage in the form of batteries would result in potential emissions associated with the production of batteries. However, the emission factors calculated vary significantly depending on the type o</w:t>
      </w:r>
      <w:r>
        <w:rPr>
          <w:noProof/>
        </w:rPr>
        <w:t>f battery in terms of materials and energy density and the source of energy used for its production. However, it is anticipated that the potential environmental impacts could decrease very significantly. In its 2019 Strategic Action Plan on Batteries</w:t>
      </w:r>
      <w:r>
        <w:rPr>
          <w:rStyle w:val="FootnoteReference"/>
          <w:noProof/>
        </w:rPr>
        <w:footnoteReference w:id="76"/>
      </w:r>
      <w:r>
        <w:rPr>
          <w:noProof/>
        </w:rPr>
        <w:t>, the</w:t>
      </w:r>
      <w:r>
        <w:rPr>
          <w:noProof/>
        </w:rPr>
        <w:t xml:space="preserve"> Commission points to the importance of improved recycling processes, and an extension of the battery lifetime. Re-use of batteries in stationary applications can reduce environmental impacts over the life- cycle. </w:t>
      </w:r>
    </w:p>
    <w:p w:rsidR="00B60846" w:rsidRDefault="008069FF">
      <w:pPr>
        <w:pStyle w:val="Subtitle"/>
        <w:rPr>
          <w:noProof/>
        </w:rPr>
      </w:pPr>
      <w:r>
        <w:rPr>
          <w:noProof/>
        </w:rPr>
        <w:t xml:space="preserve">Economic impacts </w:t>
      </w:r>
    </w:p>
    <w:p w:rsidR="00B60846" w:rsidRDefault="008069FF">
      <w:pPr>
        <w:rPr>
          <w:noProof/>
          <w:szCs w:val="24"/>
        </w:rPr>
      </w:pPr>
      <w:r>
        <w:rPr>
          <w:noProof/>
        </w:rPr>
        <w:t>A broadened scope of sm</w:t>
      </w:r>
      <w:r>
        <w:rPr>
          <w:noProof/>
        </w:rPr>
        <w:t xml:space="preserve">art grids would increase the network operational efficiency through the implementation of flexibility features of existing HVDC (High Voltage Direct Connection) cables and the enhancement of the exploitation of demand-response management services based on </w:t>
      </w:r>
      <w:r>
        <w:rPr>
          <w:noProof/>
        </w:rPr>
        <w:t xml:space="preserve">the increased cross-border data and capacity exchange, together with the provision of ancillary services between the related TSOs and/or DSOs. In addition, cross-border smart electricity grids facilitate the growing penetration of renewable energy sources </w:t>
      </w:r>
      <w:r>
        <w:rPr>
          <w:noProof/>
        </w:rPr>
        <w:t>in the grid and enable a better integration of the behaviours and actions of all users connected to the network across borders.</w:t>
      </w:r>
    </w:p>
    <w:p w:rsidR="00B60846" w:rsidRDefault="008069FF">
      <w:pPr>
        <w:rPr>
          <w:noProof/>
        </w:rPr>
      </w:pPr>
      <w:r>
        <w:rPr>
          <w:noProof/>
        </w:rPr>
        <w:t xml:space="preserve">In the light of changing infrastructure and system security needs, this policy option would contribute to stimulate the use and </w:t>
      </w:r>
      <w:r>
        <w:rPr>
          <w:noProof/>
        </w:rPr>
        <w:t>implementation of new innovative technologies and activities in the domain of digital technologies, which will enhance the already existing positive impact of cross-border smart electricity grids. Development of new standards and technology for the interop</w:t>
      </w:r>
      <w:r>
        <w:rPr>
          <w:noProof/>
        </w:rPr>
        <w:t xml:space="preserve">erability of smart grid systems with increased reliability and cybersecurity protection would be further supported across borders. </w:t>
      </w:r>
    </w:p>
    <w:p w:rsidR="00B60846" w:rsidRDefault="008069FF">
      <w:pPr>
        <w:rPr>
          <w:noProof/>
        </w:rPr>
      </w:pPr>
      <w:r>
        <w:rPr>
          <w:noProof/>
        </w:rPr>
        <w:t>C</w:t>
      </w:r>
      <w:r>
        <w:rPr>
          <w:noProof/>
          <w:lang w:val="en-IE"/>
        </w:rPr>
        <w:t xml:space="preserve">omprehensive control and monitoring of the grid would reduce the need for curtailment of renewables and enable competitive </w:t>
      </w:r>
      <w:r>
        <w:rPr>
          <w:noProof/>
          <w:lang w:val="en-IE"/>
        </w:rPr>
        <w:t>and innovative energy services for consumers. According to the IEA, investments in enhanced digitalisation would reduce curtailment in Europe by 67 TWh by 2040</w:t>
      </w:r>
      <w:r>
        <w:rPr>
          <w:noProof/>
          <w:vertAlign w:val="superscript"/>
        </w:rPr>
        <w:footnoteReference w:id="77"/>
      </w:r>
      <w:r>
        <w:rPr>
          <w:noProof/>
          <w:lang w:val="en-IE"/>
        </w:rPr>
        <w:t xml:space="preserve">. </w:t>
      </w:r>
      <w:r>
        <w:rPr>
          <w:noProof/>
          <w:u w:val="single"/>
        </w:rPr>
        <w:t>Electricity storage</w:t>
      </w:r>
      <w:r>
        <w:rPr>
          <w:noProof/>
        </w:rPr>
        <w:t xml:space="preserve"> could simultaneously reduce the volatility of the electricity prices, redu</w:t>
      </w:r>
      <w:r>
        <w:rPr>
          <w:noProof/>
        </w:rPr>
        <w:t>ce the cost of the electricity system increasing energy efficiency and facilitate a higher share of variable renewable energy sources in the energy system</w:t>
      </w:r>
      <w:r>
        <w:rPr>
          <w:rStyle w:val="FootnoteReference"/>
          <w:noProof/>
        </w:rPr>
        <w:footnoteReference w:id="78"/>
      </w:r>
      <w:r>
        <w:rPr>
          <w:noProof/>
        </w:rPr>
        <w:t>. Due to lack of data, it is not possible to quantify the potential cross-border impact for non-mecha</w:t>
      </w:r>
      <w:r>
        <w:rPr>
          <w:noProof/>
        </w:rPr>
        <w:t>nical storage projects. However, at this stage it would be difficult for non-mechanical storage technologies (for ex. electrochemical storage in batteries or chemical storage in hydrogen) to meet cross-border criteria to prove a  significant cross-border i</w:t>
      </w:r>
      <w:r>
        <w:rPr>
          <w:noProof/>
        </w:rPr>
        <w:t xml:space="preserve">mpact. The opportunities provided by energy storage are increasingly supported by the momentum in research and innovation making the European economy more competitive. </w:t>
      </w:r>
    </w:p>
    <w:p w:rsidR="00B60846" w:rsidRDefault="008069FF">
      <w:pPr>
        <w:rPr>
          <w:noProof/>
        </w:rPr>
      </w:pPr>
      <w:r>
        <w:rPr>
          <w:noProof/>
        </w:rPr>
        <w:t>This option would allow more market players to get involved in smart electricity projec</w:t>
      </w:r>
      <w:r>
        <w:rPr>
          <w:noProof/>
        </w:rPr>
        <w:t>ts. The updated eligibility criteria would enable TSO/TSO cooperation in the area of smart grids, where DSO/DSO combinations would still be possible with the respective TSO support. To open the possibility to purely TSO level projects would enhance the num</w:t>
      </w:r>
      <w:r>
        <w:rPr>
          <w:noProof/>
        </w:rPr>
        <w:t>ber of cross-border smart electricity</w:t>
      </w:r>
      <w:r>
        <w:rPr>
          <w:strike/>
          <w:noProof/>
        </w:rPr>
        <w:t xml:space="preserve"> </w:t>
      </w:r>
      <w:r>
        <w:rPr>
          <w:noProof/>
        </w:rPr>
        <w:t>grids to be developed under the TEN-E framework, which are unlikely to happen otherwise.</w:t>
      </w:r>
    </w:p>
    <w:p w:rsidR="00B60846" w:rsidRDefault="008069FF">
      <w:pPr>
        <w:pStyle w:val="Subtitle"/>
        <w:rPr>
          <w:noProof/>
        </w:rPr>
      </w:pPr>
      <w:r>
        <w:rPr>
          <w:noProof/>
        </w:rPr>
        <w:t xml:space="preserve">Social impacts </w:t>
      </w:r>
    </w:p>
    <w:p w:rsidR="00B60846" w:rsidRDefault="008069FF">
      <w:pPr>
        <w:rPr>
          <w:rFonts w:eastAsiaTheme="minorEastAsia"/>
          <w:noProof/>
          <w:color w:val="000000" w:themeColor="text1"/>
        </w:rPr>
      </w:pPr>
      <w:r>
        <w:rPr>
          <w:rFonts w:eastAsiaTheme="minorEastAsia"/>
          <w:noProof/>
          <w:color w:val="000000"/>
        </w:rPr>
        <w:t>The digitalisation of the grid and metering would facilitate customer participation  in  all  stages  of  the  de</w:t>
      </w:r>
      <w:r>
        <w:rPr>
          <w:rFonts w:eastAsiaTheme="minorEastAsia"/>
          <w:noProof/>
          <w:color w:val="000000"/>
        </w:rPr>
        <w:t>velopment  and  expansion  of  the  energy system by digital tools such as participative geographical systems and new energy market arrangements</w:t>
      </w:r>
      <w:r>
        <w:rPr>
          <w:rStyle w:val="FootnoteReference"/>
          <w:rFonts w:eastAsiaTheme="minorEastAsia"/>
          <w:noProof/>
          <w:color w:val="000000"/>
        </w:rPr>
        <w:footnoteReference w:id="79"/>
      </w:r>
      <w:r>
        <w:rPr>
          <w:rFonts w:eastAsiaTheme="minorEastAsia"/>
          <w:noProof/>
          <w:color w:val="000000"/>
        </w:rPr>
        <w:t>.</w:t>
      </w:r>
      <w:r>
        <w:rPr>
          <w:rStyle w:val="FootnoteReference"/>
          <w:rFonts w:eastAsiaTheme="minorEastAsia"/>
          <w:noProof/>
          <w:color w:val="000000"/>
        </w:rPr>
        <w:t xml:space="preserve"> </w:t>
      </w:r>
      <w:r>
        <w:rPr>
          <w:rFonts w:eastAsiaTheme="minorEastAsia"/>
          <w:noProof/>
          <w:color w:val="000000"/>
        </w:rPr>
        <w:t>This would allow consumers to directly benefit from a more competitive energy market and monetise the flexibi</w:t>
      </w:r>
      <w:r>
        <w:rPr>
          <w:rFonts w:eastAsiaTheme="minorEastAsia"/>
          <w:noProof/>
          <w:color w:val="000000"/>
        </w:rPr>
        <w:t xml:space="preserve">lity in their consumption patterns. </w:t>
      </w:r>
    </w:p>
    <w:p w:rsidR="00B60846" w:rsidRDefault="008069FF">
      <w:pPr>
        <w:pStyle w:val="Heading3"/>
        <w:rPr>
          <w:noProof/>
        </w:rPr>
      </w:pPr>
      <w:bookmarkStart w:id="742" w:name="_Toc49351350"/>
      <w:bookmarkStart w:id="743" w:name="_Toc49357743"/>
      <w:bookmarkStart w:id="744" w:name="_Toc49359421"/>
      <w:bookmarkStart w:id="745" w:name="_Toc49359756"/>
      <w:bookmarkStart w:id="746" w:name="_Toc49508000"/>
      <w:bookmarkStart w:id="747" w:name="_Toc49508444"/>
      <w:bookmarkStart w:id="748" w:name="_Toc49512355"/>
      <w:bookmarkStart w:id="749" w:name="_Toc49514239"/>
      <w:bookmarkStart w:id="750" w:name="_Toc49516474"/>
      <w:bookmarkStart w:id="751" w:name="_Toc50028484"/>
      <w:bookmarkStart w:id="752" w:name="_Toc50056979"/>
      <w:bookmarkStart w:id="753" w:name="_Toc50063606"/>
      <w:bookmarkStart w:id="754" w:name="_Toc50366593"/>
      <w:bookmarkStart w:id="755" w:name="_Ref50502245"/>
      <w:bookmarkStart w:id="756" w:name="_Toc50573903"/>
      <w:bookmarkStart w:id="757" w:name="_Toc50581886"/>
      <w:bookmarkStart w:id="758" w:name="_Toc50582669"/>
      <w:bookmarkStart w:id="759" w:name="_Toc51022081"/>
      <w:bookmarkStart w:id="760" w:name="_Toc51168561"/>
      <w:bookmarkStart w:id="761" w:name="_Toc51169050"/>
      <w:bookmarkStart w:id="762" w:name="_Toc51231544"/>
      <w:bookmarkStart w:id="763" w:name="_Toc51235480"/>
      <w:bookmarkStart w:id="764" w:name="_Toc51237270"/>
      <w:bookmarkStart w:id="765" w:name="_Toc51238655"/>
      <w:bookmarkStart w:id="766" w:name="_Toc51239380"/>
      <w:bookmarkStart w:id="767" w:name="_Toc51245163"/>
      <w:bookmarkStart w:id="768" w:name="_Toc51268803"/>
      <w:bookmarkStart w:id="769" w:name="_Toc51268910"/>
      <w:bookmarkStart w:id="770" w:name="_Toc51350393"/>
      <w:bookmarkStart w:id="771" w:name="_Toc51760924"/>
      <w:bookmarkStart w:id="772" w:name="_Toc51784845"/>
      <w:bookmarkStart w:id="773" w:name="_Toc51788292"/>
      <w:bookmarkStart w:id="774" w:name="_Toc51791830"/>
      <w:bookmarkStart w:id="775" w:name="_Toc51793262"/>
      <w:bookmarkStart w:id="776" w:name="_Toc51879076"/>
      <w:bookmarkStart w:id="777" w:name="_Toc55155652"/>
      <w:bookmarkStart w:id="778" w:name="_Toc55290959"/>
      <w:bookmarkStart w:id="779" w:name="_Toc55296649"/>
      <w:bookmarkStart w:id="780" w:name="_Toc55496461"/>
      <w:r>
        <w:rPr>
          <w:noProof/>
        </w:rPr>
        <w:t>Gas infrastructure</w:t>
      </w:r>
      <w:bookmarkEnd w:id="742"/>
      <w:bookmarkEnd w:id="743"/>
      <w:bookmarkEnd w:id="744"/>
      <w:bookmarkEnd w:id="745"/>
      <w:r>
        <w:rPr>
          <w:noProof/>
        </w:rPr>
        <w:t>, hydrogen networks and power-to-gas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sidR="00B60846" w:rsidRDefault="008069FF">
      <w:pPr>
        <w:rPr>
          <w:noProof/>
        </w:rPr>
      </w:pPr>
      <w:r>
        <w:rPr>
          <w:noProof/>
        </w:rPr>
        <w:t>Policy options A.2 combine different infrastructure categories. The overall impact of these options depends on the impacts stemming from the individual infrastructu</w:t>
      </w:r>
      <w:r>
        <w:rPr>
          <w:noProof/>
        </w:rPr>
        <w:t>re categories included under each option.</w:t>
      </w:r>
    </w:p>
    <w:p w:rsidR="00B60846" w:rsidRDefault="008069FF">
      <w:pPr>
        <w:rPr>
          <w:b/>
          <w:bCs/>
          <w:noProof/>
        </w:rPr>
      </w:pPr>
      <w:r>
        <w:rPr>
          <w:b/>
          <w:bCs/>
          <w:noProof/>
        </w:rPr>
        <w:t>Option A.2.0: Business as usual</w:t>
      </w:r>
    </w:p>
    <w:p w:rsidR="00B60846" w:rsidRDefault="008069FF">
      <w:pPr>
        <w:rPr>
          <w:noProof/>
        </w:rPr>
      </w:pPr>
      <w:r>
        <w:rPr>
          <w:noProof/>
        </w:rPr>
        <w:t xml:space="preserve">Hydrogen networks, power-to-gas projects, smart gas grids would remain out of scope. Green gas-related transmission infrastructure projects are in the scope but unlikely to meet the </w:t>
      </w:r>
      <w:r>
        <w:rPr>
          <w:noProof/>
        </w:rPr>
        <w:t>cross-border criterion. This option would mean that, as regards gas, the TEN-E would keep its focus on natural gas transmission infrastructure and fail to accommodate renewable and low carbon gas projects. Although the number of natural gas PCIs is expecte</w:t>
      </w:r>
      <w:r>
        <w:rPr>
          <w:noProof/>
        </w:rPr>
        <w:t>d to decrease in the coming years (see section 5.1), the continued focus on natural gas and failing to stimulate the decarbonisation of the gas sector would significantly weaken TEN-E’s potential contribution to greenhouse gas emission reduction.</w:t>
      </w:r>
    </w:p>
    <w:p w:rsidR="00B60846" w:rsidRDefault="008069FF">
      <w:pPr>
        <w:rPr>
          <w:i/>
          <w:noProof/>
        </w:rPr>
      </w:pPr>
      <w:r>
        <w:rPr>
          <w:i/>
          <w:iCs/>
          <w:noProof/>
        </w:rPr>
        <w:t>Environme</w:t>
      </w:r>
      <w:r>
        <w:rPr>
          <w:i/>
          <w:iCs/>
          <w:noProof/>
        </w:rPr>
        <w:t>ntal impacts</w:t>
      </w:r>
    </w:p>
    <w:p w:rsidR="00B60846" w:rsidRDefault="008069FF">
      <w:pPr>
        <w:rPr>
          <w:i/>
          <w:noProof/>
        </w:rPr>
      </w:pPr>
      <w:r>
        <w:rPr>
          <w:noProof/>
        </w:rPr>
        <w:t>Continued PCI status for new natural gas infrastructure is not compatible with the long-term decarbonisation objectives. A reduction of natural gas demand is expected in all decarbonisation pathways developed by the Commission: even in busines</w:t>
      </w:r>
      <w:r>
        <w:rPr>
          <w:noProof/>
        </w:rPr>
        <w:t>s-as-usual, demand for natural gas shrinks by 13% between 2015 and 2030 and, by 2050, natural gas is expected to be largely replaced by alternative renewable and low-carbon gaseous fuels in all decarbonisation scenarios</w:t>
      </w:r>
      <w:r>
        <w:rPr>
          <w:rStyle w:val="FootnoteReference"/>
          <w:noProof/>
        </w:rPr>
        <w:footnoteReference w:id="80"/>
      </w:r>
      <w:r>
        <w:rPr>
          <w:noProof/>
        </w:rPr>
        <w:t>. Infrastructure projects create ass</w:t>
      </w:r>
      <w:r>
        <w:rPr>
          <w:noProof/>
        </w:rPr>
        <w:t xml:space="preserve">ets with a long lifetime (e.g. a gas pipeline can be used for 50 years or more) and would contribute to a lock in to the use of fossil fuels which is inconsistent with the long-term climate neutrality objective. </w:t>
      </w:r>
    </w:p>
    <w:p w:rsidR="00B60846" w:rsidRDefault="008069FF">
      <w:pPr>
        <w:rPr>
          <w:i/>
          <w:noProof/>
        </w:rPr>
      </w:pPr>
      <w:r>
        <w:rPr>
          <w:i/>
          <w:iCs/>
          <w:noProof/>
        </w:rPr>
        <w:t>Economic impacts</w:t>
      </w:r>
    </w:p>
    <w:p w:rsidR="00B60846" w:rsidRDefault="008069FF">
      <w:pPr>
        <w:rPr>
          <w:noProof/>
        </w:rPr>
      </w:pPr>
      <w:r>
        <w:rPr>
          <w:noProof/>
        </w:rPr>
        <w:t>Keeping natural gas PCIs i</w:t>
      </w:r>
      <w:r>
        <w:rPr>
          <w:noProof/>
        </w:rPr>
        <w:t>n the scope of the regulation creates risks of financing stranded assets because there is no need for policy support for additional cross-border natural gas infrastructure. The TEN-E framework has been successful in delivering a secure and well-interconnec</w:t>
      </w:r>
      <w:r>
        <w:rPr>
          <w:noProof/>
        </w:rPr>
        <w:t>ted gas grid in Europe (see section Annex 5), which is largely sufficient to guarantee security of gas supply for consumers and to enable closer market integration. The evaluation report</w:t>
      </w:r>
      <w:r>
        <w:rPr>
          <w:rStyle w:val="FootnoteReference"/>
          <w:noProof/>
        </w:rPr>
        <w:footnoteReference w:id="81"/>
      </w:r>
      <w:r>
        <w:rPr>
          <w:noProof/>
        </w:rPr>
        <w:t xml:space="preserve"> confirms that the existing gas infrastructure allows access for a wi</w:t>
      </w:r>
      <w:r>
        <w:rPr>
          <w:noProof/>
        </w:rPr>
        <w:t>de range of supplies and it is resilient in a number of disruption cases. This understanding is also supported REKK’s previous modelling</w:t>
      </w:r>
      <w:r>
        <w:rPr>
          <w:rStyle w:val="FootnoteReference"/>
          <w:noProof/>
        </w:rPr>
        <w:footnoteReference w:id="82"/>
      </w:r>
      <w:r>
        <w:rPr>
          <w:noProof/>
        </w:rPr>
        <w:t xml:space="preserve"> along with the ENTSOG TYNDP results</w:t>
      </w:r>
      <w:r>
        <w:rPr>
          <w:rStyle w:val="FootnoteReference"/>
          <w:noProof/>
        </w:rPr>
        <w:footnoteReference w:id="83"/>
      </w:r>
      <w:r>
        <w:rPr>
          <w:noProof/>
        </w:rPr>
        <w:t>. REKK concluded that there are no isolated markets in the EU and the market playe</w:t>
      </w:r>
      <w:r>
        <w:rPr>
          <w:noProof/>
        </w:rPr>
        <w:t>rs can make good use of the substantial LNG terminal and storage capacities when market circumstances are favourable, as in 2019-2020. Today Europe enjoys a resilient gas network, where gas prices are in majority correlated and infrastructure capacities ar</w:t>
      </w:r>
      <w:r>
        <w:rPr>
          <w:noProof/>
        </w:rPr>
        <w:t>e auctioned and used to provide the necessary flexibility to the market</w:t>
      </w:r>
      <w:r>
        <w:rPr>
          <w:rStyle w:val="FootnoteReference"/>
          <w:noProof/>
        </w:rPr>
        <w:footnoteReference w:id="84"/>
      </w:r>
      <w:r>
        <w:rPr>
          <w:noProof/>
        </w:rPr>
        <w:t>. In a similar vein, ACER’s latest monitoring report on the incremental capacity procedure concludes that no market demand seems to exist for additional cross-border gas transport capa</w:t>
      </w:r>
      <w:r>
        <w:rPr>
          <w:noProof/>
        </w:rPr>
        <w:t>city. From 55 non-binding demand assessment phase projects, only five proceeded to the binding stage and none received sufficient market coverage to be realised.</w:t>
      </w:r>
      <w:r>
        <w:rPr>
          <w:rStyle w:val="FootnoteReference"/>
          <w:noProof/>
        </w:rPr>
        <w:footnoteReference w:id="85"/>
      </w:r>
      <w:r>
        <w:rPr>
          <w:noProof/>
        </w:rPr>
        <w:t xml:space="preserve"> </w:t>
      </w:r>
    </w:p>
    <w:p w:rsidR="00B60846" w:rsidRDefault="008069FF">
      <w:pPr>
        <w:rPr>
          <w:noProof/>
        </w:rPr>
      </w:pPr>
      <w:r>
        <w:rPr>
          <w:noProof/>
        </w:rPr>
        <w:t xml:space="preserve">The remaining and already well-identified natural gas infrastructure needs are primarily in </w:t>
      </w:r>
      <w:r>
        <w:rPr>
          <w:noProof/>
        </w:rPr>
        <w:t>the Eastern Baltic Sea region, the Central and South-Eastern part of Europe, and those needs can be addressed by the most advanced gas PCIs in the 4</w:t>
      </w:r>
      <w:r>
        <w:rPr>
          <w:noProof/>
          <w:vertAlign w:val="superscript"/>
        </w:rPr>
        <w:t>th</w:t>
      </w:r>
      <w:r>
        <w:rPr>
          <w:noProof/>
        </w:rPr>
        <w:t xml:space="preserve"> PCI list. The evaluation study shows that the implementation of the most advanced projects would further </w:t>
      </w:r>
      <w:r>
        <w:rPr>
          <w:noProof/>
        </w:rPr>
        <w:t>reduce price differentials across EU countries. However, the relatively small incremental benefits are also an indication that building even further natural gas projects do not seem justified from a security of supply, market integration or solidarity poin</w:t>
      </w:r>
      <w:r>
        <w:rPr>
          <w:noProof/>
        </w:rPr>
        <w:t>t of view.</w:t>
      </w:r>
      <w:r>
        <w:rPr>
          <w:rStyle w:val="FootnoteReference"/>
          <w:noProof/>
        </w:rPr>
        <w:footnoteReference w:id="86"/>
      </w:r>
      <w:r>
        <w:rPr>
          <w:noProof/>
        </w:rPr>
        <w:t xml:space="preserve">  Nor would it align well with the more ambitious climate objectives of the European Green Deal.</w:t>
      </w:r>
    </w:p>
    <w:p w:rsidR="00B60846" w:rsidRDefault="008069FF">
      <w:pPr>
        <w:rPr>
          <w:noProof/>
        </w:rPr>
      </w:pPr>
      <w:r>
        <w:rPr>
          <w:noProof/>
        </w:rPr>
        <w:t>Following the implementation of the existing gas PCIs, there is no need for support for additional cross-border natural gas infrastructure or LNG te</w:t>
      </w:r>
      <w:r>
        <w:rPr>
          <w:noProof/>
        </w:rPr>
        <w:t>rminals. If there is market demand for new capacity, it can be met through the appropriate internal energy market rules (incremental procedure under the Network Code for Capacity Allocation and Congestion Management) but the priority status coming with a P</w:t>
      </w:r>
      <w:r>
        <w:rPr>
          <w:noProof/>
        </w:rPr>
        <w:t xml:space="preserve">CI label is no longer justified. </w:t>
      </w:r>
    </w:p>
    <w:p w:rsidR="00B60846" w:rsidRDefault="008069FF">
      <w:pPr>
        <w:rPr>
          <w:i/>
          <w:noProof/>
        </w:rPr>
      </w:pPr>
      <w:r>
        <w:rPr>
          <w:i/>
          <w:iCs/>
          <w:noProof/>
        </w:rPr>
        <w:t>Social impacts</w:t>
      </w:r>
    </w:p>
    <w:p w:rsidR="00B60846" w:rsidRDefault="008069FF">
      <w:pPr>
        <w:rPr>
          <w:noProof/>
        </w:rPr>
      </w:pPr>
      <w:r>
        <w:rPr>
          <w:noProof/>
        </w:rPr>
        <w:t xml:space="preserve">Support for stranded assets would inevitably translate into higher tariffs for consumers, thereby rendering the energy transition slower and less affordable. </w:t>
      </w:r>
    </w:p>
    <w:p w:rsidR="00B60846" w:rsidRDefault="008069FF">
      <w:pPr>
        <w:rPr>
          <w:b/>
          <w:bCs/>
          <w:noProof/>
          <w:lang w:val="en-US"/>
        </w:rPr>
      </w:pPr>
      <w:r>
        <w:rPr>
          <w:b/>
          <w:bCs/>
          <w:noProof/>
          <w:lang w:val="en-US"/>
        </w:rPr>
        <w:t>Option A.2.1: Exclude all natural gas infrastruc</w:t>
      </w:r>
      <w:r>
        <w:rPr>
          <w:b/>
          <w:bCs/>
          <w:noProof/>
          <w:lang w:val="en-US"/>
        </w:rPr>
        <w:t>ture but include hydrogen and P2G</w:t>
      </w:r>
    </w:p>
    <w:p w:rsidR="00B60846" w:rsidRDefault="008069FF">
      <w:pPr>
        <w:rPr>
          <w:i/>
          <w:noProof/>
        </w:rPr>
      </w:pPr>
      <w:r>
        <w:rPr>
          <w:i/>
          <w:iCs/>
          <w:noProof/>
        </w:rPr>
        <w:t>Economic impacts</w:t>
      </w:r>
    </w:p>
    <w:p w:rsidR="00B60846" w:rsidRDefault="008069FF">
      <w:pPr>
        <w:rPr>
          <w:noProof/>
        </w:rPr>
      </w:pPr>
      <w:r>
        <w:rPr>
          <w:noProof/>
        </w:rPr>
        <w:t xml:space="preserve">A condition for a widespread use of </w:t>
      </w:r>
      <w:r>
        <w:rPr>
          <w:noProof/>
          <w:u w:val="single"/>
        </w:rPr>
        <w:t>hydrogen</w:t>
      </w:r>
      <w:r>
        <w:rPr>
          <w:noProof/>
        </w:rPr>
        <w:t xml:space="preserve"> as an energy carrier in the European Union is the availability of dedicated cross-border hydrogen infrastructure. Today, the existing hydrogen networks are not </w:t>
      </w:r>
      <w:r>
        <w:rPr>
          <w:noProof/>
        </w:rPr>
        <w:t>regulated assets; they are typically privately owned pipelines connecting specific production and consumption sites. This is expected to change in the future, as hydrogen use expands and its transportation is expected to happen over longer distances. Hydro</w:t>
      </w:r>
      <w:r>
        <w:rPr>
          <w:noProof/>
        </w:rPr>
        <w:t>gen networks – which may initially be restricted to isolated local distribution grids and later national hydrogen networks – will, starting around 2030, increasingly be connected to create an internal market for hydrogen and offer benefits in terms of comp</w:t>
      </w:r>
      <w:r>
        <w:rPr>
          <w:noProof/>
        </w:rPr>
        <w:t>etition and security of supply.</w:t>
      </w:r>
      <w:r>
        <w:rPr>
          <w:rStyle w:val="FootnoteReference"/>
          <w:noProof/>
        </w:rPr>
        <w:footnoteReference w:id="87"/>
      </w:r>
      <w:r>
        <w:rPr>
          <w:noProof/>
        </w:rPr>
        <w:t xml:space="preserve"> This may have a profound impact on the pattern of gas flows in Europe: countries with renewable power generation potential, where green hydrogen can be produced, may become hydrogen exporters, while consumption centres woul</w:t>
      </w:r>
      <w:r>
        <w:rPr>
          <w:noProof/>
        </w:rPr>
        <w:t xml:space="preserve">d be importers. </w:t>
      </w:r>
    </w:p>
    <w:p w:rsidR="00B60846" w:rsidRDefault="008069FF">
      <w:pPr>
        <w:rPr>
          <w:noProof/>
        </w:rPr>
      </w:pPr>
      <w:r>
        <w:rPr>
          <w:noProof/>
        </w:rPr>
        <w:t>There is today no systematic network planning for hydrogen infrastructure at EU or national level. The TEN-E framework could facilitate the European level planning for hydrogen infrastructure. Depending on future developments, the planning</w:t>
      </w:r>
      <w:r>
        <w:rPr>
          <w:noProof/>
        </w:rPr>
        <w:t xml:space="preserve"> and assessment of hydrogen network could either be based on the TYNDP or the TEN-E could require that hydrogen projects to apply for PCI status in the context of a hydrogen network development plan, developed by the affected countries and/or project promo</w:t>
      </w:r>
      <w:r>
        <w:rPr>
          <w:noProof/>
        </w:rPr>
        <w:t>ters</w:t>
      </w:r>
      <w:r>
        <w:rPr>
          <w:rStyle w:val="FootnoteReference"/>
          <w:noProof/>
        </w:rPr>
        <w:footnoteReference w:id="88"/>
      </w:r>
      <w:r>
        <w:rPr>
          <w:noProof/>
        </w:rPr>
        <w:t xml:space="preserve"> which would reduce costs. Coordinated planning would allow for a more efficient utilisation of resources and locations, save costs, and speed up implementation. Without coordinated network planning, the resulting infrastructure risks being fragmented</w:t>
      </w:r>
      <w:r>
        <w:rPr>
          <w:noProof/>
        </w:rPr>
        <w:t xml:space="preserve"> along national lines and hindering the emergence of an EU internal market for hydrogen. The location of P2G facilities with a cross-border relevance will be crucial for the planning of hydrogen grids. P2G facilities are also essential enablers for energy </w:t>
      </w:r>
      <w:r>
        <w:rPr>
          <w:noProof/>
        </w:rPr>
        <w:t>system integration, as they will create links between gas and electricity systems, facilitating the decarbonisation of hard-to-decarbonize sectors, such as heavy goods transport or industry.</w:t>
      </w:r>
      <w:r>
        <w:rPr>
          <w:rStyle w:val="FootnoteReference"/>
          <w:noProof/>
        </w:rPr>
        <w:footnoteReference w:id="89"/>
      </w:r>
      <w:r>
        <w:rPr>
          <w:noProof/>
        </w:rPr>
        <w:t xml:space="preserve"> </w:t>
      </w:r>
    </w:p>
    <w:p w:rsidR="00B60846" w:rsidRDefault="008069FF">
      <w:pPr>
        <w:rPr>
          <w:noProof/>
        </w:rPr>
      </w:pPr>
      <w:r>
        <w:rPr>
          <w:noProof/>
        </w:rPr>
        <w:t>Future hydrogen networks are expected to consist to a great ext</w:t>
      </w:r>
      <w:r>
        <w:rPr>
          <w:noProof/>
        </w:rPr>
        <w:t>ent of infrastructure converted to hydrogen from existing natural gas assets, however new production and consumption centres for hydrogen may also require the construction of new assets specifically for hydrogen.</w:t>
      </w:r>
      <w:r>
        <w:rPr>
          <w:rStyle w:val="FootnoteReference"/>
          <w:noProof/>
        </w:rPr>
        <w:footnoteReference w:id="90"/>
      </w:r>
      <w:r>
        <w:rPr>
          <w:noProof/>
        </w:rPr>
        <w:t xml:space="preserve"> It is therefore important to include both </w:t>
      </w:r>
      <w:r>
        <w:rPr>
          <w:noProof/>
        </w:rPr>
        <w:t>of those categories into the TEN-E. The conversion of existing natural gas assets into dedicated hydrogen pipelines is up to 90% cheaper than new build</w:t>
      </w:r>
      <w:r>
        <w:rPr>
          <w:rStyle w:val="FootnoteReference"/>
          <w:noProof/>
        </w:rPr>
        <w:footnoteReference w:id="91"/>
      </w:r>
      <w:r>
        <w:rPr>
          <w:noProof/>
        </w:rPr>
        <w:t>, thus this can ensure a more cost-effective pathway to the deployment of hydrogen infrastructure and av</w:t>
      </w:r>
      <w:r>
        <w:rPr>
          <w:noProof/>
        </w:rPr>
        <w:t xml:space="preserve">oid stranded assets in the existing gas network. The rollout of hydrogen infrastructure will require coordinated planning, taking into account the location of supply and demand (see section 6.2.2). </w:t>
      </w:r>
    </w:p>
    <w:p w:rsidR="00B60846" w:rsidRDefault="008069FF">
      <w:pPr>
        <w:rPr>
          <w:noProof/>
        </w:rPr>
      </w:pPr>
      <w:r>
        <w:rPr>
          <w:noProof/>
        </w:rPr>
        <w:t xml:space="preserve">The International Energy Agency (IEA) estimates that the </w:t>
      </w:r>
      <w:r>
        <w:rPr>
          <w:noProof/>
        </w:rPr>
        <w:t>transmission of hydrogen as gas by pipeline is the cheapest option.</w:t>
      </w:r>
      <w:r>
        <w:rPr>
          <w:rStyle w:val="FootnoteReference"/>
          <w:noProof/>
        </w:rPr>
        <w:footnoteReference w:id="92"/>
      </w:r>
      <w:r>
        <w:rPr>
          <w:noProof/>
        </w:rPr>
        <w:t xml:space="preserve"> Transporting renewable energy in the form of green hydrogen via pipeline offers a cost-effective solution to integrate renewable energy into the energy grids. It can also help overcome ne</w:t>
      </w:r>
      <w:r>
        <w:rPr>
          <w:noProof/>
        </w:rPr>
        <w:t xml:space="preserve">twork bottlenecks in electricity that limit the ability of the energy system to integrate renewable power production. </w:t>
      </w:r>
    </w:p>
    <w:p w:rsidR="00B60846" w:rsidRDefault="008069FF">
      <w:pPr>
        <w:rPr>
          <w:noProof/>
        </w:rPr>
      </w:pPr>
      <w:r>
        <w:rPr>
          <w:noProof/>
        </w:rPr>
        <w:t>While today only a few member states have 100% operating hydrogen networks, ongoing developments in this area are likely to affect the wh</w:t>
      </w:r>
      <w:r>
        <w:rPr>
          <w:noProof/>
        </w:rPr>
        <w:t>ole EU. According to ACER, 11 Member States have or are working on a hydrogen strategy and 4 member states (Germany, France, Netherlands and Poland) are planning to roll out 100% hydrogen networks.</w:t>
      </w:r>
      <w:r>
        <w:rPr>
          <w:rStyle w:val="FootnoteReference"/>
          <w:noProof/>
        </w:rPr>
        <w:footnoteReference w:id="93"/>
      </w:r>
      <w:r>
        <w:rPr>
          <w:noProof/>
        </w:rPr>
        <w:t xml:space="preserve"> Half of the national energy and climate plans (NECPs) men</w:t>
      </w:r>
      <w:r>
        <w:rPr>
          <w:noProof/>
        </w:rPr>
        <w:t>tion concrete hydrogen related objectives and national hydrogen strategies, roadmaps, or plans been or are being developed.</w:t>
      </w:r>
      <w:r>
        <w:rPr>
          <w:rStyle w:val="FootnoteReference"/>
          <w:noProof/>
        </w:rPr>
        <w:footnoteReference w:id="94"/>
      </w:r>
      <w:r>
        <w:rPr>
          <w:noProof/>
        </w:rPr>
        <w:t xml:space="preserve"> The industry’s vision for a European hydrogen backbone was presented by gas TSOs from 10 European countries: Germany, France, Italy</w:t>
      </w:r>
      <w:r>
        <w:rPr>
          <w:noProof/>
        </w:rPr>
        <w:t>, Spain, the Netherlands, Belgium, Czech Republic, Denmark, Sweden and Switzerland.</w:t>
      </w:r>
      <w:r>
        <w:rPr>
          <w:rStyle w:val="FootnoteReference"/>
          <w:noProof/>
        </w:rPr>
        <w:footnoteReference w:id="95"/>
      </w:r>
    </w:p>
    <w:p w:rsidR="00B60846" w:rsidRDefault="008069FF">
      <w:pPr>
        <w:rPr>
          <w:noProof/>
        </w:rPr>
      </w:pPr>
      <w:r>
        <w:rPr>
          <w:noProof/>
        </w:rPr>
        <w:t>Investment in hydrogen infrastructure would have a significant economic impact. The European hydrogen backbone vision presented by the industry estimates that creating a 2</w:t>
      </w:r>
      <w:r>
        <w:rPr>
          <w:noProof/>
        </w:rPr>
        <w:t>3 000 km dedicated hydrogen network by 2040 would require a total investment of €27-64 billion based on using 75% of converted natural gas pipelines connected by 25% new pipeline stretches.</w:t>
      </w:r>
      <w:r>
        <w:rPr>
          <w:rStyle w:val="FootnoteReference"/>
          <w:noProof/>
        </w:rPr>
        <w:footnoteReference w:id="96"/>
      </w:r>
      <w:r>
        <w:rPr>
          <w:noProof/>
        </w:rPr>
        <w:t xml:space="preserve"> </w:t>
      </w:r>
    </w:p>
    <w:p w:rsidR="00B60846" w:rsidRDefault="008069FF">
      <w:pPr>
        <w:rPr>
          <w:noProof/>
        </w:rPr>
      </w:pPr>
      <w:r>
        <w:rPr>
          <w:noProof/>
        </w:rPr>
        <w:t>The Commission has put forward the strategic objective to instal</w:t>
      </w:r>
      <w:r>
        <w:rPr>
          <w:noProof/>
        </w:rPr>
        <w:t>l at least 40 GW of renewable hydrogen electrolysers in Europe by 2030.</w:t>
      </w:r>
      <w:r>
        <w:rPr>
          <w:rStyle w:val="FootnoteReference"/>
          <w:noProof/>
        </w:rPr>
        <w:footnoteReference w:id="97"/>
      </w:r>
      <w:r>
        <w:rPr>
          <w:noProof/>
        </w:rPr>
        <w:t xml:space="preserve"> The hydrogen industry has estimated the impact of building such electrolyser capacity (complemented by a further 40 GW electrolyser capacity in neighbouring countries with the aim of exporting green hydrogen into Europe).</w:t>
      </w:r>
      <w:r>
        <w:rPr>
          <w:rStyle w:val="FootnoteReference"/>
          <w:noProof/>
        </w:rPr>
        <w:footnoteReference w:id="98"/>
      </w:r>
      <w:r>
        <w:rPr>
          <w:noProof/>
        </w:rPr>
        <w:t xml:space="preserve"> This electrolyser capacity can p</w:t>
      </w:r>
      <w:r>
        <w:rPr>
          <w:noProof/>
        </w:rPr>
        <w:t>roduce 173 TWh of hydrogen, which represents around half of today’s hydrogen demand in Europe. This would require total investments investment of €25-€30 billion, of which over 85% would be realised in the 2025-2030 timeframe</w:t>
      </w:r>
      <w:r>
        <w:rPr>
          <w:rStyle w:val="FootnoteReference"/>
          <w:noProof/>
        </w:rPr>
        <w:footnoteReference w:id="99"/>
      </w:r>
      <w:r>
        <w:rPr>
          <w:noProof/>
        </w:rPr>
        <w:t xml:space="preserve"> and would create between 140,</w:t>
      </w:r>
      <w:r>
        <w:rPr>
          <w:noProof/>
        </w:rPr>
        <w:t>000 and 170,000 jobs for manufacturing and maintenance of 2x40 GW electrolyser capacity up to 2030.</w:t>
      </w:r>
    </w:p>
    <w:p w:rsidR="00B60846" w:rsidRDefault="008069FF">
      <w:pPr>
        <w:rPr>
          <w:noProof/>
        </w:rPr>
      </w:pPr>
      <w:r>
        <w:rPr>
          <w:noProof/>
        </w:rPr>
        <w:t>A recent study for the Fuel cells and Hydrogen Joint Undertaking (FCHJU)</w:t>
      </w:r>
      <w:r>
        <w:rPr>
          <w:rStyle w:val="FootnoteReference"/>
          <w:noProof/>
        </w:rPr>
        <w:footnoteReference w:id="100"/>
      </w:r>
      <w:r>
        <w:rPr>
          <w:noProof/>
        </w:rPr>
        <w:t xml:space="preserve"> has estimated the overall accumulated investment in hydrogen technologies in the E</w:t>
      </w:r>
      <w:r>
        <w:rPr>
          <w:noProof/>
        </w:rPr>
        <w:t>U-28 at 70-240 billion EUR up to 2030. Renewable energy supply accounts for 50%-60% of total investments, end user applications account for 20%-30% and electrolysis units account for almost 10%. The investments related to infrastructure, including power an</w:t>
      </w:r>
      <w:r>
        <w:rPr>
          <w:noProof/>
        </w:rPr>
        <w:t>d gas grids, refuelling stations and hydrogen storage are 5%-10% of total investments. Depending on the scenario, 7.5 billion or 29 billion EUR of value added can be generated annually in the whole EU-28, by investment in and operation of hydrogen technolo</w:t>
      </w:r>
      <w:r>
        <w:rPr>
          <w:noProof/>
        </w:rPr>
        <w:t>gies. Most of the value added is expected to be created by building and operating the renewable electricity plants that provide energy to electrolysers. A significant share of value added would also be created by the development of hydrogen transport infra</w:t>
      </w:r>
      <w:r>
        <w:rPr>
          <w:noProof/>
        </w:rPr>
        <w:t xml:space="preserve">structure. </w:t>
      </w:r>
    </w:p>
    <w:p w:rsidR="00B60846" w:rsidRDefault="008069FF">
      <w:pPr>
        <w:rPr>
          <w:i/>
          <w:noProof/>
        </w:rPr>
      </w:pPr>
      <w:r>
        <w:rPr>
          <w:i/>
          <w:iCs/>
          <w:noProof/>
        </w:rPr>
        <w:t>Environmental impacts</w:t>
      </w:r>
    </w:p>
    <w:p w:rsidR="00B60846" w:rsidRDefault="008069FF">
      <w:pPr>
        <w:rPr>
          <w:noProof/>
        </w:rPr>
      </w:pPr>
      <w:r>
        <w:rPr>
          <w:noProof/>
        </w:rPr>
        <w:t>As mentioned above, the inclusion of hydrogen networks and P2G facilities with cross-border relevance into the TEN-E would ensure a new coordinated and efficient planning to these types of infrastructure. Such a coordinate</w:t>
      </w:r>
      <w:r>
        <w:rPr>
          <w:noProof/>
        </w:rPr>
        <w:t>d process can reduce the overall need for infrastructure projects Allowing PCI status conversion projects (existing natural gas assets to be turned into hydrogen assets) will further limit the environmental impact, as it will avoid the need to build new in</w:t>
      </w:r>
      <w:r>
        <w:rPr>
          <w:noProof/>
        </w:rPr>
        <w:t>frastructure and make better use of the existing one.</w:t>
      </w:r>
    </w:p>
    <w:p w:rsidR="00B60846" w:rsidRDefault="008069FF">
      <w:pPr>
        <w:rPr>
          <w:noProof/>
        </w:rPr>
      </w:pPr>
      <w:r>
        <w:rPr>
          <w:noProof/>
        </w:rPr>
        <w:t xml:space="preserve">In general terms, the facilitation of hydrogen and P2G projects would bring environmental benefits because the impact of renewable and low-carbon hydrogen technology is expected to be positive in terms </w:t>
      </w:r>
      <w:r>
        <w:rPr>
          <w:noProof/>
        </w:rPr>
        <w:t>of greenhouse gas emissions: the substitution of fossil fuels by renewable or low-carbon hydrogen would translate into GHG emission reductions in the range of 20-65 MtCO2/a, corresponding to 1.4%-4.5% of the reduction gap at EU-28 level.</w:t>
      </w:r>
      <w:r>
        <w:rPr>
          <w:rStyle w:val="FootnoteReference"/>
          <w:noProof/>
        </w:rPr>
        <w:footnoteReference w:id="101"/>
      </w:r>
      <w:r>
        <w:rPr>
          <w:noProof/>
        </w:rPr>
        <w:t xml:space="preserve"> </w:t>
      </w:r>
    </w:p>
    <w:p w:rsidR="00B60846" w:rsidRDefault="008069FF">
      <w:pPr>
        <w:rPr>
          <w:noProof/>
        </w:rPr>
      </w:pPr>
      <w:r>
        <w:rPr>
          <w:noProof/>
          <w:u w:val="single"/>
        </w:rPr>
        <w:t>P2G</w:t>
      </w:r>
      <w:r>
        <w:rPr>
          <w:noProof/>
        </w:rPr>
        <w:t xml:space="preserve"> based on ele</w:t>
      </w:r>
      <w:r>
        <w:rPr>
          <w:noProof/>
        </w:rPr>
        <w:t>ctrolysis is an important enabler for smart sector integration and the decarbonisation of the gas and hydrogen grids. The source of the hydrogen produced is crucial in terms of the GHG impact. If grid electricity is used, then the climate impact would refl</w:t>
      </w:r>
      <w:r>
        <w:rPr>
          <w:noProof/>
        </w:rPr>
        <w:t>ect the CO</w:t>
      </w:r>
      <w:r>
        <w:rPr>
          <w:noProof/>
          <w:vertAlign w:val="subscript"/>
        </w:rPr>
        <w:t>2</w:t>
      </w:r>
      <w:r>
        <w:rPr>
          <w:noProof/>
        </w:rPr>
        <w:t xml:space="preserve"> intensity of the electricity mix. However, if electricity comes from a renewable source, then the hydrogen produced is carbon-neutral.</w:t>
      </w:r>
      <w:r>
        <w:rPr>
          <w:rStyle w:val="FootnoteReference"/>
          <w:noProof/>
        </w:rPr>
        <w:footnoteReference w:id="102"/>
      </w:r>
      <w:r>
        <w:rPr>
          <w:noProof/>
        </w:rPr>
        <w:t xml:space="preserve"> This green hydrogen can be used in gaseous form (and injected in dedicated hydrogen networks or admixed to m</w:t>
      </w:r>
      <w:r>
        <w:rPr>
          <w:noProof/>
        </w:rPr>
        <w:t>ethane in natural gas networks) or it can be turned into synthetic methane or synthetic liquid fuels, e.g. kerosene or diesel. Therefore, green hydrogen can play a crucial role in decarbonising end use sectors, such as industry, transport or heating. It ca</w:t>
      </w:r>
      <w:r>
        <w:rPr>
          <w:noProof/>
        </w:rPr>
        <w:t>n also offer flexibility options for the power grid and seasonal storage options for renewable energy.</w:t>
      </w:r>
    </w:p>
    <w:p w:rsidR="00B60846" w:rsidRDefault="008069FF">
      <w:pPr>
        <w:rPr>
          <w:noProof/>
        </w:rPr>
      </w:pPr>
      <w:r>
        <w:rPr>
          <w:noProof/>
        </w:rPr>
        <w:t>The strategic goal is to support renewable hydrogen; however, other forms of low-carbon hydrogen will also be needed in the short-to-medium term to rapid</w:t>
      </w:r>
      <w:r>
        <w:rPr>
          <w:noProof/>
        </w:rPr>
        <w:t>ly reduce emissions from existing hydrogen production and support the parallel and future uptake of renewable hydrogen.</w:t>
      </w:r>
      <w:r>
        <w:rPr>
          <w:rStyle w:val="FootnoteReference"/>
          <w:noProof/>
        </w:rPr>
        <w:footnoteReference w:id="103"/>
      </w:r>
      <w:r>
        <w:rPr>
          <w:noProof/>
        </w:rPr>
        <w:t xml:space="preserve"> P2G facilities should contribute to the strategic goal in order to maximize the positive GHG reduction impact, a similar approach would</w:t>
      </w:r>
      <w:r>
        <w:rPr>
          <w:noProof/>
        </w:rPr>
        <w:t xml:space="preserve"> not be appropriate for hydrogen networks, as for reasons of economic efficiency non-discriminatory third party access to such infrastructure could be considered. </w:t>
      </w:r>
    </w:p>
    <w:p w:rsidR="00B60846" w:rsidRDefault="008069FF">
      <w:pPr>
        <w:rPr>
          <w:i/>
          <w:noProof/>
        </w:rPr>
      </w:pPr>
      <w:r>
        <w:rPr>
          <w:i/>
          <w:iCs/>
          <w:noProof/>
        </w:rPr>
        <w:t>Social impact</w:t>
      </w:r>
    </w:p>
    <w:p w:rsidR="00B60846" w:rsidRDefault="008069FF">
      <w:pPr>
        <w:rPr>
          <w:noProof/>
        </w:rPr>
      </w:pPr>
      <w:r>
        <w:rPr>
          <w:noProof/>
        </w:rPr>
        <w:t>The inclusion of hydrogen in the TEN-E framework and eligibility for CEF finan</w:t>
      </w:r>
      <w:r>
        <w:rPr>
          <w:noProof/>
        </w:rPr>
        <w:t>cial assistance would have no impact on consumer prices</w:t>
      </w:r>
      <w:r>
        <w:rPr>
          <w:rStyle w:val="FootnoteReference"/>
          <w:noProof/>
        </w:rPr>
        <w:footnoteReference w:id="104"/>
      </w:r>
      <w:r>
        <w:rPr>
          <w:noProof/>
        </w:rPr>
        <w:t>. Support through TEN-E to these emerging technologies could facilitate upscaling and bringing down costs and hence improve affordability of the energy transitions. Hydrogen-related investments and op</w:t>
      </w:r>
      <w:r>
        <w:rPr>
          <w:noProof/>
        </w:rPr>
        <w:t>erations are estimated to generate in 2020-2030 employment of 29 100–103 100 direct jobs (in production and operations &amp; maintenance) and contribute to further 74 100–241 150 indirect jobs.</w:t>
      </w:r>
      <w:r>
        <w:rPr>
          <w:rStyle w:val="FootnoteReference"/>
          <w:noProof/>
        </w:rPr>
        <w:footnoteReference w:id="105"/>
      </w:r>
      <w:r>
        <w:rPr>
          <w:noProof/>
        </w:rPr>
        <w:t xml:space="preserve"> </w:t>
      </w:r>
    </w:p>
    <w:p w:rsidR="00B60846" w:rsidRDefault="008069FF">
      <w:pPr>
        <w:rPr>
          <w:b/>
          <w:bCs/>
          <w:noProof/>
        </w:rPr>
      </w:pPr>
      <w:r>
        <w:rPr>
          <w:b/>
          <w:bCs/>
          <w:noProof/>
        </w:rPr>
        <w:t>Option A.2.2: Exclude natural gas infrastructure but include hyd</w:t>
      </w:r>
      <w:r>
        <w:rPr>
          <w:b/>
          <w:bCs/>
          <w:noProof/>
        </w:rPr>
        <w:t xml:space="preserve">rogen, P2G and smart gas grids for low-carbon and renewable gases </w:t>
      </w:r>
    </w:p>
    <w:p w:rsidR="00B60846" w:rsidRDefault="008069FF">
      <w:pPr>
        <w:rPr>
          <w:b/>
          <w:bCs/>
          <w:noProof/>
        </w:rPr>
      </w:pPr>
      <w:r>
        <w:rPr>
          <w:noProof/>
        </w:rPr>
        <w:t>The impact of the inclusion of hydrogen and P2G is described above. The additional impacts stem from the inclusion of smart gas grids. Specific impacts of the sub-option on the exception fo</w:t>
      </w:r>
      <w:r>
        <w:rPr>
          <w:noProof/>
        </w:rPr>
        <w:t xml:space="preserve">r natural gas transmission projects that enable renewable and low carbon gases (i.e. new cross-border transmission infrastructure for biomethane and/or retrofits for hydrogen blends) are discussed separately.     </w:t>
      </w:r>
    </w:p>
    <w:p w:rsidR="00B60846" w:rsidRDefault="008069FF">
      <w:pPr>
        <w:rPr>
          <w:i/>
          <w:noProof/>
        </w:rPr>
      </w:pPr>
      <w:r>
        <w:rPr>
          <w:i/>
          <w:iCs/>
          <w:noProof/>
        </w:rPr>
        <w:t>Economic impacts</w:t>
      </w:r>
    </w:p>
    <w:p w:rsidR="00B60846" w:rsidRDefault="008069FF">
      <w:pPr>
        <w:rPr>
          <w:noProof/>
        </w:rPr>
      </w:pPr>
      <w:r>
        <w:rPr>
          <w:noProof/>
        </w:rPr>
        <w:t xml:space="preserve">Indigenous renewable gas </w:t>
      </w:r>
      <w:r>
        <w:rPr>
          <w:noProof/>
        </w:rPr>
        <w:t>sources are expected to play an important role in the way towards climate neutrality. The most significant current production of renewable gases in the EU are biogas and biomethane</w:t>
      </w:r>
      <w:r>
        <w:rPr>
          <w:rStyle w:val="FootnoteReference"/>
          <w:noProof/>
        </w:rPr>
        <w:footnoteReference w:id="106"/>
      </w:r>
      <w:r>
        <w:rPr>
          <w:noProof/>
        </w:rPr>
        <w:t xml:space="preserve"> with some 17 bcm annually. The Commission estimates that biogas consumptio</w:t>
      </w:r>
      <w:r>
        <w:rPr>
          <w:noProof/>
        </w:rPr>
        <w:t>n would have to increase between 14-48% in the period 2015-2030 and between 37-378% in the period 2015-2050 to reach carbon neutrality.</w:t>
      </w:r>
      <w:r>
        <w:rPr>
          <w:rStyle w:val="FootnoteReference"/>
          <w:noProof/>
        </w:rPr>
        <w:footnoteReference w:id="107"/>
      </w:r>
      <w:r>
        <w:rPr>
          <w:noProof/>
        </w:rPr>
        <w:t xml:space="preserve"> After upgrading biogas to biomethane, this gas can be transported, distributed and stored in the existing methane gas g</w:t>
      </w:r>
      <w:r>
        <w:rPr>
          <w:noProof/>
        </w:rPr>
        <w:t xml:space="preserve">rid. Hydrogen can also be blended into the methane grid up to certain limits or subject to adaptations.  </w:t>
      </w:r>
    </w:p>
    <w:p w:rsidR="00B60846" w:rsidRDefault="008069FF">
      <w:pPr>
        <w:rPr>
          <w:noProof/>
        </w:rPr>
      </w:pPr>
      <w:r>
        <w:rPr>
          <w:noProof/>
        </w:rPr>
        <w:t>The vast majority of today’s 500 biomethane plants in the EU are connected to the distribution grid, without the possibility to inject gas into the tr</w:t>
      </w:r>
      <w:r>
        <w:rPr>
          <w:noProof/>
        </w:rPr>
        <w:t>ansmission level, meaning the gas has to be consumed close to its place of production. Some of the green hydrogen is also expected to be injected at DSO level. Smart gas grid projects would aim to tap into this potential by implementing infrastructure faci</w:t>
      </w:r>
      <w:r>
        <w:rPr>
          <w:noProof/>
        </w:rPr>
        <w:t>litating the integration of those locally produced renewable and low-carbon gases into the DSO and TSO grids and making use of modern ICT technologies to help manage a more complex grid. Smart gas grid projects would also include related investments enabli</w:t>
      </w:r>
      <w:r>
        <w:rPr>
          <w:noProof/>
        </w:rPr>
        <w:t>ng reverse flow to the transmission level, which could ensure that excess local green gas supply is injected into the transmission grid and used elsewhere, enabling the full use of local green gas potential.</w:t>
      </w:r>
    </w:p>
    <w:p w:rsidR="00B60846" w:rsidRDefault="008069FF">
      <w:pPr>
        <w:rPr>
          <w:noProof/>
        </w:rPr>
      </w:pPr>
      <w:r>
        <w:rPr>
          <w:noProof/>
        </w:rPr>
        <w:t>The inclusion of smart gas grids would ensure th</w:t>
      </w:r>
      <w:r>
        <w:rPr>
          <w:noProof/>
        </w:rPr>
        <w:t>e seamless integration of the transmission and distribution grids that will be increasingly necessary</w:t>
      </w:r>
      <w:r>
        <w:rPr>
          <w:rStyle w:val="FootnoteReference"/>
          <w:noProof/>
        </w:rPr>
        <w:footnoteReference w:id="108"/>
      </w:r>
      <w:r>
        <w:rPr>
          <w:noProof/>
        </w:rPr>
        <w:t xml:space="preserve"> because of the rapidly changing natural gas infrastructure system. </w:t>
      </w:r>
    </w:p>
    <w:p w:rsidR="00B60846" w:rsidRDefault="008069FF">
      <w:pPr>
        <w:rPr>
          <w:noProof/>
        </w:rPr>
      </w:pPr>
      <w:r>
        <w:rPr>
          <w:noProof/>
        </w:rPr>
        <w:t>At the same time, smart gas grid projects would not meet the current cross-border cri</w:t>
      </w:r>
      <w:r>
        <w:rPr>
          <w:noProof/>
        </w:rPr>
        <w:t xml:space="preserve">terion for gas transmission infrastructure because they would not aim at creating additional transmission capacity. Instead, the cross-border relevance would come from the requirements to include promoters from at least two Member States in project design </w:t>
      </w:r>
      <w:r>
        <w:rPr>
          <w:noProof/>
        </w:rPr>
        <w:t>and implementation. While projects to enable biogas to be injected from the distribution to the transmission grid are indeed local, they may enable trade with those gases, as the gas transmission grid is already interconnected at EU level. Biomethane and s</w:t>
      </w:r>
      <w:r>
        <w:rPr>
          <w:noProof/>
        </w:rPr>
        <w:t>ynthetic methane pose in principle no technical problems for their injection into natural gas grids as long as they meet quality standards. At transmission level, investments in grid expansion may be needed in case capacity at certain network sections or i</w:t>
      </w:r>
      <w:r>
        <w:rPr>
          <w:noProof/>
        </w:rPr>
        <w:t xml:space="preserve">nterconnection points become insufficient due to a change in the gas flow patterns caused by an increase in biogas production in certain EU regions. </w:t>
      </w:r>
    </w:p>
    <w:p w:rsidR="00B60846" w:rsidRDefault="008069FF">
      <w:pPr>
        <w:rPr>
          <w:i/>
          <w:noProof/>
        </w:rPr>
      </w:pPr>
      <w:r>
        <w:rPr>
          <w:i/>
          <w:iCs/>
          <w:noProof/>
        </w:rPr>
        <w:t>Environmental impact</w:t>
      </w:r>
    </w:p>
    <w:p w:rsidR="00B60846" w:rsidRDefault="008069FF">
      <w:pPr>
        <w:rPr>
          <w:noProof/>
        </w:rPr>
      </w:pPr>
      <w:r>
        <w:rPr>
          <w:noProof/>
        </w:rPr>
        <w:t>Gas infrastructure projects may contribute to sustainability by enabling the substitu</w:t>
      </w:r>
      <w:r>
        <w:rPr>
          <w:noProof/>
        </w:rPr>
        <w:t xml:space="preserve">tion of fossil fuels with renewable and low-carbon gases in various applications. The exact impact will depend on the amount of renewable and low carbon gases injected into the grid and on the difference between the GHG intensity of the specific renewable </w:t>
      </w:r>
      <w:r>
        <w:rPr>
          <w:noProof/>
        </w:rPr>
        <w:t>and low carbon gas and the substituted fuel. For the substitution of natural gas with biogas, the GHG impact ranges from a 156 tCO2eq per TJ reduction to a 17 tCO2eq per TJ increase in emissions</w:t>
      </w:r>
      <w:r>
        <w:rPr>
          <w:rStyle w:val="FootnoteReference"/>
          <w:noProof/>
        </w:rPr>
        <w:footnoteReference w:id="109"/>
      </w:r>
      <w:r>
        <w:rPr>
          <w:noProof/>
        </w:rPr>
        <w:t xml:space="preserve">. </w:t>
      </w:r>
    </w:p>
    <w:p w:rsidR="00B60846" w:rsidRDefault="008069FF">
      <w:pPr>
        <w:rPr>
          <w:noProof/>
        </w:rPr>
      </w:pPr>
      <w:r>
        <w:rPr>
          <w:noProof/>
        </w:rPr>
        <w:t>Specifically on projects that aim to increase the share of</w:t>
      </w:r>
      <w:r>
        <w:rPr>
          <w:noProof/>
        </w:rPr>
        <w:t xml:space="preserve"> hydrogen that can be blended into the natural gas grid: it must be noted that, even when electrolysers run on renewable electricity to produce green hydrogen, the GHG reduction potential is limited by the fact that hydrogen has a lower energy content than</w:t>
      </w:r>
      <w:r>
        <w:rPr>
          <w:noProof/>
        </w:rPr>
        <w:t xml:space="preserve"> methane. Since the calorific value of hydrogen is about 1/3 of the calorific value of natural gas, a 10 vol% H2 admixture is equivalent to only 3.3% of the energy content. This translates into -11.6% CO2 effect for an admixture of 30 vol% hydrogen, provid</w:t>
      </w:r>
      <w:r>
        <w:rPr>
          <w:noProof/>
        </w:rPr>
        <w:t>ing only relatively limited room for decarbonisation in the medium- to long-term.</w:t>
      </w:r>
      <w:r>
        <w:rPr>
          <w:rStyle w:val="FootnoteReference"/>
          <w:noProof/>
        </w:rPr>
        <w:footnoteReference w:id="110"/>
      </w:r>
      <w:r>
        <w:rPr>
          <w:noProof/>
        </w:rPr>
        <w:t xml:space="preserve"> </w:t>
      </w:r>
    </w:p>
    <w:p w:rsidR="00B60846" w:rsidRDefault="008069FF">
      <w:pPr>
        <w:rPr>
          <w:noProof/>
          <w:lang w:val="en-IE"/>
        </w:rPr>
      </w:pPr>
      <w:r>
        <w:rPr>
          <w:noProof/>
        </w:rPr>
        <w:t>Projects that specifically aim at enabling the integration of renewable and low-carbon gases into the gas grid would have to prove significant net GHG savings to be eligibl</w:t>
      </w:r>
      <w:r>
        <w:rPr>
          <w:noProof/>
        </w:rPr>
        <w:t xml:space="preserve">e for PCI status. </w:t>
      </w:r>
      <w:r>
        <w:rPr>
          <w:noProof/>
          <w:lang w:val="en-IE"/>
        </w:rPr>
        <w:t>This poses a number of difficulties because fossil and green gas molecules share the same network infrastructure and therefore the GHG reductions would result from a planned increase of renewable and low-carbon gases in a given network, w</w:t>
      </w:r>
      <w:r>
        <w:rPr>
          <w:noProof/>
          <w:lang w:val="en-IE"/>
        </w:rPr>
        <w:t xml:space="preserve">hich are </w:t>
      </w:r>
      <w:r>
        <w:rPr>
          <w:noProof/>
          <w:u w:val="single"/>
          <w:lang w:val="en-IE"/>
        </w:rPr>
        <w:t>enabled, but not directly influenced, by</w:t>
      </w:r>
      <w:r>
        <w:rPr>
          <w:noProof/>
          <w:lang w:val="en-IE"/>
        </w:rPr>
        <w:t xml:space="preserve"> such projects</w:t>
      </w:r>
      <w:r>
        <w:rPr>
          <w:rStyle w:val="FootnoteReference"/>
          <w:noProof/>
          <w:lang w:val="en-IE"/>
        </w:rPr>
        <w:footnoteReference w:id="111"/>
      </w:r>
      <w:r>
        <w:rPr>
          <w:noProof/>
          <w:lang w:val="en-IE"/>
        </w:rPr>
        <w:t>. The project promoter (typically a TSO) has limited ability to influence the gas mix. Under the unbundling rules, a TSO (or DSO) is responsible for network operation but it does not determine what type of gas is injected into its grid because it has to gr</w:t>
      </w:r>
      <w:r>
        <w:rPr>
          <w:noProof/>
          <w:lang w:val="en-IE"/>
        </w:rPr>
        <w:t xml:space="preserve">ant equal access to all network users. A network operator can invest in pipeline projects that </w:t>
      </w:r>
      <w:r>
        <w:rPr>
          <w:noProof/>
          <w:u w:val="single"/>
          <w:lang w:val="en-IE"/>
        </w:rPr>
        <w:t>enable</w:t>
      </w:r>
      <w:r>
        <w:rPr>
          <w:noProof/>
          <w:lang w:val="en-IE"/>
        </w:rPr>
        <w:t xml:space="preserve"> more injections of renewable and low-carbon gases </w:t>
      </w:r>
      <w:r>
        <w:rPr>
          <w:noProof/>
        </w:rPr>
        <w:t>(for instance a transmission pipeline leading to an area with major biogas production potential where th</w:t>
      </w:r>
      <w:r>
        <w:rPr>
          <w:noProof/>
        </w:rPr>
        <w:t>ere are transmission bottlenecks)</w:t>
      </w:r>
      <w:r>
        <w:rPr>
          <w:noProof/>
          <w:lang w:val="en-IE"/>
        </w:rPr>
        <w:t xml:space="preserve"> but this pipeline will be able to carry biomethane and natural gas alike. Therefore, investments in gas networks can only indirectly reduce GHG emissions by enabling a greener gas mix, while the actual GHG impact will depe</w:t>
      </w:r>
      <w:r>
        <w:rPr>
          <w:noProof/>
          <w:lang w:val="en-IE"/>
        </w:rPr>
        <w:t>nd on actual gas flows, which is to a large extent beyond the control of network operators. This creates a risk of “greenwashing” as any new gas infrastructure ostensibly built for renewable gases could in practice end up being used for natural gas because</w:t>
      </w:r>
      <w:r>
        <w:rPr>
          <w:noProof/>
          <w:lang w:val="en-IE"/>
        </w:rPr>
        <w:t xml:space="preserve"> it will in the end form part of a given gas network operator’s regulated asset base.  </w:t>
      </w:r>
    </w:p>
    <w:p w:rsidR="00B60846" w:rsidRDefault="008069FF">
      <w:pPr>
        <w:rPr>
          <w:noProof/>
        </w:rPr>
      </w:pPr>
      <w:r>
        <w:rPr>
          <w:noProof/>
        </w:rPr>
        <w:t>Infrastructure types linked more closely to the supply of green gases can contribute more directly to the decarbonisation objectives. For instance, a connecting pipelin</w:t>
      </w:r>
      <w:r>
        <w:rPr>
          <w:noProof/>
        </w:rPr>
        <w:t>e linking a biomethane plant to the transmission grid can be expected to transport only biomethane. A P2G facility producing green hydrogen with a view to injecting it into the gas network (together with its connecting pipeline) can be expected to directly</w:t>
      </w:r>
      <w:r>
        <w:rPr>
          <w:noProof/>
        </w:rPr>
        <w:t xml:space="preserve"> contribute to GHG reductions. However, such connecting pipelines and facilities related to gas supply are typically non-regulated assets, meaning they relate to competitive activities and have no regulatory scrutiny of costs. </w:t>
      </w:r>
    </w:p>
    <w:p w:rsidR="00B60846" w:rsidRDefault="008069FF">
      <w:pPr>
        <w:rPr>
          <w:noProof/>
        </w:rPr>
      </w:pPr>
      <w:r>
        <w:rPr>
          <w:noProof/>
        </w:rPr>
        <w:t>To a certain extent, additio</w:t>
      </w:r>
      <w:r>
        <w:rPr>
          <w:noProof/>
        </w:rPr>
        <w:t>nal requirements could offer some safeguards that the selected gas PCIs do indeed contribute to significant GHG reductions and avoid the risk of creating assets that would continue to be used predominantly for natural gas. This could include a stronger sus</w:t>
      </w:r>
      <w:r>
        <w:rPr>
          <w:noProof/>
        </w:rPr>
        <w:t xml:space="preserve">tainability assessment of candidate PCIs (see section 6.2.2) or a requirement that the projects are presented in the context of credible policy and/or network development plans to roll out renewable and low-carbon gases (see section 6.2.2). However, while </w:t>
      </w:r>
      <w:r>
        <w:rPr>
          <w:noProof/>
        </w:rPr>
        <w:t>this may work for smart gas grids, in other cases such as new infrastructure for renewable gases or retrofits for hydrogen blends (see below sub-option, such safeguards may not entirely address the risk of financing infrastructure that would end up being u</w:t>
      </w:r>
      <w:r>
        <w:rPr>
          <w:noProof/>
        </w:rPr>
        <w:t xml:space="preserve">sed primarily for fossil energy in reality. </w:t>
      </w:r>
    </w:p>
    <w:p w:rsidR="00B60846" w:rsidRDefault="008069FF">
      <w:pPr>
        <w:spacing w:after="160" w:line="256" w:lineRule="auto"/>
        <w:rPr>
          <w:i/>
          <w:noProof/>
        </w:rPr>
      </w:pPr>
      <w:r>
        <w:rPr>
          <w:i/>
          <w:iCs/>
          <w:noProof/>
        </w:rPr>
        <w:t>Social impacts</w:t>
      </w:r>
    </w:p>
    <w:p w:rsidR="00B60846" w:rsidRDefault="008069FF">
      <w:pPr>
        <w:rPr>
          <w:noProof/>
        </w:rPr>
      </w:pPr>
      <w:r>
        <w:rPr>
          <w:noProof/>
        </w:rPr>
        <w:t>Access to PCI and CEF funding could limit the effect of related investments on tariffs.</w:t>
      </w:r>
    </w:p>
    <w:p w:rsidR="00B60846" w:rsidRDefault="008069FF">
      <w:pPr>
        <w:rPr>
          <w:noProof/>
          <w:lang w:val="en-US"/>
        </w:rPr>
      </w:pPr>
      <w:r>
        <w:rPr>
          <w:noProof/>
          <w:u w:val="single"/>
          <w:lang w:val="en-US"/>
        </w:rPr>
        <w:t>Sub-option</w:t>
      </w:r>
      <w:r>
        <w:rPr>
          <w:noProof/>
          <w:lang w:val="en-US"/>
        </w:rPr>
        <w:t>: Natural gas transport infrastructure for renewable and low-carbon gases</w:t>
      </w:r>
    </w:p>
    <w:p w:rsidR="00B60846" w:rsidRDefault="008069FF">
      <w:pPr>
        <w:rPr>
          <w:noProof/>
        </w:rPr>
      </w:pPr>
      <w:r>
        <w:rPr>
          <w:noProof/>
        </w:rPr>
        <w:t>In addition to the above</w:t>
      </w:r>
      <w:r>
        <w:rPr>
          <w:noProof/>
        </w:rPr>
        <w:t xml:space="preserve"> impacts, the following impacts are relevant for this sub-option. A study for DG Energy</w:t>
      </w:r>
      <w:r>
        <w:rPr>
          <w:rStyle w:val="FootnoteReference"/>
          <w:noProof/>
        </w:rPr>
        <w:footnoteReference w:id="112"/>
      </w:r>
      <w:r>
        <w:rPr>
          <w:noProof/>
        </w:rPr>
        <w:t xml:space="preserve"> has estimated a total technical biogas/biomethane production potential of 1 150 TWh/yr for 2050</w:t>
      </w:r>
      <w:r>
        <w:rPr>
          <w:rStyle w:val="FootnoteReference"/>
          <w:noProof/>
        </w:rPr>
        <w:footnoteReference w:id="113"/>
      </w:r>
      <w:r>
        <w:rPr>
          <w:noProof/>
        </w:rPr>
        <w:t>. This compares to 193 TWh biogas production in 2016, almost a six-fold</w:t>
      </w:r>
      <w:r>
        <w:rPr>
          <w:noProof/>
        </w:rPr>
        <w:t xml:space="preserve"> increase. The full deployment of the biomethane potential identified in the study would have a profound impact on the pattern of gas flows in Europe with flows originating from countries with high biomass potential to centres of consumption. While gas tra</w:t>
      </w:r>
      <w:r>
        <w:rPr>
          <w:noProof/>
        </w:rPr>
        <w:t>nsmission grid capacity in the short- to mid-term is unlikely to present a bottleneck, there would be a need for investment in additional cross-border capacity in the long run</w:t>
      </w:r>
      <w:r>
        <w:rPr>
          <w:rStyle w:val="FootnoteReference"/>
          <w:noProof/>
        </w:rPr>
        <w:footnoteReference w:id="114"/>
      </w:r>
      <w:r>
        <w:rPr>
          <w:noProof/>
        </w:rPr>
        <w:t>. In such a case, the TEN-E framework could add value by prioritizing such possi</w:t>
      </w:r>
      <w:r>
        <w:rPr>
          <w:noProof/>
        </w:rPr>
        <w:t>ble projects of cross-border relevance (even though it has to be added that in practice there have not been any projects thus far that would have aimed specifically at enabling cross-border renewable gas flows). A methane-heavy 2050 scenario involves highe</w:t>
      </w:r>
      <w:r>
        <w:rPr>
          <w:noProof/>
        </w:rPr>
        <w:t>r investment need in cross-border gas networks than a hydrogen-heavy scenario</w:t>
      </w:r>
      <w:r>
        <w:rPr>
          <w:rStyle w:val="FootnoteReference"/>
          <w:noProof/>
        </w:rPr>
        <w:footnoteReference w:id="115"/>
      </w:r>
      <w:r>
        <w:rPr>
          <w:noProof/>
        </w:rPr>
        <w:t>. However, the system-wide costs are also higher, since the production of carbon-free methane from hydrogen increases conversion losses and electricity consumption for the same a</w:t>
      </w:r>
      <w:r>
        <w:rPr>
          <w:noProof/>
        </w:rPr>
        <w:t>mount of energy.</w:t>
      </w:r>
      <w:r>
        <w:rPr>
          <w:rStyle w:val="FootnoteReference"/>
          <w:noProof/>
        </w:rPr>
        <w:t xml:space="preserve"> </w:t>
      </w:r>
      <w:r>
        <w:rPr>
          <w:rStyle w:val="FootnoteReference"/>
          <w:noProof/>
        </w:rPr>
        <w:footnoteReference w:id="116"/>
      </w:r>
      <w:r>
        <w:rPr>
          <w:noProof/>
        </w:rPr>
        <w:t xml:space="preserve"> It should be noted that the biomethane potential assumed by the study is higher than in the Commission’s impact assessment for the climate target plan</w:t>
      </w:r>
      <w:r>
        <w:rPr>
          <w:rStyle w:val="FootnoteReference"/>
          <w:noProof/>
        </w:rPr>
        <w:footnoteReference w:id="117"/>
      </w:r>
      <w:r>
        <w:rPr>
          <w:noProof/>
        </w:rPr>
        <w:t xml:space="preserve">, so the effect depends on those assumptions. </w:t>
      </w:r>
    </w:p>
    <w:p w:rsidR="00B60846" w:rsidRDefault="008069FF">
      <w:pPr>
        <w:rPr>
          <w:noProof/>
          <w:lang w:val="en-US"/>
        </w:rPr>
      </w:pPr>
      <w:r>
        <w:rPr>
          <w:noProof/>
        </w:rPr>
        <w:t>By contrast to biomethane, the blending</w:t>
      </w:r>
      <w:r>
        <w:rPr>
          <w:noProof/>
        </w:rPr>
        <w:t xml:space="preserve"> of hydrogen into the methane gas grid is much more complex and requires careful consideration. Hydrogen can also be directly injected into the natural gas (methane) grid – but only up to strict limits because hydrogen is a different molecule than methane.</w:t>
      </w:r>
      <w:r>
        <w:rPr>
          <w:noProof/>
        </w:rPr>
        <w:t xml:space="preserve"> </w:t>
      </w:r>
      <w:r>
        <w:rPr>
          <w:noProof/>
          <w:lang w:val="en-IE"/>
        </w:rPr>
        <w:t>Industry data show that nearly all network elements at both distribution and transmission level can handle up to 10% hydrogen (with the exception of compressor stations and some other equipment). Going beyond this limit usually requires adaptations.</w:t>
      </w:r>
      <w:r>
        <w:rPr>
          <w:rStyle w:val="FootnoteReference"/>
          <w:noProof/>
          <w:lang w:val="en-IE"/>
        </w:rPr>
        <w:footnoteReference w:id="118"/>
      </w:r>
      <w:r>
        <w:rPr>
          <w:noProof/>
          <w:lang w:val="en-IE"/>
        </w:rPr>
        <w:t xml:space="preserve"> Impo</w:t>
      </w:r>
      <w:r>
        <w:rPr>
          <w:noProof/>
          <w:lang w:val="en-IE"/>
        </w:rPr>
        <w:t xml:space="preserve">rtantly, </w:t>
      </w:r>
      <w:r>
        <w:rPr>
          <w:noProof/>
        </w:rPr>
        <w:t>blending changes gas quality and prevents the direct use of hydrogen in higher-value applications, such as industry and transport. Therefore, the main bottleneck for blending is not necessarily the transport infrastructure but the end-use applicat</w:t>
      </w:r>
      <w:r>
        <w:rPr>
          <w:noProof/>
        </w:rPr>
        <w:t>ions. While blending may be a relatively low-cost</w:t>
      </w:r>
      <w:r>
        <w:rPr>
          <w:rStyle w:val="FootnoteReference"/>
          <w:noProof/>
        </w:rPr>
        <w:footnoteReference w:id="119"/>
      </w:r>
      <w:r>
        <w:rPr>
          <w:noProof/>
        </w:rPr>
        <w:t xml:space="preserve"> solution in specific circumstances and could lay the ground for scaling up hydrogen use, hydrogen admixture levels beyond 20% would be impractical and have important implications for end users. A number of</w:t>
      </w:r>
      <w:r>
        <w:rPr>
          <w:noProof/>
        </w:rPr>
        <w:t xml:space="preserve"> EU countries do foresee a role for hydrogen blends during a transition period and see a need for EU level coordination to avoid creating barriers for cross-border gas flows</w:t>
      </w:r>
      <w:r>
        <w:rPr>
          <w:rStyle w:val="FootnoteReference"/>
          <w:noProof/>
        </w:rPr>
        <w:footnoteReference w:id="120"/>
      </w:r>
      <w:r>
        <w:rPr>
          <w:noProof/>
        </w:rPr>
        <w:t xml:space="preserve">. Such projects are unlikely to meet the existing cross-border criterion, as they </w:t>
      </w:r>
      <w:r>
        <w:rPr>
          <w:noProof/>
        </w:rPr>
        <w:t xml:space="preserve">are not directed at creating additional cross-border transmission capacity.  </w:t>
      </w:r>
      <w:r>
        <w:rPr>
          <w:noProof/>
          <w:lang w:val="en-IE"/>
        </w:rPr>
        <w:t>The risk of “greenwashing”, as discussed above, is particularly relevant for this sub-option, i.e. new infrastructure for renewable gases or retrofits for hydrogen blends, which a</w:t>
      </w:r>
      <w:r>
        <w:rPr>
          <w:noProof/>
          <w:lang w:val="en-IE"/>
        </w:rPr>
        <w:t>re intended to be used for renewable and low carbon gases but may in practice be used (predominantly or exclusively) for natural gas.</w:t>
      </w:r>
    </w:p>
    <w:p w:rsidR="00B60846" w:rsidRDefault="008069FF">
      <w:pPr>
        <w:rPr>
          <w:noProof/>
          <w:u w:val="single"/>
        </w:rPr>
      </w:pPr>
      <w:r>
        <w:rPr>
          <w:noProof/>
          <w:u w:val="single"/>
        </w:rPr>
        <w:t>Sub-option: Exceptions for natural gas PCIs at an advanced implementation stage</w:t>
      </w:r>
    </w:p>
    <w:p w:rsidR="00B60846" w:rsidRDefault="008069FF">
      <w:pPr>
        <w:rPr>
          <w:noProof/>
        </w:rPr>
      </w:pPr>
      <w:r>
        <w:rPr>
          <w:noProof/>
        </w:rPr>
        <w:t>New natural gas PCIs – beyond the most adv</w:t>
      </w:r>
      <w:r>
        <w:rPr>
          <w:noProof/>
        </w:rPr>
        <w:t>anced PCI projects on the 4</w:t>
      </w:r>
      <w:r>
        <w:rPr>
          <w:noProof/>
          <w:vertAlign w:val="superscript"/>
        </w:rPr>
        <w:t>th</w:t>
      </w:r>
      <w:r>
        <w:rPr>
          <w:noProof/>
        </w:rPr>
        <w:t xml:space="preserve"> PCI list – are unlikely to be needed for security of supply or market integration. </w:t>
      </w:r>
    </w:p>
    <w:p w:rsidR="00B60846" w:rsidRDefault="008069FF">
      <w:pPr>
        <w:rPr>
          <w:noProof/>
        </w:rPr>
      </w:pPr>
      <w:r>
        <w:rPr>
          <w:noProof/>
        </w:rPr>
        <w:t>If the revised TEN-E Regulation excludes natural gas infrastructure from the scope, all existing PCI projects – including the most advanced on</w:t>
      </w:r>
      <w:r>
        <w:rPr>
          <w:noProof/>
        </w:rPr>
        <w:t>es – would lose eligibility for PCI status. There might be expectations for special treatment for existing PCIs which are still not completed but which will have started construction by the time the first PCI list under the revised regulation enters into f</w:t>
      </w:r>
      <w:r>
        <w:rPr>
          <w:noProof/>
        </w:rPr>
        <w:t>orce or which will have already received CEF support by that time (as described in the policy option). The implementation of those projects should not be prevented or significantly delayed due to the loss of PCI status which would not affect signed grant a</w:t>
      </w:r>
      <w:r>
        <w:rPr>
          <w:noProof/>
        </w:rPr>
        <w:t>greements for CEF financial assistance.</w:t>
      </w:r>
    </w:p>
    <w:p w:rsidR="00B60846" w:rsidRDefault="008069FF">
      <w:pPr>
        <w:rPr>
          <w:noProof/>
        </w:rPr>
      </w:pPr>
      <w:r>
        <w:rPr>
          <w:noProof/>
        </w:rPr>
        <w:t>Based on the planned commissioning dates of the existing gas PCI projects on the 4</w:t>
      </w:r>
      <w:r>
        <w:rPr>
          <w:noProof/>
          <w:vertAlign w:val="superscript"/>
        </w:rPr>
        <w:t>th</w:t>
      </w:r>
      <w:r>
        <w:rPr>
          <w:noProof/>
        </w:rPr>
        <w:t xml:space="preserve"> PCI list, many are expected to be completed by the time when the first PCI list under the revised Regulation would be established</w:t>
      </w:r>
      <w:r>
        <w:rPr>
          <w:rStyle w:val="FootnoteReference"/>
          <w:noProof/>
        </w:rPr>
        <w:footnoteReference w:id="121"/>
      </w:r>
      <w:r>
        <w:rPr>
          <w:noProof/>
        </w:rPr>
        <w:t xml:space="preserve"> </w:t>
      </w:r>
      <w:r>
        <w:rPr>
          <w:noProof/>
        </w:rPr>
        <w:t>(provided there are no implementation delays). However, according to ACER monitoring data, there may still be up to 21 gas PCIs</w:t>
      </w:r>
      <w:r>
        <w:rPr>
          <w:rStyle w:val="FootnoteReference"/>
          <w:noProof/>
        </w:rPr>
        <w:footnoteReference w:id="122"/>
      </w:r>
      <w:r>
        <w:rPr>
          <w:noProof/>
        </w:rPr>
        <w:t xml:space="preserve"> from the current list that are presently less mature and may wish to apply for PCI status under the revised framework. Provided</w:t>
      </w:r>
      <w:r>
        <w:rPr>
          <w:noProof/>
        </w:rPr>
        <w:t xml:space="preserve"> these projects are advanced by then (according to the definition set out in the policy option), they could be captured by this possible exception.</w:t>
      </w:r>
    </w:p>
    <w:p w:rsidR="00B60846" w:rsidRDefault="008069FF">
      <w:pPr>
        <w:rPr>
          <w:noProof/>
        </w:rPr>
      </w:pPr>
      <w:r>
        <w:rPr>
          <w:noProof/>
        </w:rPr>
        <w:t>The projects that could benefit from the exception would already need to be well-advanced. For such projects</w:t>
      </w:r>
      <w:r>
        <w:rPr>
          <w:noProof/>
        </w:rPr>
        <w:t>, the loss of PCI status is unlikely to prevent or delay timely project implementation, as they will have either started construction or already secured funding, including through a CEF grant agreement. Therefore, only the implementation of less advanced g</w:t>
      </w:r>
      <w:r>
        <w:rPr>
          <w:noProof/>
        </w:rPr>
        <w:t>as projects (i.e. those that are only planned or still under permitting) would be affected by the loss of PCI status due to the change in the Regulation’s scope. However, these projects are unlikely to bring significant benefits according to the evaluation</w:t>
      </w:r>
      <w:r>
        <w:rPr>
          <w:noProof/>
        </w:rPr>
        <w:t xml:space="preserve"> report and other evidence presented in this impact assessment (see above).</w:t>
      </w:r>
    </w:p>
    <w:p w:rsidR="00B60846" w:rsidRDefault="008069FF">
      <w:pPr>
        <w:pStyle w:val="Heading3"/>
        <w:rPr>
          <w:noProof/>
        </w:rPr>
      </w:pPr>
      <w:bookmarkStart w:id="781" w:name="_Toc55155653"/>
      <w:bookmarkStart w:id="782" w:name="_Toc55290960"/>
      <w:bookmarkStart w:id="783" w:name="_Toc55296650"/>
      <w:bookmarkStart w:id="784" w:name="_Toc55496462"/>
      <w:r>
        <w:rPr>
          <w:noProof/>
        </w:rPr>
        <w:t>Projects of mutual interest</w:t>
      </w:r>
      <w:bookmarkEnd w:id="781"/>
      <w:bookmarkEnd w:id="782"/>
      <w:bookmarkEnd w:id="783"/>
      <w:bookmarkEnd w:id="784"/>
    </w:p>
    <w:p w:rsidR="00B60846" w:rsidRDefault="008069FF">
      <w:pPr>
        <w:rPr>
          <w:b/>
          <w:bCs/>
          <w:noProof/>
        </w:rPr>
      </w:pPr>
      <w:r>
        <w:rPr>
          <w:b/>
          <w:bCs/>
          <w:noProof/>
        </w:rPr>
        <w:t>Option A.5.0: Business as usual</w:t>
      </w:r>
    </w:p>
    <w:p w:rsidR="00B60846" w:rsidRDefault="008069FF">
      <w:pPr>
        <w:rPr>
          <w:i/>
          <w:iCs/>
          <w:noProof/>
        </w:rPr>
      </w:pPr>
      <w:r>
        <w:rPr>
          <w:noProof/>
        </w:rPr>
        <w:t>Projects, which are not able to demonstrate socio-economic benefits for at least two EU Member States, could be pursued relying on other policy instruments, in particular under the accession and neighbourhood policy, but would not benefit from the provisio</w:t>
      </w:r>
      <w:r>
        <w:rPr>
          <w:noProof/>
        </w:rPr>
        <w:t xml:space="preserve">ns of the TEN-E revision and would not have access to CEF financial assistance. </w:t>
      </w:r>
    </w:p>
    <w:p w:rsidR="00B60846" w:rsidRDefault="008069FF">
      <w:pPr>
        <w:rPr>
          <w:b/>
          <w:bCs/>
          <w:noProof/>
        </w:rPr>
      </w:pPr>
      <w:r>
        <w:rPr>
          <w:b/>
          <w:bCs/>
          <w:noProof/>
        </w:rPr>
        <w:t xml:space="preserve">Option A.5.1: Inclusion of PMIs under the TEN-E Regulation </w:t>
      </w:r>
    </w:p>
    <w:p w:rsidR="00B60846" w:rsidRDefault="008069FF">
      <w:pPr>
        <w:rPr>
          <w:i/>
          <w:noProof/>
        </w:rPr>
      </w:pPr>
      <w:r>
        <w:rPr>
          <w:i/>
          <w:noProof/>
        </w:rPr>
        <w:t>Socio-economic impacts</w:t>
      </w:r>
    </w:p>
    <w:p w:rsidR="00B60846" w:rsidRDefault="008069FF">
      <w:pPr>
        <w:rPr>
          <w:noProof/>
        </w:rPr>
      </w:pPr>
      <w:r>
        <w:rPr>
          <w:noProof/>
        </w:rPr>
        <w:t>The inclusion of PMIs in the TEN-E framework would enable the identification of additional p</w:t>
      </w:r>
      <w:r>
        <w:rPr>
          <w:noProof/>
        </w:rPr>
        <w:t>rojects that demonstrate significant net socio-economic benefits, e.g. in terms of enhancing security of supply and/or contributing to higher share of renewables in the EU and in the neighbouring countries. The requirement from an involved third country th</w:t>
      </w:r>
      <w:r>
        <w:rPr>
          <w:noProof/>
        </w:rPr>
        <w:t>at a priority status under the TEN-E is conditioned to project specific regulatory approximation with the EU in terms of internal energy market  policies can provide socio-economic benefits by extending the pro-competitive impact of the EU’s internal marke</w:t>
      </w:r>
      <w:r>
        <w:rPr>
          <w:noProof/>
        </w:rPr>
        <w:t>t rules to infrastructure connecting the internal market with third countries, including avoidance of distortion of competition.</w:t>
      </w:r>
    </w:p>
    <w:p w:rsidR="00B60846" w:rsidRDefault="008069FF">
      <w:pPr>
        <w:rPr>
          <w:i/>
          <w:noProof/>
        </w:rPr>
      </w:pPr>
      <w:r>
        <w:rPr>
          <w:i/>
          <w:noProof/>
        </w:rPr>
        <w:t>Environmental impacts</w:t>
      </w:r>
    </w:p>
    <w:p w:rsidR="00B60846" w:rsidRDefault="008069FF">
      <w:pPr>
        <w:rPr>
          <w:noProof/>
        </w:rPr>
      </w:pPr>
      <w:r>
        <w:rPr>
          <w:noProof/>
        </w:rPr>
        <w:t xml:space="preserve">The inclusion of PMIs under the TEN-E framework would be conditional on the infrastructure projects </w:t>
      </w:r>
      <w:r>
        <w:rPr>
          <w:noProof/>
        </w:rPr>
        <w:t xml:space="preserve">beyond the EU territory, often in EU’s immediate neighbourhood, being aligned with the EU’s energy and climate objectives. In order for the project to benefit from priority status under the TEN-E, there would be a requirement on the involved third country </w:t>
      </w:r>
      <w:r>
        <w:rPr>
          <w:noProof/>
        </w:rPr>
        <w:t>for approximation with the EU also in terms of sustainability, environmental and climate policies, which could contribute to the achievement of the decarbonisation objectives beyond the EU’s border while limiting the risk of carbon leakage.</w:t>
      </w:r>
    </w:p>
    <w:p w:rsidR="00B60846" w:rsidRDefault="008069FF">
      <w:pPr>
        <w:rPr>
          <w:i/>
          <w:noProof/>
        </w:rPr>
      </w:pPr>
      <w:r>
        <w:rPr>
          <w:i/>
          <w:noProof/>
        </w:rPr>
        <w:t xml:space="preserve">Administrative </w:t>
      </w:r>
      <w:r>
        <w:rPr>
          <w:i/>
          <w:noProof/>
        </w:rPr>
        <w:t>burden</w:t>
      </w:r>
    </w:p>
    <w:p w:rsidR="00B60846" w:rsidRDefault="008069FF">
      <w:pPr>
        <w:rPr>
          <w:noProof/>
        </w:rPr>
      </w:pPr>
      <w:r>
        <w:rPr>
          <w:noProof/>
        </w:rPr>
        <w:t>Building on the current governance model of the TEN-E and PCI process which already foresees the participation of stakeholders from third countries (like project promoters, energy regulatory agencies, ministries, and NGOs), there would be very limit</w:t>
      </w:r>
      <w:r>
        <w:rPr>
          <w:noProof/>
        </w:rPr>
        <w:t>ed adjustments needed. The requirement of regulatory alignment concerning different EU policies from third countries which have not adopted the EU acquis yet (i.e. those which are not signatories of the Energy Community Treaty), would require the establish</w:t>
      </w:r>
      <w:r>
        <w:rPr>
          <w:noProof/>
        </w:rPr>
        <w:t>ment of procedures for monitoring and enforcing these particular provisions vis-à-vis the concerned third countries. The administrative burden would depend on the number and specificities of the projects and countries involved.</w:t>
      </w:r>
    </w:p>
    <w:p w:rsidR="00B60846" w:rsidRDefault="008069FF">
      <w:pPr>
        <w:pStyle w:val="Heading2"/>
        <w:ind w:left="1287" w:hanging="578"/>
        <w:rPr>
          <w:noProof/>
        </w:rPr>
      </w:pPr>
      <w:bookmarkStart w:id="785" w:name="_Toc50028485"/>
      <w:bookmarkStart w:id="786" w:name="_Toc50056980"/>
      <w:bookmarkStart w:id="787" w:name="_Toc50063607"/>
      <w:bookmarkStart w:id="788" w:name="_Toc50366594"/>
      <w:bookmarkStart w:id="789" w:name="_Toc50573906"/>
      <w:bookmarkStart w:id="790" w:name="_Toc50581889"/>
      <w:bookmarkStart w:id="791" w:name="_Toc50582672"/>
      <w:bookmarkStart w:id="792" w:name="_Toc51022082"/>
      <w:bookmarkStart w:id="793" w:name="_Toc51168562"/>
      <w:bookmarkStart w:id="794" w:name="_Toc51169051"/>
      <w:bookmarkStart w:id="795" w:name="_Toc51231545"/>
      <w:bookmarkStart w:id="796" w:name="_Toc51235481"/>
      <w:bookmarkStart w:id="797" w:name="_Toc51237271"/>
      <w:bookmarkStart w:id="798" w:name="_Toc51238656"/>
      <w:bookmarkStart w:id="799" w:name="_Toc51239381"/>
      <w:bookmarkStart w:id="800" w:name="_Toc51245164"/>
      <w:bookmarkStart w:id="801" w:name="_Toc51268911"/>
      <w:bookmarkStart w:id="802" w:name="_Toc51788293"/>
      <w:bookmarkStart w:id="803" w:name="_Toc51791831"/>
      <w:bookmarkStart w:id="804" w:name="_Toc51793263"/>
      <w:bookmarkStart w:id="805" w:name="_Toc55496463"/>
      <w:r>
        <w:rPr>
          <w:noProof/>
        </w:rPr>
        <w:t xml:space="preserve">Governance / Infrastructure </w:t>
      </w:r>
      <w:r>
        <w:rPr>
          <w:noProof/>
        </w:rPr>
        <w:t>planning</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rsidR="00B60846" w:rsidRDefault="008069FF">
      <w:pPr>
        <w:pStyle w:val="Heading3"/>
        <w:rPr>
          <w:noProof/>
        </w:rPr>
      </w:pPr>
      <w:bookmarkStart w:id="806" w:name="_Toc50028486"/>
      <w:bookmarkStart w:id="807" w:name="_Toc50056981"/>
      <w:bookmarkStart w:id="808" w:name="_Toc50063608"/>
      <w:bookmarkStart w:id="809" w:name="_Toc50366595"/>
      <w:bookmarkStart w:id="810" w:name="_Toc50573907"/>
      <w:bookmarkStart w:id="811" w:name="_Toc50581890"/>
      <w:bookmarkStart w:id="812" w:name="_Toc50582673"/>
      <w:bookmarkStart w:id="813" w:name="_Toc51022083"/>
      <w:bookmarkStart w:id="814" w:name="_Toc51168563"/>
      <w:bookmarkStart w:id="815" w:name="_Toc51169052"/>
      <w:bookmarkStart w:id="816" w:name="_Toc51231546"/>
      <w:bookmarkStart w:id="817" w:name="_Toc51235482"/>
      <w:bookmarkStart w:id="818" w:name="_Toc51237272"/>
      <w:bookmarkStart w:id="819" w:name="_Toc51238657"/>
      <w:bookmarkStart w:id="820" w:name="_Toc51239382"/>
      <w:bookmarkStart w:id="821" w:name="_Toc51245165"/>
      <w:bookmarkStart w:id="822" w:name="_Toc51268805"/>
      <w:bookmarkStart w:id="823" w:name="_Toc51268912"/>
      <w:bookmarkStart w:id="824" w:name="_Toc51350395"/>
      <w:bookmarkStart w:id="825" w:name="_Toc51760926"/>
      <w:bookmarkStart w:id="826" w:name="_Toc51784847"/>
      <w:bookmarkStart w:id="827" w:name="_Toc51788294"/>
      <w:bookmarkStart w:id="828" w:name="_Toc51791832"/>
      <w:bookmarkStart w:id="829" w:name="_Toc51793264"/>
      <w:bookmarkStart w:id="830" w:name="_Toc51879078"/>
      <w:bookmarkStart w:id="831" w:name="_Toc55155655"/>
      <w:bookmarkStart w:id="832" w:name="_Toc55290962"/>
      <w:bookmarkStart w:id="833" w:name="_Toc55296652"/>
      <w:bookmarkStart w:id="834" w:name="_Toc55496464"/>
      <w:bookmarkEnd w:id="806"/>
      <w:bookmarkEnd w:id="807"/>
      <w:bookmarkEnd w:id="808"/>
      <w:bookmarkEnd w:id="809"/>
      <w:r>
        <w:rPr>
          <w:noProof/>
        </w:rPr>
        <w:t>Offshore grids for renewable energy</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rsidR="00B60846" w:rsidRDefault="008069FF">
      <w:pPr>
        <w:rPr>
          <w:b/>
          <w:noProof/>
        </w:rPr>
      </w:pPr>
      <w:r>
        <w:rPr>
          <w:b/>
          <w:bCs/>
          <w:noProof/>
        </w:rPr>
        <w:t xml:space="preserve">Option B.1.0: Business as usual </w:t>
      </w:r>
    </w:p>
    <w:p w:rsidR="00B60846" w:rsidRDefault="008069FF">
      <w:pPr>
        <w:rPr>
          <w:i/>
          <w:noProof/>
        </w:rPr>
      </w:pPr>
      <w:r>
        <w:rPr>
          <w:i/>
          <w:noProof/>
        </w:rPr>
        <w:t>Environmental impacts</w:t>
      </w:r>
    </w:p>
    <w:p w:rsidR="00B60846" w:rsidRDefault="008069FF">
      <w:pPr>
        <w:rPr>
          <w:noProof/>
        </w:rPr>
      </w:pPr>
      <w:r>
        <w:rPr>
          <w:noProof/>
        </w:rPr>
        <w:t>Despite the initiatives that will create more ambition on offshore renewable energy, the continuation of the current framework would not change the incremen</w:t>
      </w:r>
      <w:r>
        <w:rPr>
          <w:noProof/>
        </w:rPr>
        <w:t>tal progress in developing the necessary offshore grid infrastructure. While this would reduce the impact on maritime space, the required greenhouse gas emissions to reach climate neutrality by 2050 could not be achieved.</w:t>
      </w:r>
    </w:p>
    <w:p w:rsidR="00B60846" w:rsidRDefault="008069FF">
      <w:pPr>
        <w:rPr>
          <w:i/>
          <w:noProof/>
        </w:rPr>
      </w:pPr>
      <w:r>
        <w:rPr>
          <w:i/>
          <w:noProof/>
        </w:rPr>
        <w:t>Socio-economic impacts</w:t>
      </w:r>
    </w:p>
    <w:p w:rsidR="00B60846" w:rsidRDefault="008069FF">
      <w:pPr>
        <w:rPr>
          <w:noProof/>
        </w:rPr>
      </w:pPr>
      <w:r>
        <w:rPr>
          <w:noProof/>
        </w:rPr>
        <w:t>There would</w:t>
      </w:r>
      <w:r>
        <w:rPr>
          <w:noProof/>
        </w:rPr>
        <w:t xml:space="preserve"> be significant costs of delays and lack of leveraging the infrastructure investments needed to meet the 2050 energy and climate objectives, which is a prerequisite for a significant upscale of offshore wind energy in Europe. The European industry would lo</w:t>
      </w:r>
      <w:r>
        <w:rPr>
          <w:noProof/>
        </w:rPr>
        <w:t>se its technology leadership in an important future technology market and not exploit the jobs and growth potential in this sector.</w:t>
      </w:r>
    </w:p>
    <w:p w:rsidR="00B60846" w:rsidRDefault="008069FF">
      <w:pPr>
        <w:rPr>
          <w:b/>
          <w:bCs/>
          <w:noProof/>
        </w:rPr>
      </w:pPr>
      <w:r>
        <w:rPr>
          <w:b/>
          <w:bCs/>
          <w:noProof/>
        </w:rPr>
        <w:t>Option B.1.1: Integrated offshore development plans</w:t>
      </w:r>
    </w:p>
    <w:p w:rsidR="00B60846" w:rsidRDefault="008069FF">
      <w:pPr>
        <w:pStyle w:val="Subtitle"/>
        <w:rPr>
          <w:noProof/>
        </w:rPr>
      </w:pPr>
      <w:r>
        <w:rPr>
          <w:noProof/>
        </w:rPr>
        <w:t>Environmental impacts</w:t>
      </w:r>
    </w:p>
    <w:p w:rsidR="00B60846" w:rsidRDefault="008069FF">
      <w:pPr>
        <w:rPr>
          <w:noProof/>
        </w:rPr>
      </w:pPr>
      <w:r>
        <w:rPr>
          <w:noProof/>
        </w:rPr>
        <w:t>An optimised offshore grid would result in two key</w:t>
      </w:r>
      <w:r>
        <w:rPr>
          <w:noProof/>
        </w:rPr>
        <w:t xml:space="preserve"> environmental benefits: first, it would enable the integration of a significant amount of renewable electricity from offshore renewable energy sources into the European power grid and, secondly, the consideration, from the initial stage, of the maritime s</w:t>
      </w:r>
      <w:r>
        <w:rPr>
          <w:noProof/>
        </w:rPr>
        <w:t xml:space="preserve">patial plans and environmental aspects within the infrastructure planning will allow minimising the environmental impact of the future offshore infrastructure. </w:t>
      </w:r>
    </w:p>
    <w:p w:rsidR="00B60846" w:rsidRDefault="008069FF">
      <w:pPr>
        <w:rPr>
          <w:noProof/>
        </w:rPr>
      </w:pPr>
      <w:r>
        <w:rPr>
          <w:noProof/>
        </w:rPr>
        <w:t>The potential greenhouse gas emission reductions from the development of offshore renewable ene</w:t>
      </w:r>
      <w:r>
        <w:rPr>
          <w:noProof/>
        </w:rPr>
        <w:t xml:space="preserve">rgy, and related infrastructure, have not been quantified yet. However, given the expected deployment the emissions reductions can be considered significant in a mid-term perspective. These would depend on the actual deployment rate and the greenhouse gas </w:t>
      </w:r>
      <w:r>
        <w:rPr>
          <w:noProof/>
        </w:rPr>
        <w:t>intensity of the electricity it replaces. This is influenced by various factors including demand and supply patterns, price sensitivities, localisations, grid congestions. It is expected that the coordinated and optimised grid planning at regional level wo</w:t>
      </w:r>
      <w:r>
        <w:rPr>
          <w:noProof/>
        </w:rPr>
        <w:t>uld reduce the need for landing points. This would have a direct positive environmental impact.</w:t>
      </w:r>
    </w:p>
    <w:p w:rsidR="00B60846" w:rsidRDefault="008069FF">
      <w:pPr>
        <w:pStyle w:val="Subtitle"/>
        <w:rPr>
          <w:noProof/>
        </w:rPr>
      </w:pPr>
      <w:r>
        <w:rPr>
          <w:noProof/>
        </w:rPr>
        <w:t>Economic impacts</w:t>
      </w:r>
    </w:p>
    <w:p w:rsidR="00B60846" w:rsidRDefault="008069FF">
      <w:pPr>
        <w:rPr>
          <w:noProof/>
        </w:rPr>
      </w:pPr>
      <w:r>
        <w:rPr>
          <w:noProof/>
        </w:rPr>
        <w:t>An efficient market framework and optimised offshore grid planning is likely to bring a higher overall social welfare than the current trajecto</w:t>
      </w:r>
      <w:r>
        <w:rPr>
          <w:noProof/>
        </w:rPr>
        <w:t xml:space="preserve">ry. In 2019, a Commission study on hybrid projects in the North Seas by Roland Berger shows possible cost savings of about 10 percent, which would be equivalent to between EUR 300 million and EUR 2500 million for five projects alone, depending of the size </w:t>
      </w:r>
      <w:r>
        <w:rPr>
          <w:noProof/>
        </w:rPr>
        <w:t>of the comparable conventional projects</w:t>
      </w:r>
      <w:r>
        <w:rPr>
          <w:rStyle w:val="FootnoteReference"/>
          <w:noProof/>
        </w:rPr>
        <w:footnoteReference w:id="123"/>
      </w:r>
      <w:r>
        <w:rPr>
          <w:noProof/>
        </w:rPr>
        <w:t xml:space="preserve">. </w:t>
      </w:r>
    </w:p>
    <w:p w:rsidR="00B60846" w:rsidRDefault="008069FF">
      <w:pPr>
        <w:rPr>
          <w:noProof/>
        </w:rPr>
      </w:pPr>
      <w:r>
        <w:rPr>
          <w:noProof/>
        </w:rPr>
        <w:t xml:space="preserve">According to ENTSO-E, holistic planning and coordination of development of on- and offshore transmission systems is a requirement to ensure timely development and low cost for the end consumer concerning offshore </w:t>
      </w:r>
      <w:r>
        <w:rPr>
          <w:noProof/>
        </w:rPr>
        <w:t>grids. Such an approach would limit the expected increase in grid expansion costs for offshore network developments. It would also help to shorten the time required for offshore grid development and hence to keep pace with the shorter lead times for the de</w:t>
      </w:r>
      <w:r>
        <w:rPr>
          <w:noProof/>
        </w:rPr>
        <w:t>ployment of offshore wind.</w:t>
      </w:r>
      <w:r>
        <w:rPr>
          <w:rStyle w:val="FootnoteReference"/>
          <w:noProof/>
        </w:rPr>
        <w:footnoteReference w:id="124"/>
      </w:r>
      <w:r>
        <w:rPr>
          <w:noProof/>
        </w:rPr>
        <w:t xml:space="preserve"> </w:t>
      </w:r>
    </w:p>
    <w:p w:rsidR="00B60846" w:rsidRDefault="008069FF">
      <w:pPr>
        <w:rPr>
          <w:noProof/>
        </w:rPr>
      </w:pPr>
      <w:r>
        <w:rPr>
          <w:noProof/>
        </w:rPr>
        <w:t>The establishment of an enabling grid planning framework for offshore grids would open up a significant market for the renewable energy industry, in particular in Europe, and partially compensate for the slowdown in renewable d</w:t>
      </w:r>
      <w:r>
        <w:rPr>
          <w:noProof/>
        </w:rPr>
        <w:t>evelopment onshore in some regions in Europe. This could have significant positive impacts on turnover and employment by contributing to maintain Europe’s technological leadership in this area.</w:t>
      </w:r>
    </w:p>
    <w:p w:rsidR="00B60846" w:rsidRDefault="008069FF">
      <w:pPr>
        <w:rPr>
          <w:i/>
          <w:noProof/>
        </w:rPr>
      </w:pPr>
      <w:r>
        <w:rPr>
          <w:i/>
          <w:iCs/>
          <w:noProof/>
        </w:rPr>
        <w:t>Social impacts</w:t>
      </w:r>
    </w:p>
    <w:p w:rsidR="00B60846" w:rsidRDefault="008069FF">
      <w:pPr>
        <w:rPr>
          <w:noProof/>
          <w:lang w:eastAsia="en-GB"/>
        </w:rPr>
      </w:pPr>
      <w:r>
        <w:rPr>
          <w:noProof/>
        </w:rPr>
        <w:t>It is expected that the expansion of offshore r</w:t>
      </w:r>
      <w:r>
        <w:rPr>
          <w:noProof/>
        </w:rPr>
        <w:t>enewable energy could have a positive effect on employment across the EU. For instance, based on industry estimates, 77,000 people work in offshore wind in Europe today and this is expected to increase to more than 200,000 if the commitments for offshore w</w:t>
      </w:r>
      <w:r>
        <w:rPr>
          <w:noProof/>
        </w:rPr>
        <w:t>ind expansion such as in the NECPs are met</w:t>
      </w:r>
      <w:r>
        <w:rPr>
          <w:rStyle w:val="FootnoteReference"/>
          <w:noProof/>
          <w:lang w:eastAsia="en-GB"/>
        </w:rPr>
        <w:footnoteReference w:id="125"/>
      </w:r>
      <w:r>
        <w:rPr>
          <w:noProof/>
        </w:rPr>
        <w:t>. A</w:t>
      </w:r>
      <w:r>
        <w:rPr>
          <w:noProof/>
          <w:lang w:eastAsia="en-GB"/>
        </w:rPr>
        <w:t xml:space="preserve">ccording to the </w:t>
      </w:r>
      <w:r>
        <w:rPr>
          <w:noProof/>
        </w:rPr>
        <w:t>European Technology and Innovation Platform for Ocean Energy (ETIP Ocean</w:t>
      </w:r>
      <w:r>
        <w:rPr>
          <w:rStyle w:val="FootnoteReference"/>
          <w:noProof/>
        </w:rPr>
        <w:footnoteReference w:id="126"/>
      </w:r>
      <w:r>
        <w:rPr>
          <w:noProof/>
        </w:rPr>
        <w:t>)</w:t>
      </w:r>
      <w:r>
        <w:rPr>
          <w:noProof/>
          <w:lang w:eastAsia="en-GB"/>
        </w:rPr>
        <w:t>, with a clear development strategy and by creating the right policy conditions, 400,000 jobs could be created in the EU</w:t>
      </w:r>
      <w:r>
        <w:rPr>
          <w:noProof/>
          <w:lang w:eastAsia="en-GB"/>
        </w:rPr>
        <w:t xml:space="preserve"> by 2050 in the ocean energy sector (e.g. wave, tidal, floating solar).</w:t>
      </w:r>
      <w:r>
        <w:rPr>
          <w:noProof/>
        </w:rPr>
        <w:t xml:space="preserve">  </w:t>
      </w:r>
    </w:p>
    <w:p w:rsidR="00B60846" w:rsidRDefault="008069FF">
      <w:pPr>
        <w:rPr>
          <w:noProof/>
        </w:rPr>
      </w:pPr>
      <w:r>
        <w:rPr>
          <w:noProof/>
        </w:rPr>
        <w:t>Large TSO investments in offshore grids can lead to a tariff increase, to the detriment of consumers. That is why an appropriate cost-benefit cost allocation is key to stimulate thes</w:t>
      </w:r>
      <w:r>
        <w:rPr>
          <w:noProof/>
        </w:rPr>
        <w:t>e investments in the most efficient way (see policy option D.1.1).</w:t>
      </w:r>
    </w:p>
    <w:p w:rsidR="00B60846" w:rsidRDefault="008069FF">
      <w:pPr>
        <w:rPr>
          <w:i/>
          <w:noProof/>
        </w:rPr>
      </w:pPr>
      <w:r>
        <w:rPr>
          <w:i/>
          <w:noProof/>
        </w:rPr>
        <w:t>Administrative burden</w:t>
      </w:r>
    </w:p>
    <w:p w:rsidR="00B60846" w:rsidRDefault="008069FF">
      <w:pPr>
        <w:rPr>
          <w:noProof/>
        </w:rPr>
      </w:pPr>
      <w:r>
        <w:rPr>
          <w:noProof/>
        </w:rPr>
        <w:t xml:space="preserve">The option would build on ENTSOs’ existing capabilities on network planning and the resource implications are considered limited for ENTSOs and TSOs. It would require </w:t>
      </w:r>
      <w:r>
        <w:rPr>
          <w:noProof/>
        </w:rPr>
        <w:t>participation in regional group meetings, data collection.</w:t>
      </w:r>
    </w:p>
    <w:p w:rsidR="00B60846" w:rsidRDefault="008069FF">
      <w:pPr>
        <w:rPr>
          <w:noProof/>
        </w:rPr>
      </w:pPr>
      <w:r>
        <w:rPr>
          <w:b/>
          <w:bCs/>
          <w:noProof/>
        </w:rPr>
        <w:t>Option B.1.2: Regional Independent System Operator / Joint Undertaking</w:t>
      </w:r>
    </w:p>
    <w:p w:rsidR="00B60846" w:rsidRDefault="008069FF">
      <w:pPr>
        <w:pStyle w:val="Subtitle"/>
        <w:rPr>
          <w:rFonts w:eastAsia="Times New Roman"/>
          <w:i w:val="0"/>
          <w:noProof/>
          <w:color w:val="auto"/>
        </w:rPr>
      </w:pPr>
      <w:r>
        <w:rPr>
          <w:rFonts w:eastAsia="Times New Roman"/>
          <w:i w:val="0"/>
          <w:iCs w:val="0"/>
          <w:noProof/>
          <w:color w:val="auto"/>
        </w:rPr>
        <w:t xml:space="preserve">While the </w:t>
      </w:r>
      <w:r>
        <w:rPr>
          <w:rFonts w:eastAsia="Times New Roman"/>
          <w:noProof/>
          <w:color w:val="auto"/>
        </w:rPr>
        <w:t>environmental, economic and social impact</w:t>
      </w:r>
      <w:r>
        <w:rPr>
          <w:rFonts w:eastAsia="Times New Roman"/>
          <w:i w:val="0"/>
          <w:iCs w:val="0"/>
          <w:noProof/>
          <w:color w:val="auto"/>
        </w:rPr>
        <w:t xml:space="preserve"> are expected to be similar as under option B.1.2, there would be an initia</w:t>
      </w:r>
      <w:r>
        <w:rPr>
          <w:rFonts w:eastAsia="Times New Roman"/>
          <w:i w:val="0"/>
          <w:iCs w:val="0"/>
          <w:noProof/>
          <w:color w:val="auto"/>
        </w:rPr>
        <w:t xml:space="preserve">l </w:t>
      </w:r>
      <w:r>
        <w:rPr>
          <w:rFonts w:eastAsia="Times New Roman"/>
          <w:noProof/>
          <w:color w:val="auto"/>
        </w:rPr>
        <w:t>administrative burden</w:t>
      </w:r>
      <w:r>
        <w:rPr>
          <w:rFonts w:eastAsia="Times New Roman"/>
          <w:i w:val="0"/>
          <w:iCs w:val="0"/>
          <w:noProof/>
          <w:color w:val="auto"/>
        </w:rPr>
        <w:t xml:space="preserve"> in setting up a new entity in the form of Regional Independent System operator or a Joint Undertaking either per regional priority corridors or sea basins. When established, this entity could reduce some of the administrative burden</w:t>
      </w:r>
      <w:r>
        <w:rPr>
          <w:rFonts w:eastAsia="Times New Roman"/>
          <w:i w:val="0"/>
          <w:iCs w:val="0"/>
          <w:noProof/>
          <w:color w:val="auto"/>
        </w:rPr>
        <w:t xml:space="preserve"> related to planning for the Commission, TSOs and Member States as the entity would take on the responsibility for developing the offshore gird. In addition to the resources for the administrative tasks, the entity would need the necessary network modellin</w:t>
      </w:r>
      <w:r>
        <w:rPr>
          <w:rFonts w:eastAsia="Times New Roman"/>
          <w:i w:val="0"/>
          <w:iCs w:val="0"/>
          <w:noProof/>
          <w:color w:val="auto"/>
        </w:rPr>
        <w:t>g capabilities with significant additional costs.</w:t>
      </w:r>
    </w:p>
    <w:p w:rsidR="00B60846" w:rsidRDefault="008069FF">
      <w:pPr>
        <w:rPr>
          <w:noProof/>
        </w:rPr>
      </w:pPr>
      <w:r>
        <w:rPr>
          <w:noProof/>
        </w:rPr>
        <w:t>This option would have significant impacts on all actors involved in the offshore planning. The Regional Independent System operator or Joint Undertaking bodies would not only be responsible for the plannin</w:t>
      </w:r>
      <w:r>
        <w:rPr>
          <w:noProof/>
        </w:rPr>
        <w:t>g of the offshore infrastructure but it would also decide on the costs to be allocated to each Member State. Member States, TSOs, and NRAs would lose influence in this process. This is also likely to result in higher transaction costs and the risk of non-s</w:t>
      </w:r>
      <w:r>
        <w:rPr>
          <w:noProof/>
        </w:rPr>
        <w:t xml:space="preserve">ynchronised planning due to split responsibilities for the offshore and onshore infrastructure planning. </w:t>
      </w:r>
    </w:p>
    <w:p w:rsidR="00B60846" w:rsidRDefault="008069FF">
      <w:pPr>
        <w:rPr>
          <w:noProof/>
          <w:lang w:val="en-IE"/>
        </w:rPr>
      </w:pPr>
      <w:r>
        <w:rPr>
          <w:noProof/>
        </w:rPr>
        <w:t xml:space="preserve">While </w:t>
      </w:r>
      <w:r>
        <w:rPr>
          <w:noProof/>
          <w:lang w:val="en-IE"/>
        </w:rPr>
        <w:t>the role of ENTSOs and TSOs would be significantly weakened for the offshore planning, they would remain the main information providers. This ma</w:t>
      </w:r>
      <w:r>
        <w:rPr>
          <w:noProof/>
          <w:lang w:val="en-IE"/>
        </w:rPr>
        <w:t xml:space="preserve">y result in decreased interest in cooperation between the TSOs on the planning level, and possibly in decreased data accuracy and sharing. Given the institutional changes, setting up a Regional Independent System operator or Joint Undertaking bodies would </w:t>
      </w:r>
      <w:r>
        <w:rPr>
          <w:noProof/>
          <w:lang w:val="en-IE"/>
        </w:rPr>
        <w:t>require a rather long lead time also because there is no equivalent body in place that could be used as best practice.</w:t>
      </w:r>
    </w:p>
    <w:p w:rsidR="00B60846" w:rsidRDefault="008069FF">
      <w:pPr>
        <w:pStyle w:val="Heading3"/>
        <w:rPr>
          <w:noProof/>
        </w:rPr>
      </w:pPr>
      <w:bookmarkStart w:id="835" w:name="_Toc49351347"/>
      <w:bookmarkStart w:id="836" w:name="_Toc49357740"/>
      <w:bookmarkStart w:id="837" w:name="_Toc49359418"/>
      <w:bookmarkStart w:id="838" w:name="_Toc49359753"/>
      <w:bookmarkStart w:id="839" w:name="_Toc49507997"/>
      <w:bookmarkStart w:id="840" w:name="_Toc49508441"/>
      <w:bookmarkStart w:id="841" w:name="_Toc49512352"/>
      <w:bookmarkStart w:id="842" w:name="_Toc49514236"/>
      <w:bookmarkStart w:id="843" w:name="_Toc49516471"/>
      <w:bookmarkStart w:id="844" w:name="_Toc50028487"/>
      <w:bookmarkStart w:id="845" w:name="_Toc50056982"/>
      <w:bookmarkStart w:id="846" w:name="_Toc50063609"/>
      <w:bookmarkStart w:id="847" w:name="_Toc50366596"/>
      <w:bookmarkStart w:id="848" w:name="_Ref50495623"/>
      <w:bookmarkStart w:id="849" w:name="_Ref50497145"/>
      <w:bookmarkStart w:id="850" w:name="_Toc50573908"/>
      <w:bookmarkStart w:id="851" w:name="_Toc50581891"/>
      <w:bookmarkStart w:id="852" w:name="_Toc50582674"/>
      <w:bookmarkStart w:id="853" w:name="_Toc51022084"/>
      <w:bookmarkStart w:id="854" w:name="_Toc51168564"/>
      <w:bookmarkStart w:id="855" w:name="_Toc51169053"/>
      <w:bookmarkStart w:id="856" w:name="_Toc51231547"/>
      <w:bookmarkStart w:id="857" w:name="_Toc51235483"/>
      <w:bookmarkStart w:id="858" w:name="_Toc51237273"/>
      <w:bookmarkStart w:id="859" w:name="_Toc51238658"/>
      <w:bookmarkStart w:id="860" w:name="_Toc51239383"/>
      <w:bookmarkStart w:id="861" w:name="_Toc51245166"/>
      <w:bookmarkStart w:id="862" w:name="_Toc51268806"/>
      <w:bookmarkStart w:id="863" w:name="_Toc51268913"/>
      <w:bookmarkStart w:id="864" w:name="_Toc51350396"/>
      <w:bookmarkStart w:id="865" w:name="_Toc51760927"/>
      <w:bookmarkStart w:id="866" w:name="_Toc51784848"/>
      <w:bookmarkStart w:id="867" w:name="_Toc51788295"/>
      <w:bookmarkStart w:id="868" w:name="_Toc51791833"/>
      <w:bookmarkStart w:id="869" w:name="_Toc51793265"/>
      <w:bookmarkStart w:id="870" w:name="_Toc51879079"/>
      <w:bookmarkStart w:id="871" w:name="_Toc55155656"/>
      <w:bookmarkStart w:id="872" w:name="_Toc55290963"/>
      <w:bookmarkStart w:id="873" w:name="_Toc55296653"/>
      <w:bookmarkStart w:id="874" w:name="_Toc55496465"/>
      <w:r>
        <w:rPr>
          <w:noProof/>
        </w:rPr>
        <w:t>Cross-sectoral infrastructure planning</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rsidR="00B60846" w:rsidRDefault="008069FF">
      <w:pPr>
        <w:rPr>
          <w:b/>
          <w:bCs/>
          <w:noProof/>
        </w:rPr>
      </w:pPr>
      <w:r>
        <w:rPr>
          <w:b/>
          <w:bCs/>
          <w:noProof/>
        </w:rPr>
        <w:t>Option B.2.0: Business as usual</w:t>
      </w:r>
    </w:p>
    <w:p w:rsidR="00B60846" w:rsidRDefault="008069FF">
      <w:pPr>
        <w:pStyle w:val="Subtitle"/>
        <w:rPr>
          <w:noProof/>
        </w:rPr>
      </w:pPr>
      <w:r>
        <w:rPr>
          <w:noProof/>
        </w:rPr>
        <w:t>Environmental and economic impacts</w:t>
      </w:r>
    </w:p>
    <w:p w:rsidR="00B60846" w:rsidRDefault="008069FF">
      <w:pPr>
        <w:rPr>
          <w:noProof/>
        </w:rPr>
      </w:pPr>
      <w:r>
        <w:rPr>
          <w:noProof/>
        </w:rPr>
        <w:t xml:space="preserve">While the scenarios and system </w:t>
      </w:r>
      <w:r>
        <w:rPr>
          <w:noProof/>
        </w:rPr>
        <w:t xml:space="preserve">needs assessments that underpin the TYNDP and the PCI selection process, as carried out by the ENTSOs, are based on DG ENER scenarios and reflect the 2050 climate-neutrality objectives and relevant policy initiatives, the trajectories chosen may favour in </w:t>
      </w:r>
      <w:r>
        <w:rPr>
          <w:noProof/>
        </w:rPr>
        <w:t>particular high levels of gas demand and  result in estimations of flows for the different energy carriers that favour the construction of more infrastructure than is actually required for achieving the 2050 carbon-neutrality objective.</w:t>
      </w:r>
      <w:r>
        <w:rPr>
          <w:rStyle w:val="FootnoteReference"/>
          <w:noProof/>
        </w:rPr>
        <w:footnoteReference w:id="127"/>
      </w:r>
      <w:r>
        <w:rPr>
          <w:noProof/>
        </w:rPr>
        <w:t xml:space="preserve"> Therefore, this op</w:t>
      </w:r>
      <w:r>
        <w:rPr>
          <w:noProof/>
        </w:rPr>
        <w:t>tion may lead to the selection of PCI projects that would not be in line with long-term policy objectives. This would lead to negative environmental and the socio-economic impact, the latter mainly linked to risk of stranded assets. The possibility to repu</w:t>
      </w:r>
      <w:r>
        <w:rPr>
          <w:noProof/>
        </w:rPr>
        <w:t>rpose gas pipelines for hydrogen transport and the potential cost savings should only be applied to existing gas pipelines or those that are already under construction / development. Developing new natural gas infrastructure projects with the assumption th</w:t>
      </w:r>
      <w:r>
        <w:rPr>
          <w:noProof/>
        </w:rPr>
        <w:t>at they may be repurposed in the future would need to take into account the costs for developing the infrastructure in the first place and hence significantly affect the potential cost advantages of repurposing and bear the significant risk of green washin</w:t>
      </w:r>
      <w:r>
        <w:rPr>
          <w:noProof/>
        </w:rPr>
        <w:t>g (see section 6.1.2).</w:t>
      </w:r>
    </w:p>
    <w:p w:rsidR="00B60846" w:rsidRDefault="008069FF">
      <w:pPr>
        <w:rPr>
          <w:b/>
          <w:bCs/>
          <w:noProof/>
        </w:rPr>
      </w:pPr>
      <w:r>
        <w:rPr>
          <w:b/>
          <w:bCs/>
          <w:noProof/>
        </w:rPr>
        <w:t>Option B.2.1: Strengthened governance and sustainability</w:t>
      </w:r>
    </w:p>
    <w:p w:rsidR="00B60846" w:rsidRDefault="008069FF">
      <w:pPr>
        <w:pStyle w:val="Subtitle"/>
        <w:rPr>
          <w:noProof/>
        </w:rPr>
      </w:pPr>
      <w:r>
        <w:rPr>
          <w:noProof/>
        </w:rPr>
        <w:t>Environmental and economic impacts</w:t>
      </w:r>
    </w:p>
    <w:p w:rsidR="00B60846" w:rsidRDefault="008069FF">
      <w:pPr>
        <w:rPr>
          <w:noProof/>
        </w:rPr>
      </w:pPr>
      <w:r>
        <w:rPr>
          <w:noProof/>
        </w:rPr>
        <w:t xml:space="preserve">An increased oversight by the Commission over the scenarios and system needs identification, a strengthened role for ACER in the methodology </w:t>
      </w:r>
      <w:r>
        <w:rPr>
          <w:noProof/>
        </w:rPr>
        <w:t>to assess the costs and benefits of the projects, as well as an increased role for the DSOs in the planning process is expected to result in more realistic electricity and gas demand assumptions and infrastructure needs identification as well as an improve</w:t>
      </w:r>
      <w:r>
        <w:rPr>
          <w:noProof/>
        </w:rPr>
        <w:t xml:space="preserve">d project assessment. </w:t>
      </w:r>
    </w:p>
    <w:p w:rsidR="00B60846" w:rsidRDefault="008069FF">
      <w:pPr>
        <w:rPr>
          <w:noProof/>
        </w:rPr>
      </w:pPr>
      <w:r>
        <w:rPr>
          <w:noProof/>
        </w:rPr>
        <w:t>The mandatory sustainability criterion in the PCI process would be applied to all project categories that will be within the future scope of the TEN-E Regulation. This would have a direct impact on the ranking of the candidate PCI pr</w:t>
      </w:r>
      <w:r>
        <w:rPr>
          <w:noProof/>
        </w:rPr>
        <w:t>ojects, as the projects with little sustainability benefits would be ranked lower and the ones that prove to bring high sustainability benefits would be ranked higher. While the actual ranking will depend on the details of the assessment methodology that w</w:t>
      </w:r>
      <w:r>
        <w:rPr>
          <w:noProof/>
        </w:rPr>
        <w:t>ill be agreed in the regional groups, the mandatory sustainability assessment establishes as such a minimum requirement for candidate projects and will notably ensure that they contribute to greenhouse gas emission reductions in a way coherent with the Gre</w:t>
      </w:r>
      <w:r>
        <w:rPr>
          <w:noProof/>
        </w:rPr>
        <w:t xml:space="preserve">en Deal objectives. This will contribute to align the PCI selection process with the EU policy objectives. Overall, this option is expected to lead to an optimised interlinked infrastructure planning. </w:t>
      </w:r>
    </w:p>
    <w:p w:rsidR="00B60846" w:rsidRDefault="008069FF">
      <w:pPr>
        <w:rPr>
          <w:noProof/>
        </w:rPr>
      </w:pPr>
      <w:r>
        <w:rPr>
          <w:noProof/>
        </w:rPr>
        <w:t>Ensuring that the 2030-2050 assumptions reflect the ag</w:t>
      </w:r>
      <w:r>
        <w:rPr>
          <w:noProof/>
        </w:rPr>
        <w:t>reed policy targets and objectives, the consideration of the energy efficiency first principle as well as the inclusion of a mandatory sustainability criterion for all candidate projects will align the PCI selection process with the EU policy objectives.</w:t>
      </w:r>
    </w:p>
    <w:p w:rsidR="00B60846" w:rsidRDefault="008069FF">
      <w:pPr>
        <w:pStyle w:val="Subtitle"/>
        <w:rPr>
          <w:noProof/>
        </w:rPr>
      </w:pPr>
      <w:r>
        <w:rPr>
          <w:noProof/>
        </w:rPr>
        <w:t>A</w:t>
      </w:r>
      <w:r>
        <w:rPr>
          <w:noProof/>
        </w:rPr>
        <w:t>dministrative burden</w:t>
      </w:r>
    </w:p>
    <w:p w:rsidR="00B60846" w:rsidRDefault="008069FF">
      <w:pPr>
        <w:rPr>
          <w:noProof/>
        </w:rPr>
      </w:pPr>
      <w:r>
        <w:rPr>
          <w:noProof/>
        </w:rPr>
        <w:t>This option would complement the ENTSOs’ current role with an increased Commission and ACER oversight. As such, the administrative burden on the Commission and ACER will increase in line with the additional work related to continuous f</w:t>
      </w:r>
      <w:r>
        <w:rPr>
          <w:noProof/>
        </w:rPr>
        <w:t>ollow-up of the TYNDPs development. There would be no direct impact on project promoters.</w:t>
      </w:r>
    </w:p>
    <w:p w:rsidR="00B60846" w:rsidRDefault="008069FF">
      <w:pPr>
        <w:pStyle w:val="Subtitle"/>
        <w:rPr>
          <w:noProof/>
        </w:rPr>
      </w:pPr>
      <w:r>
        <w:rPr>
          <w:noProof/>
        </w:rPr>
        <w:t xml:space="preserve">Social impact </w:t>
      </w:r>
    </w:p>
    <w:p w:rsidR="00B60846" w:rsidRDefault="008069FF">
      <w:pPr>
        <w:rPr>
          <w:noProof/>
        </w:rPr>
      </w:pPr>
      <w:r>
        <w:rPr>
          <w:noProof/>
        </w:rPr>
        <w:t>Optimizing the infrastructure need identification and projects assessment within the frame of TYNDPs will minimise the impact on network tariffs and fi</w:t>
      </w:r>
      <w:r>
        <w:rPr>
          <w:noProof/>
        </w:rPr>
        <w:t xml:space="preserve">nal energy prices. </w:t>
      </w:r>
    </w:p>
    <w:p w:rsidR="00B60846" w:rsidRDefault="008069FF">
      <w:pPr>
        <w:rPr>
          <w:b/>
          <w:bCs/>
          <w:noProof/>
        </w:rPr>
      </w:pPr>
      <w:r>
        <w:rPr>
          <w:b/>
          <w:bCs/>
          <w:noProof/>
        </w:rPr>
        <w:t>Option B.2.2: New governance set-up and expansion of scope and role of the TYNDP</w:t>
      </w:r>
    </w:p>
    <w:p w:rsidR="00B60846" w:rsidRDefault="008069FF">
      <w:pPr>
        <w:rPr>
          <w:noProof/>
        </w:rPr>
      </w:pPr>
      <w:r>
        <w:rPr>
          <w:noProof/>
        </w:rPr>
        <w:t>The implementation of this option is expected to deliver similar economic, social and environmental results as policy option B.2.1.</w:t>
      </w:r>
    </w:p>
    <w:p w:rsidR="00B60846" w:rsidRDefault="008069FF">
      <w:pPr>
        <w:rPr>
          <w:noProof/>
          <w:lang w:val="en-IE"/>
        </w:rPr>
      </w:pPr>
      <w:r>
        <w:rPr>
          <w:noProof/>
        </w:rPr>
        <w:t>The key difference conc</w:t>
      </w:r>
      <w:r>
        <w:rPr>
          <w:noProof/>
        </w:rPr>
        <w:t xml:space="preserve">erns the </w:t>
      </w:r>
      <w:r>
        <w:rPr>
          <w:i/>
          <w:iCs/>
          <w:noProof/>
        </w:rPr>
        <w:t>administrative burden</w:t>
      </w:r>
      <w:r>
        <w:rPr>
          <w:noProof/>
        </w:rPr>
        <w:t>. The transfer of responsibilities also carries significant risks, as specific expertise would need to be built up very rapidly by the Commission and ACER.</w:t>
      </w:r>
      <w:r>
        <w:rPr>
          <w:noProof/>
          <w:lang w:val="en-IE"/>
        </w:rPr>
        <w:t xml:space="preserve"> The Commission, possibly with the help of a third party, would have to, not only approve the results, as in option two, but also coordinate data collections and crosschecks, projects submissions, manage studies and project assessments. It would ultimately</w:t>
      </w:r>
      <w:r>
        <w:rPr>
          <w:noProof/>
          <w:lang w:val="en-IE"/>
        </w:rPr>
        <w:t xml:space="preserve"> lead to parallel structures, as grid planning requires very specific expertise. </w:t>
      </w:r>
      <w:r>
        <w:rPr>
          <w:noProof/>
        </w:rPr>
        <w:t xml:space="preserve">While </w:t>
      </w:r>
      <w:r>
        <w:rPr>
          <w:noProof/>
          <w:lang w:val="en-IE"/>
        </w:rPr>
        <w:t xml:space="preserve">the role of ENTSOs and TSOs would be significantly weakened, they would still remain the main information providers which would significantly increase transaction costs </w:t>
      </w:r>
      <w:r>
        <w:rPr>
          <w:noProof/>
          <w:lang w:val="en-IE"/>
        </w:rPr>
        <w:t>and may result in decreased data accuracy and data sharing (as under option B.1.3).</w:t>
      </w:r>
    </w:p>
    <w:p w:rsidR="00B60846" w:rsidRDefault="008069FF">
      <w:pPr>
        <w:pStyle w:val="Heading2"/>
        <w:ind w:left="1287" w:hanging="578"/>
        <w:rPr>
          <w:noProof/>
        </w:rPr>
      </w:pPr>
      <w:bookmarkStart w:id="875" w:name="_Toc50366598"/>
      <w:bookmarkStart w:id="876" w:name="_Toc50573910"/>
      <w:bookmarkStart w:id="877" w:name="_Toc50581893"/>
      <w:bookmarkStart w:id="878" w:name="_Toc50582676"/>
      <w:bookmarkStart w:id="879" w:name="_Toc51022085"/>
      <w:bookmarkStart w:id="880" w:name="_Toc51168565"/>
      <w:bookmarkStart w:id="881" w:name="_Toc51169054"/>
      <w:bookmarkStart w:id="882" w:name="_Toc51231548"/>
      <w:bookmarkStart w:id="883" w:name="_Toc51235484"/>
      <w:bookmarkStart w:id="884" w:name="_Toc51237274"/>
      <w:bookmarkStart w:id="885" w:name="_Toc51238659"/>
      <w:bookmarkStart w:id="886" w:name="_Toc51239384"/>
      <w:bookmarkStart w:id="887" w:name="_Toc51245167"/>
      <w:bookmarkStart w:id="888" w:name="_Toc51268914"/>
      <w:bookmarkStart w:id="889" w:name="_Toc51788296"/>
      <w:bookmarkStart w:id="890" w:name="_Toc51791834"/>
      <w:bookmarkStart w:id="891" w:name="_Toc51793266"/>
      <w:bookmarkStart w:id="892" w:name="_Toc55496466"/>
      <w:r>
        <w:rPr>
          <w:noProof/>
        </w:rPr>
        <w:t>Permitting and public participation</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B60846" w:rsidRDefault="008069FF">
      <w:pPr>
        <w:pStyle w:val="Text2"/>
        <w:ind w:left="0"/>
        <w:rPr>
          <w:b/>
          <w:bCs/>
          <w:noProof/>
        </w:rPr>
      </w:pPr>
      <w:r>
        <w:rPr>
          <w:b/>
          <w:bCs/>
          <w:noProof/>
        </w:rPr>
        <w:t>Option C.1.0 Business as usual</w:t>
      </w:r>
    </w:p>
    <w:p w:rsidR="00B60846" w:rsidRDefault="008069FF">
      <w:pPr>
        <w:pStyle w:val="Text2"/>
        <w:ind w:left="0"/>
        <w:rPr>
          <w:i/>
          <w:noProof/>
        </w:rPr>
      </w:pPr>
      <w:r>
        <w:rPr>
          <w:i/>
          <w:noProof/>
        </w:rPr>
        <w:t>Environmental impacts</w:t>
      </w:r>
    </w:p>
    <w:p w:rsidR="00B60846" w:rsidRDefault="008069FF">
      <w:pPr>
        <w:pStyle w:val="Text2"/>
        <w:ind w:left="0"/>
        <w:rPr>
          <w:noProof/>
        </w:rPr>
      </w:pPr>
      <w:r>
        <w:rPr>
          <w:noProof/>
        </w:rPr>
        <w:t>The TEN-E Regulation already ensures that PCIs have to abide by the highest standar</w:t>
      </w:r>
      <w:r>
        <w:rPr>
          <w:noProof/>
        </w:rPr>
        <w:t xml:space="preserve">ds of environmental protection provided by national and EU law. However, lengthier permitting processes could cause that the environmental assessments performed become outdated and have to be redone. </w:t>
      </w:r>
    </w:p>
    <w:p w:rsidR="00B60846" w:rsidRDefault="008069FF">
      <w:pPr>
        <w:pStyle w:val="Text2"/>
        <w:ind w:left="0"/>
        <w:rPr>
          <w:i/>
          <w:noProof/>
        </w:rPr>
      </w:pPr>
      <w:r>
        <w:rPr>
          <w:i/>
          <w:noProof/>
        </w:rPr>
        <w:t>Social impacts</w:t>
      </w:r>
    </w:p>
    <w:p w:rsidR="00B60846" w:rsidRDefault="008069FF">
      <w:pPr>
        <w:pStyle w:val="Text2"/>
        <w:ind w:left="0"/>
        <w:rPr>
          <w:noProof/>
        </w:rPr>
      </w:pPr>
      <w:r>
        <w:rPr>
          <w:noProof/>
        </w:rPr>
        <w:t>Citizens would be affected as they would</w:t>
      </w:r>
      <w:r>
        <w:rPr>
          <w:noProof/>
        </w:rPr>
        <w:t xml:space="preserve"> have less access to information regarding the projects due to the fact that project websites are very often outdated. Moreover, citizens would not be able to follow how their input was taken into account.</w:t>
      </w:r>
    </w:p>
    <w:p w:rsidR="00B60846" w:rsidRDefault="008069FF">
      <w:pPr>
        <w:pStyle w:val="Text2"/>
        <w:ind w:left="0"/>
        <w:rPr>
          <w:noProof/>
        </w:rPr>
      </w:pPr>
      <w:r>
        <w:rPr>
          <w:noProof/>
        </w:rPr>
        <w:t>With lengthier, unclear, permitting processes, cit</w:t>
      </w:r>
      <w:r>
        <w:rPr>
          <w:noProof/>
        </w:rPr>
        <w:t>izens are affected, firstly, because such projects do not realize their benefits sooner, including their benefits for consumers (eg. lower energy prices), but also because prolonged permitting procedures can create confusion and uncertainty in the role and</w:t>
      </w:r>
      <w:r>
        <w:rPr>
          <w:noProof/>
        </w:rPr>
        <w:t xml:space="preserve"> effect of public consultations which could become obsolete by the time the permitting process is completed.</w:t>
      </w:r>
    </w:p>
    <w:p w:rsidR="00B60846" w:rsidRDefault="008069FF">
      <w:pPr>
        <w:pStyle w:val="Text2"/>
        <w:ind w:left="0"/>
        <w:rPr>
          <w:i/>
          <w:noProof/>
        </w:rPr>
      </w:pPr>
      <w:r>
        <w:rPr>
          <w:i/>
          <w:noProof/>
        </w:rPr>
        <w:t>Economic impacts and administrative burden</w:t>
      </w:r>
    </w:p>
    <w:p w:rsidR="00B60846" w:rsidRDefault="008069FF">
      <w:pPr>
        <w:pStyle w:val="Text2"/>
        <w:ind w:left="0"/>
        <w:rPr>
          <w:i/>
          <w:noProof/>
        </w:rPr>
      </w:pPr>
      <w:r>
        <w:rPr>
          <w:noProof/>
        </w:rPr>
        <w:t>The duration of</w:t>
      </w:r>
      <w:r>
        <w:rPr>
          <w:i/>
          <w:noProof/>
        </w:rPr>
        <w:t xml:space="preserve"> </w:t>
      </w:r>
      <w:r>
        <w:rPr>
          <w:noProof/>
        </w:rPr>
        <w:t>court procedures, such as appeals, is not included in the maximum duration of the permit</w:t>
      </w:r>
      <w:r>
        <w:rPr>
          <w:noProof/>
        </w:rPr>
        <w:t xml:space="preserve">ting process of 3.5 years. Therefore, such court procedures regarding PCIs can delay the overall implementation of the projects. </w:t>
      </w:r>
    </w:p>
    <w:p w:rsidR="00B60846" w:rsidRDefault="008069FF">
      <w:pPr>
        <w:rPr>
          <w:rFonts w:eastAsiaTheme="minorHAnsi"/>
          <w:noProof/>
          <w:szCs w:val="24"/>
        </w:rPr>
      </w:pPr>
      <w:r>
        <w:rPr>
          <w:rFonts w:eastAsiaTheme="minorHAnsi"/>
          <w:noProof/>
          <w:szCs w:val="24"/>
        </w:rPr>
        <w:t>The current transitional provisions mention that for projects which submitted their permitting application file before 16 Nove</w:t>
      </w:r>
      <w:r>
        <w:rPr>
          <w:rFonts w:eastAsiaTheme="minorHAnsi"/>
          <w:noProof/>
          <w:szCs w:val="24"/>
        </w:rPr>
        <w:t>mber 2013, the permitting provisions and the priority status do not apply (Chapter III). Several projects are encountering this issue and have not yet completed their permitting process. This has caused significant delays in their implementation and the si</w:t>
      </w:r>
      <w:r>
        <w:rPr>
          <w:rFonts w:eastAsiaTheme="minorHAnsi"/>
          <w:noProof/>
          <w:szCs w:val="24"/>
        </w:rPr>
        <w:t xml:space="preserve">tuation would continue. </w:t>
      </w:r>
    </w:p>
    <w:p w:rsidR="00B60846" w:rsidRDefault="008069FF">
      <w:pPr>
        <w:pStyle w:val="Text2"/>
        <w:ind w:left="0"/>
        <w:rPr>
          <w:i/>
          <w:noProof/>
          <w:szCs w:val="24"/>
        </w:rPr>
      </w:pPr>
      <w:r>
        <w:rPr>
          <w:rFonts w:eastAsiaTheme="minorHAnsi"/>
          <w:noProof/>
          <w:szCs w:val="24"/>
        </w:rPr>
        <w:t>Lengthy permitting procedures increase administrative costs both for the project promoter, but also for the national competent authorities and other authorities concerned as certain permits that expire in the meantime might have to</w:t>
      </w:r>
      <w:r>
        <w:rPr>
          <w:rFonts w:eastAsiaTheme="minorHAnsi"/>
          <w:noProof/>
          <w:szCs w:val="24"/>
        </w:rPr>
        <w:t xml:space="preserve"> be obtained several times before the completion of the entire permitting process.</w:t>
      </w:r>
    </w:p>
    <w:p w:rsidR="00B60846" w:rsidRDefault="008069FF">
      <w:pPr>
        <w:pStyle w:val="Text2"/>
        <w:ind w:left="0"/>
        <w:rPr>
          <w:b/>
          <w:bCs/>
          <w:noProof/>
        </w:rPr>
      </w:pPr>
      <w:r>
        <w:rPr>
          <w:b/>
          <w:bCs/>
          <w:noProof/>
        </w:rPr>
        <w:t>Option C.1.1: Use of urgent court procedures</w:t>
      </w:r>
    </w:p>
    <w:p w:rsidR="00B60846" w:rsidRDefault="008069FF">
      <w:pPr>
        <w:rPr>
          <w:rFonts w:eastAsiaTheme="minorEastAsia"/>
          <w:noProof/>
          <w:color w:val="000000" w:themeColor="text1"/>
        </w:rPr>
      </w:pPr>
      <w:r>
        <w:rPr>
          <w:rFonts w:eastAsiaTheme="minorEastAsia"/>
          <w:noProof/>
          <w:color w:val="000000" w:themeColor="text1"/>
        </w:rPr>
        <w:t>The time limits laid down for the permitting process, currently 3.5 years, do not include administrative appeal procedures and judicial remedies before a court or tribunal which delay implementation of the projects in addition to the timeline of the permit</w:t>
      </w:r>
      <w:r>
        <w:rPr>
          <w:rFonts w:eastAsiaTheme="minorEastAsia"/>
          <w:noProof/>
          <w:color w:val="000000" w:themeColor="text1"/>
        </w:rPr>
        <w:t>ting process.  Requiring Member States that currently have in place urgent court procedures (e.g. cutting in half court deadlines) in other cases to extend these to PCIs keeps the necessary balance between the rule of law in the Member States and their sov</w:t>
      </w:r>
      <w:r>
        <w:rPr>
          <w:rFonts w:eastAsiaTheme="minorEastAsia"/>
          <w:noProof/>
          <w:color w:val="000000" w:themeColor="text1"/>
        </w:rPr>
        <w:t xml:space="preserve">ereignty and the acceleration of the implementation of PCIs. </w:t>
      </w:r>
    </w:p>
    <w:p w:rsidR="00B60846" w:rsidRDefault="008069FF">
      <w:pPr>
        <w:rPr>
          <w:noProof/>
        </w:rPr>
      </w:pPr>
      <w:r>
        <w:rPr>
          <w:noProof/>
        </w:rPr>
        <w:t>The introduction of the requirement for Member States  to ensure that accelerated litigation procedures, where available, are applicable to PCIs under national legislations should be seen in a s</w:t>
      </w:r>
      <w:r>
        <w:rPr>
          <w:noProof/>
        </w:rPr>
        <w:t>imilar manner, including for the purposes of safeguarding the sovereignty and rule of law of the Member States, as the introduction, as per the current Regulation, of the requirement that PCIs are granted the priority  status where this exists under nation</w:t>
      </w:r>
      <w:r>
        <w:rPr>
          <w:noProof/>
        </w:rPr>
        <w:t>al law: “</w:t>
      </w:r>
      <w:r>
        <w:rPr>
          <w:i/>
          <w:noProof/>
        </w:rPr>
        <w:t>Where such status exists in national law, projects of common interest shall be allocated the status of the highest national significance possible…</w:t>
      </w:r>
      <w:r>
        <w:rPr>
          <w:noProof/>
        </w:rPr>
        <w:t>”.  Member States that do not have this status do not have the obligation. According to available dat</w:t>
      </w:r>
      <w:r>
        <w:rPr>
          <w:noProof/>
        </w:rPr>
        <w:t>a, at least 11 Member States</w:t>
      </w:r>
      <w:r>
        <w:rPr>
          <w:rStyle w:val="FootnoteReference"/>
          <w:noProof/>
        </w:rPr>
        <w:footnoteReference w:id="128"/>
      </w:r>
      <w:r>
        <w:rPr>
          <w:noProof/>
        </w:rPr>
        <w:t xml:space="preserve"> have such accelerated/urgent litigation procedures in place that they could extend to PCIs. These procedures are used for a variety of matters from family matters to insolvency proceedings or setting-up or enforcing guarantees</w:t>
      </w:r>
      <w:r>
        <w:rPr>
          <w:noProof/>
        </w:rPr>
        <w:t xml:space="preserve"> on movable or immovable assets. Some of these urgent matters are, in fact, quite complex, but due to their urgent nature require acceleration. </w:t>
      </w:r>
    </w:p>
    <w:p w:rsidR="00B60846" w:rsidRDefault="008069FF">
      <w:pPr>
        <w:rPr>
          <w:noProof/>
        </w:rPr>
      </w:pPr>
      <w:r>
        <w:rPr>
          <w:noProof/>
        </w:rPr>
        <w:t>The fact that only a limited number of Member States have in place accelerated/urgent litigation procedures red</w:t>
      </w:r>
      <w:r>
        <w:rPr>
          <w:noProof/>
        </w:rPr>
        <w:t>uces the impact of the option. However, EU action in this respect remains adequate as: (i) this would mirror the priority status provisions in their permit granting process and spatial planning enshrined in the current TEN-E legislation, which also applies</w:t>
      </w:r>
      <w:r>
        <w:rPr>
          <w:noProof/>
        </w:rPr>
        <w:t xml:space="preserve"> in the limited number of Member States where such procedures are available, and (ii) introduces a new tool to save time in project implementation which has not been introduced in the current TEN-E Regulation and which concerns a source of significant dela</w:t>
      </w:r>
      <w:r>
        <w:rPr>
          <w:noProof/>
        </w:rPr>
        <w:t xml:space="preserve">ys. </w:t>
      </w:r>
    </w:p>
    <w:p w:rsidR="00B60846" w:rsidRDefault="008069FF">
      <w:pPr>
        <w:rPr>
          <w:rFonts w:eastAsiaTheme="minorEastAsia"/>
          <w:i/>
          <w:noProof/>
          <w:color w:val="000000" w:themeColor="text1"/>
        </w:rPr>
      </w:pPr>
      <w:r>
        <w:rPr>
          <w:rFonts w:eastAsiaTheme="minorEastAsia"/>
          <w:i/>
          <w:iCs/>
          <w:noProof/>
          <w:color w:val="000000" w:themeColor="text1"/>
        </w:rPr>
        <w:t xml:space="preserve">Environmental impacts </w:t>
      </w:r>
    </w:p>
    <w:p w:rsidR="00B60846" w:rsidRDefault="008069FF">
      <w:pPr>
        <w:rPr>
          <w:rFonts w:eastAsiaTheme="minorEastAsia"/>
          <w:noProof/>
          <w:color w:val="000000" w:themeColor="text1"/>
        </w:rPr>
      </w:pPr>
      <w:r>
        <w:rPr>
          <w:rFonts w:eastAsiaTheme="minorEastAsia"/>
          <w:noProof/>
          <w:color w:val="000000" w:themeColor="text1"/>
        </w:rPr>
        <w:t>The acceleration of court procedures should not have any environmental impacts.</w:t>
      </w:r>
    </w:p>
    <w:p w:rsidR="00B60846" w:rsidRDefault="008069FF">
      <w:pPr>
        <w:rPr>
          <w:rFonts w:eastAsiaTheme="minorEastAsia"/>
          <w:i/>
          <w:noProof/>
          <w:color w:val="000000" w:themeColor="text1"/>
        </w:rPr>
      </w:pPr>
      <w:r>
        <w:rPr>
          <w:rFonts w:eastAsiaTheme="minorEastAsia"/>
          <w:i/>
          <w:iCs/>
          <w:noProof/>
          <w:color w:val="000000" w:themeColor="text1"/>
        </w:rPr>
        <w:t>Economic impact and administrative burden</w:t>
      </w:r>
    </w:p>
    <w:p w:rsidR="00B60846" w:rsidRDefault="008069FF">
      <w:pPr>
        <w:rPr>
          <w:rFonts w:eastAsiaTheme="minorEastAsia"/>
          <w:noProof/>
          <w:color w:val="000000" w:themeColor="text1"/>
        </w:rPr>
      </w:pPr>
      <w:r>
        <w:rPr>
          <w:rFonts w:eastAsiaTheme="minorEastAsia"/>
          <w:noProof/>
          <w:color w:val="000000" w:themeColor="text1"/>
        </w:rPr>
        <w:t xml:space="preserve">An accelerated accomplishment of the project implementation through faster court procedures decreases </w:t>
      </w:r>
      <w:r>
        <w:rPr>
          <w:rFonts w:eastAsiaTheme="minorEastAsia"/>
          <w:noProof/>
          <w:color w:val="000000" w:themeColor="text1"/>
        </w:rPr>
        <w:t>costs for both project promoters and competent authorities, while entailing additional costs for national courts who would have to dedicate additional resources to procedures regarding PCIs. However, the Union list of PCIs could contain maximum 220 project</w:t>
      </w:r>
      <w:r>
        <w:rPr>
          <w:rFonts w:eastAsiaTheme="minorEastAsia"/>
          <w:noProof/>
          <w:color w:val="000000" w:themeColor="text1"/>
        </w:rPr>
        <w:t>s, in accordance with the TEN-E Regulation and, in practice, the actual number of projects has been significantly lower. For example, the 4</w:t>
      </w:r>
      <w:r>
        <w:rPr>
          <w:rFonts w:eastAsiaTheme="minorEastAsia"/>
          <w:noProof/>
          <w:color w:val="000000" w:themeColor="text1"/>
          <w:vertAlign w:val="superscript"/>
        </w:rPr>
        <w:t>th</w:t>
      </w:r>
      <w:r>
        <w:rPr>
          <w:rFonts w:eastAsiaTheme="minorEastAsia"/>
          <w:noProof/>
          <w:color w:val="000000" w:themeColor="text1"/>
        </w:rPr>
        <w:t xml:space="preserve"> Union list contains 149 projects. Therefore, the number of court cases for the entire EU that such projects could </w:t>
      </w:r>
      <w:r>
        <w:rPr>
          <w:rFonts w:eastAsiaTheme="minorEastAsia"/>
          <w:noProof/>
          <w:color w:val="000000" w:themeColor="text1"/>
        </w:rPr>
        <w:t xml:space="preserve">generate is not high, by comparison to the frequency of other types of urgent court procedures Member States already have in place.  </w:t>
      </w:r>
    </w:p>
    <w:p w:rsidR="00B60846" w:rsidRDefault="008069FF">
      <w:pPr>
        <w:rPr>
          <w:rFonts w:eastAsiaTheme="minorEastAsia"/>
          <w:noProof/>
          <w:color w:val="000000"/>
        </w:rPr>
      </w:pPr>
      <w:r>
        <w:rPr>
          <w:rFonts w:eastAsiaTheme="minorEastAsia"/>
          <w:noProof/>
          <w:color w:val="000000"/>
        </w:rPr>
        <w:t>An accelerated accomplishment of the permitting process also allows for a faster implementation of the project therefore b</w:t>
      </w:r>
      <w:r>
        <w:rPr>
          <w:rFonts w:eastAsiaTheme="minorEastAsia"/>
          <w:noProof/>
          <w:color w:val="000000"/>
        </w:rPr>
        <w:t>ringing forward the benefits identified in the CBA. This will have a significant economic impact on regional energy markets, if not, even a European wide impact. The economic impact could be determined based on the CBAs of the projects impacted by the acce</w:t>
      </w:r>
      <w:r>
        <w:rPr>
          <w:rFonts w:eastAsiaTheme="minorEastAsia"/>
          <w:noProof/>
          <w:color w:val="000000"/>
        </w:rPr>
        <w:t>lerated procedures. No data is currently available for fully capturing the impact. However, in a Working Paper by the Renewable Grid Initiative and ENTSOE, Value of timely implementation from May 2019, calculations were performed as to how much delays cost</w:t>
      </w:r>
      <w:r>
        <w:rPr>
          <w:rFonts w:eastAsiaTheme="minorEastAsia"/>
          <w:noProof/>
          <w:color w:val="000000"/>
        </w:rPr>
        <w:t xml:space="preserve"> for an example project, including the “Garenfeld substation” (Germany).  A delay of 2 years due to an average court procedure was estimated at a cost of 150 million €</w:t>
      </w:r>
      <w:r>
        <w:rPr>
          <w:rFonts w:eastAsiaTheme="minorEastAsia"/>
          <w:noProof/>
          <w:color w:val="000000"/>
          <w:vertAlign w:val="superscript"/>
        </w:rPr>
        <w:footnoteReference w:id="129"/>
      </w:r>
      <w:r>
        <w:rPr>
          <w:rFonts w:eastAsiaTheme="minorEastAsia"/>
          <w:noProof/>
          <w:color w:val="000000"/>
        </w:rPr>
        <w:t xml:space="preserve">. </w:t>
      </w:r>
    </w:p>
    <w:p w:rsidR="00B60846" w:rsidRDefault="008069FF">
      <w:pPr>
        <w:pStyle w:val="Text2"/>
        <w:ind w:left="0"/>
        <w:rPr>
          <w:b/>
          <w:bCs/>
          <w:noProof/>
        </w:rPr>
      </w:pPr>
      <w:r>
        <w:rPr>
          <w:b/>
          <w:bCs/>
          <w:noProof/>
        </w:rPr>
        <w:t>Option C1.2: Creating a one-stop shop per sea basin for infrastructure related to off</w:t>
      </w:r>
      <w:r>
        <w:rPr>
          <w:b/>
          <w:bCs/>
          <w:noProof/>
        </w:rPr>
        <w:t>shore renewable projects</w:t>
      </w:r>
    </w:p>
    <w:p w:rsidR="00B60846" w:rsidRDefault="008069FF">
      <w:pPr>
        <w:pStyle w:val="Text2"/>
        <w:ind w:left="0"/>
        <w:rPr>
          <w:noProof/>
        </w:rPr>
      </w:pPr>
      <w:r>
        <w:rPr>
          <w:noProof/>
        </w:rPr>
        <w:t>The creation of a one-stop shop per sea basin would enable the acceleration of the permitting process for infrastructure related to the deployment of offshore renewable generation in order for such projects to finish permitting wit</w:t>
      </w:r>
      <w:r>
        <w:rPr>
          <w:noProof/>
        </w:rPr>
        <w:t>hin the maximum limitation of 3.5 years. In practice, offshore projects cross many more jurisdictions than onshore projects as they cross either national waters or the exclusive economic zones of several Member States and, possibly, third countries. This m</w:t>
      </w:r>
      <w:r>
        <w:rPr>
          <w:noProof/>
        </w:rPr>
        <w:t xml:space="preserve">akes their permitting process particularly complex, as they have to follow all the specific rules of these jurisdictions. </w:t>
      </w:r>
    </w:p>
    <w:p w:rsidR="00B60846" w:rsidRDefault="008069FF">
      <w:pPr>
        <w:pStyle w:val="Text2"/>
        <w:ind w:left="0"/>
        <w:rPr>
          <w:i/>
          <w:noProof/>
        </w:rPr>
      </w:pPr>
      <w:r>
        <w:rPr>
          <w:i/>
          <w:iCs/>
          <w:noProof/>
        </w:rPr>
        <w:t>Environmental impact</w:t>
      </w:r>
    </w:p>
    <w:p w:rsidR="00B60846" w:rsidRDefault="008069FF">
      <w:pPr>
        <w:pStyle w:val="Text2"/>
        <w:ind w:left="0"/>
        <w:rPr>
          <w:noProof/>
        </w:rPr>
      </w:pPr>
      <w:r>
        <w:rPr>
          <w:noProof/>
        </w:rPr>
        <w:t>The creation of a one-stop shop per sea basin would bring positive environmental impacts as strategic environmen</w:t>
      </w:r>
      <w:r>
        <w:rPr>
          <w:noProof/>
        </w:rPr>
        <w:t>tal assessments could be performed at sea basin level. On this basis, environmental assessments for specific projects could be strengthened. Moreover, one entity coordinating the permitting process would also enable a better coordination of the environment</w:t>
      </w:r>
      <w:r>
        <w:rPr>
          <w:noProof/>
        </w:rPr>
        <w:t>al impact assessment across borders.</w:t>
      </w:r>
    </w:p>
    <w:p w:rsidR="00B60846" w:rsidRDefault="008069FF">
      <w:pPr>
        <w:pStyle w:val="Text2"/>
        <w:ind w:left="0"/>
        <w:rPr>
          <w:i/>
          <w:noProof/>
        </w:rPr>
      </w:pPr>
      <w:r>
        <w:rPr>
          <w:i/>
          <w:iCs/>
          <w:noProof/>
        </w:rPr>
        <w:t>Economic impact</w:t>
      </w:r>
    </w:p>
    <w:p w:rsidR="00B60846" w:rsidRDefault="008069FF">
      <w:pPr>
        <w:pStyle w:val="Text2"/>
        <w:ind w:left="0"/>
        <w:rPr>
          <w:noProof/>
        </w:rPr>
      </w:pPr>
      <w:r>
        <w:rPr>
          <w:noProof/>
        </w:rPr>
        <w:t>The creation of a one-stop shop per sea basin would have positive economic benefits as it would lead to the swifter realization of infrastructure related to the deployment of offshore renewable generatio</w:t>
      </w:r>
      <w:r>
        <w:rPr>
          <w:noProof/>
        </w:rPr>
        <w:t>n which would realize its benefits sooner. There are no specific data allowing the calculation of the economic benefits realised by the swifter implementation of such infrastructure to be brought as example, but the benefits calculated in the example provi</w:t>
      </w:r>
      <w:r>
        <w:rPr>
          <w:noProof/>
        </w:rPr>
        <w:t>ded Option C1.1. could be taken as an indication.</w:t>
      </w:r>
    </w:p>
    <w:p w:rsidR="00B60846" w:rsidRDefault="008069FF">
      <w:pPr>
        <w:pStyle w:val="Text2"/>
        <w:ind w:left="0"/>
        <w:rPr>
          <w:i/>
          <w:noProof/>
        </w:rPr>
      </w:pPr>
      <w:r>
        <w:rPr>
          <w:i/>
          <w:iCs/>
          <w:noProof/>
        </w:rPr>
        <w:t>Administrative burden</w:t>
      </w:r>
    </w:p>
    <w:p w:rsidR="00B60846" w:rsidRDefault="008069FF">
      <w:pPr>
        <w:pStyle w:val="Text2"/>
        <w:ind w:left="0"/>
        <w:rPr>
          <w:noProof/>
        </w:rPr>
      </w:pPr>
      <w:r>
        <w:rPr>
          <w:noProof/>
        </w:rPr>
        <w:t>The option would considerably diminish the administrative burden and costs for the project promoters who would also benefit and be able to use data from studies already conducted for t</w:t>
      </w:r>
      <w:r>
        <w:rPr>
          <w:noProof/>
        </w:rPr>
        <w:t xml:space="preserve">he sea basin. Project promoters would have to employ fewer personnel and use less resources than having to deal with every competent authority in all the Member States where the project is located.  </w:t>
      </w:r>
    </w:p>
    <w:p w:rsidR="00B60846" w:rsidRDefault="008069FF">
      <w:pPr>
        <w:rPr>
          <w:bCs/>
          <w:noProof/>
        </w:rPr>
      </w:pPr>
      <w:r>
        <w:rPr>
          <w:bCs/>
          <w:noProof/>
        </w:rPr>
        <w:t xml:space="preserve">The one-stop shop would require very limited additional </w:t>
      </w:r>
      <w:r>
        <w:rPr>
          <w:bCs/>
          <w:noProof/>
        </w:rPr>
        <w:t>resources as the assessment afferent to all permits would continue to take place on the basis of the national requirements for the different Member States on the territory of which the project is located. The one-stop shop is not a new institution, but wou</w:t>
      </w:r>
      <w:r>
        <w:rPr>
          <w:bCs/>
          <w:noProof/>
        </w:rPr>
        <w:t>ld consist of a secretariat formed of staff from the national competent authorities, with no additional staff required.  The one stop-shop would ensure a single point of contact for the project promoters and the coordination of the national one-stop shops.</w:t>
      </w:r>
      <w:r>
        <w:rPr>
          <w:bCs/>
          <w:noProof/>
        </w:rPr>
        <w:t xml:space="preserve"> While the creation of the one-stop shop will lead to one off administrative costs for the establishment of the relevant procedures, it could eventually save resources in national administrations as it would avoid parallel national work streams for issuing</w:t>
      </w:r>
      <w:r>
        <w:rPr>
          <w:bCs/>
          <w:noProof/>
        </w:rPr>
        <w:t xml:space="preserve"> several (national) comprehensive decisions.</w:t>
      </w:r>
    </w:p>
    <w:p w:rsidR="00B60846" w:rsidRDefault="008069FF">
      <w:pPr>
        <w:pStyle w:val="Heading2"/>
        <w:ind w:left="1287" w:hanging="578"/>
        <w:rPr>
          <w:noProof/>
        </w:rPr>
      </w:pPr>
      <w:bookmarkStart w:id="893" w:name="_Toc51241804"/>
      <w:bookmarkStart w:id="894" w:name="_Toc51241979"/>
      <w:bookmarkStart w:id="895" w:name="_Toc51242957"/>
      <w:bookmarkStart w:id="896" w:name="_Toc55496468"/>
      <w:bookmarkEnd w:id="893"/>
      <w:bookmarkEnd w:id="894"/>
      <w:bookmarkEnd w:id="895"/>
      <w:r>
        <w:rPr>
          <w:noProof/>
        </w:rPr>
        <w:t>Regulatory treatment</w:t>
      </w:r>
      <w:bookmarkEnd w:id="896"/>
      <w:r>
        <w:rPr>
          <w:noProof/>
        </w:rPr>
        <w:t xml:space="preserve"> </w:t>
      </w:r>
    </w:p>
    <w:p w:rsidR="00B60846" w:rsidRDefault="008069FF">
      <w:pPr>
        <w:rPr>
          <w:bCs/>
          <w:noProof/>
        </w:rPr>
      </w:pPr>
      <w:r>
        <w:rPr>
          <w:noProof/>
        </w:rPr>
        <w:t>According to stakeholders, CBCA decisions are the main instrument to improve the regulatory conditions of cross-border projects. While the approach taken to share costs between Member State</w:t>
      </w:r>
      <w:r>
        <w:rPr>
          <w:noProof/>
        </w:rPr>
        <w:t>s in relation to benefits is largely appraised, the details of the mechanism reduce its attractiveness. The number of PCIs with a CBCA decision remains relatively low: as of March 2020 only 42 CBCA decisions were issued. This indicates that the desired eff</w:t>
      </w:r>
      <w:r>
        <w:rPr>
          <w:noProof/>
        </w:rPr>
        <w:t>ect is limited to a small number of projects only, but the contribution to the improvement of the regulatory framework is, however, well appraised. Thus, as issues in the details of the process for CBCAs persist, which are reflected in the low number of co</w:t>
      </w:r>
      <w:r>
        <w:rPr>
          <w:noProof/>
        </w:rPr>
        <w:t>st sharing decisions</w:t>
      </w:r>
      <w:r>
        <w:rPr>
          <w:noProof/>
          <w:vertAlign w:val="superscript"/>
        </w:rPr>
        <w:footnoteReference w:id="130"/>
      </w:r>
      <w:r>
        <w:rPr>
          <w:noProof/>
        </w:rPr>
        <w:t xml:space="preserve">, their removal should lead to an increased and correct use of the CBCA procedure. </w:t>
      </w:r>
    </w:p>
    <w:p w:rsidR="00B60846" w:rsidRDefault="008069FF">
      <w:pPr>
        <w:pStyle w:val="Text2"/>
        <w:ind w:left="0"/>
        <w:rPr>
          <w:b/>
          <w:bCs/>
          <w:noProof/>
        </w:rPr>
      </w:pPr>
      <w:r>
        <w:rPr>
          <w:b/>
          <w:bCs/>
          <w:noProof/>
        </w:rPr>
        <w:t>Option D.1.0: Business as usual</w:t>
      </w:r>
    </w:p>
    <w:p w:rsidR="00B60846" w:rsidRDefault="008069FF">
      <w:pPr>
        <w:pStyle w:val="Text2"/>
        <w:ind w:left="0"/>
        <w:rPr>
          <w:i/>
          <w:noProof/>
        </w:rPr>
      </w:pPr>
      <w:r>
        <w:rPr>
          <w:i/>
          <w:noProof/>
        </w:rPr>
        <w:t>Environmental impacts</w:t>
      </w:r>
    </w:p>
    <w:p w:rsidR="00B60846" w:rsidRDefault="008069FF">
      <w:pPr>
        <w:pStyle w:val="Text2"/>
        <w:ind w:left="0"/>
        <w:rPr>
          <w:noProof/>
        </w:rPr>
      </w:pPr>
      <w:r>
        <w:rPr>
          <w:noProof/>
        </w:rPr>
        <w:t>There would be no environmental impacts from maintaining unchanged the CBCA provisions.</w:t>
      </w:r>
    </w:p>
    <w:p w:rsidR="00B60846" w:rsidRDefault="008069FF">
      <w:pPr>
        <w:pStyle w:val="Text2"/>
        <w:ind w:left="0"/>
        <w:rPr>
          <w:i/>
          <w:noProof/>
        </w:rPr>
      </w:pPr>
      <w:r>
        <w:rPr>
          <w:i/>
          <w:noProof/>
        </w:rPr>
        <w:t xml:space="preserve">Social </w:t>
      </w:r>
      <w:r>
        <w:rPr>
          <w:i/>
          <w:noProof/>
        </w:rPr>
        <w:t>impacts</w:t>
      </w:r>
    </w:p>
    <w:p w:rsidR="00B60846" w:rsidRDefault="008069FF">
      <w:pPr>
        <w:pStyle w:val="Text2"/>
        <w:ind w:left="0"/>
        <w:rPr>
          <w:noProof/>
        </w:rPr>
      </w:pPr>
      <w:r>
        <w:rPr>
          <w:noProof/>
        </w:rPr>
        <w:t>CBCA procedures, as currently provided, are underutilized and do not reach their potential in assisting projects’ realization. This leads to unrealized benefits for the society on the whole and for citizens directly by the fact that benefits such a</w:t>
      </w:r>
      <w:r>
        <w:rPr>
          <w:noProof/>
        </w:rPr>
        <w:t xml:space="preserve">s energy cost decreases are delayed. </w:t>
      </w:r>
    </w:p>
    <w:p w:rsidR="00B60846" w:rsidRDefault="008069FF">
      <w:pPr>
        <w:pStyle w:val="Text2"/>
        <w:ind w:left="0"/>
        <w:rPr>
          <w:i/>
          <w:noProof/>
        </w:rPr>
      </w:pPr>
      <w:r>
        <w:rPr>
          <w:i/>
          <w:noProof/>
        </w:rPr>
        <w:t>Economic impact and administrative burden</w:t>
      </w:r>
    </w:p>
    <w:p w:rsidR="00B60846" w:rsidRDefault="008069FF">
      <w:pPr>
        <w:pStyle w:val="Text2"/>
        <w:ind w:left="0"/>
        <w:rPr>
          <w:noProof/>
        </w:rPr>
      </w:pPr>
      <w:r>
        <w:rPr>
          <w:noProof/>
        </w:rPr>
        <w:t>Maintaining the current provisions regarding the CBCA procedure leaves this procedure to be utilized mainly as a prior requirement for accessing CEF financial assistance. Moreo</w:t>
      </w:r>
      <w:r>
        <w:rPr>
          <w:noProof/>
        </w:rPr>
        <w:t>ver, many CBCA decisions are conditional upon the receipt of CEF financial assistance or do not fully allocate all costs of the projects into the tariffs, leaving a financing gap and delaying project realization.</w:t>
      </w:r>
    </w:p>
    <w:p w:rsidR="00B60846" w:rsidRDefault="008069FF">
      <w:pPr>
        <w:pStyle w:val="Text2"/>
        <w:ind w:left="0"/>
        <w:rPr>
          <w:noProof/>
        </w:rPr>
      </w:pPr>
      <w:r>
        <w:rPr>
          <w:noProof/>
        </w:rPr>
        <w:t>This option would not have an impact on the</w:t>
      </w:r>
      <w:r>
        <w:rPr>
          <w:noProof/>
        </w:rPr>
        <w:t xml:space="preserve"> administrative burden.</w:t>
      </w:r>
    </w:p>
    <w:p w:rsidR="00B60846" w:rsidRDefault="008069FF">
      <w:pPr>
        <w:pStyle w:val="Text2"/>
        <w:ind w:left="0"/>
        <w:rPr>
          <w:b/>
          <w:bCs/>
          <w:noProof/>
        </w:rPr>
      </w:pPr>
      <w:r>
        <w:rPr>
          <w:b/>
          <w:bCs/>
          <w:noProof/>
        </w:rPr>
        <w:t>Option D.1.1: Inclusion of full investment costs</w:t>
      </w:r>
    </w:p>
    <w:p w:rsidR="00B60846" w:rsidRDefault="008069FF">
      <w:pPr>
        <w:pStyle w:val="Text2"/>
        <w:ind w:left="0"/>
        <w:rPr>
          <w:i/>
          <w:noProof/>
        </w:rPr>
      </w:pPr>
      <w:r>
        <w:rPr>
          <w:i/>
          <w:iCs/>
          <w:noProof/>
        </w:rPr>
        <w:t xml:space="preserve">Environmental impacts </w:t>
      </w:r>
    </w:p>
    <w:p w:rsidR="00B60846" w:rsidRDefault="008069FF">
      <w:pPr>
        <w:pStyle w:val="Text2"/>
        <w:ind w:left="0"/>
        <w:rPr>
          <w:noProof/>
        </w:rPr>
      </w:pPr>
      <w:r>
        <w:rPr>
          <w:noProof/>
        </w:rPr>
        <w:t>CBCA procedure enables the implementation of PCIs, which have benefits across-borders. In principle, clarifying the CBCA provisions should not have direct envir</w:t>
      </w:r>
      <w:r>
        <w:rPr>
          <w:noProof/>
        </w:rPr>
        <w:t>onmental impacts.</w:t>
      </w:r>
    </w:p>
    <w:p w:rsidR="00B60846" w:rsidRDefault="008069FF">
      <w:pPr>
        <w:pStyle w:val="Text2"/>
        <w:ind w:left="0"/>
        <w:rPr>
          <w:i/>
          <w:noProof/>
        </w:rPr>
      </w:pPr>
      <w:r>
        <w:rPr>
          <w:i/>
          <w:iCs/>
          <w:noProof/>
        </w:rPr>
        <w:t>Economic and financial impacts</w:t>
      </w:r>
    </w:p>
    <w:p w:rsidR="00B60846" w:rsidRDefault="008069FF">
      <w:pPr>
        <w:rPr>
          <w:rFonts w:eastAsiaTheme="minorEastAsia"/>
          <w:noProof/>
        </w:rPr>
      </w:pPr>
      <w:r>
        <w:rPr>
          <w:rFonts w:eastAsiaTheme="minorEastAsia"/>
          <w:noProof/>
        </w:rPr>
        <w:t>The split of investment costs across borders and their full inclusion of investment costs in the tariffs by the CBCA decision would enhance the potential for CEF financial assistance to be used solely as a l</w:t>
      </w:r>
      <w:r>
        <w:rPr>
          <w:rFonts w:eastAsiaTheme="minorEastAsia"/>
          <w:noProof/>
        </w:rPr>
        <w:t xml:space="preserve">ast resort financing option.  </w:t>
      </w:r>
    </w:p>
    <w:p w:rsidR="00B60846" w:rsidRDefault="008069FF">
      <w:pPr>
        <w:rPr>
          <w:rFonts w:eastAsiaTheme="minorEastAsia"/>
          <w:noProof/>
        </w:rPr>
      </w:pPr>
      <w:r>
        <w:rPr>
          <w:rFonts w:eastAsiaTheme="minorEastAsia"/>
          <w:noProof/>
        </w:rPr>
        <w:t>The CEF Regulation provides that: “First, the market should have the priority to invest. Second, if</w:t>
      </w:r>
      <w:r>
        <w:rPr>
          <w:noProof/>
        </w:rPr>
        <w:t xml:space="preserve"> </w:t>
      </w:r>
      <w:r>
        <w:rPr>
          <w:rFonts w:eastAsiaTheme="minorEastAsia"/>
          <w:noProof/>
        </w:rPr>
        <w:t>investments are not made by the market, regulatory solutions should be explored, if necessary the relevant regulatory framewo</w:t>
      </w:r>
      <w:r>
        <w:rPr>
          <w:rFonts w:eastAsiaTheme="minorEastAsia"/>
          <w:noProof/>
        </w:rPr>
        <w:t>rk should be adjusted, and the correct application of the relevant regulatory framework should be ensured. Third, where the first two steps are not sufficient to deliver the necessary investment in projects of common interest, Union financial assistance co</w:t>
      </w:r>
      <w:r>
        <w:rPr>
          <w:rFonts w:eastAsiaTheme="minorEastAsia"/>
          <w:noProof/>
        </w:rPr>
        <w:t>uld be granted if the project of common interest fulfils the applicable eligibility criteria”</w:t>
      </w:r>
      <w:r>
        <w:rPr>
          <w:rStyle w:val="FootnoteReference"/>
          <w:rFonts w:eastAsiaTheme="minorEastAsia"/>
          <w:noProof/>
        </w:rPr>
        <w:footnoteReference w:id="131"/>
      </w:r>
      <w:r>
        <w:rPr>
          <w:rFonts w:eastAsiaTheme="minorEastAsia"/>
          <w:noProof/>
        </w:rPr>
        <w:t>. A stable regulatory environment created for a project with full regulatory coverage is therefore a pre-requisite for any project in order for it to have explore</w:t>
      </w:r>
      <w:r>
        <w:rPr>
          <w:rFonts w:eastAsiaTheme="minorEastAsia"/>
          <w:noProof/>
        </w:rPr>
        <w:t xml:space="preserve">d both market based financing solutions and regulatory solutions. </w:t>
      </w:r>
    </w:p>
    <w:p w:rsidR="00B60846" w:rsidRDefault="008069FF">
      <w:pPr>
        <w:rPr>
          <w:rFonts w:eastAsiaTheme="minorEastAsia"/>
          <w:noProof/>
        </w:rPr>
      </w:pPr>
      <w:r>
        <w:rPr>
          <w:rFonts w:eastAsiaTheme="minorEastAsia"/>
          <w:noProof/>
        </w:rPr>
        <w:t xml:space="preserve">Stakeholder views were found to be mixed both on the need to carry out a cross-border cost allocation and on the method to be approach by NRAs. However, several stakeholders indicated that </w:t>
      </w:r>
      <w:r>
        <w:rPr>
          <w:rFonts w:eastAsiaTheme="minorEastAsia"/>
          <w:noProof/>
        </w:rPr>
        <w:t>affordability should be key to making a grant decision. As such, the option safeguards the principle of “CEF last resort” whilst taking into account suggestions from stakeholders on improving the CBCA mechanism.</w:t>
      </w:r>
    </w:p>
    <w:p w:rsidR="00B60846" w:rsidRDefault="008069FF">
      <w:pPr>
        <w:pStyle w:val="Text2"/>
        <w:ind w:left="0"/>
        <w:rPr>
          <w:i/>
          <w:noProof/>
        </w:rPr>
      </w:pPr>
      <w:r>
        <w:rPr>
          <w:i/>
          <w:iCs/>
          <w:noProof/>
        </w:rPr>
        <w:t>Social impacts</w:t>
      </w:r>
    </w:p>
    <w:p w:rsidR="00B60846" w:rsidRDefault="008069FF">
      <w:pPr>
        <w:pStyle w:val="Text2"/>
        <w:ind w:left="0"/>
        <w:rPr>
          <w:noProof/>
        </w:rPr>
      </w:pPr>
      <w:r>
        <w:rPr>
          <w:noProof/>
        </w:rPr>
        <w:t>The CBCA will enable the real</w:t>
      </w:r>
      <w:r>
        <w:rPr>
          <w:noProof/>
        </w:rPr>
        <w:t>ization of PCIs and in turn the benefits of such projects as identified in the CBA. This would also be taken into account for possible CEF financial assistance. The full extent of such benefits cannot be estimated as there are no data available, however, t</w:t>
      </w:r>
      <w:r>
        <w:rPr>
          <w:noProof/>
        </w:rPr>
        <w:t>he example of costs of delay, as described above in the assessment of Option C.1.1, remains a good indication.</w:t>
      </w:r>
      <w:r>
        <w:rPr>
          <w:rStyle w:val="FootnoteReference"/>
          <w:noProof/>
        </w:rPr>
        <w:footnoteReference w:id="132"/>
      </w:r>
    </w:p>
    <w:p w:rsidR="00B60846" w:rsidRDefault="008069FF">
      <w:pPr>
        <w:pStyle w:val="Text2"/>
        <w:ind w:left="0"/>
        <w:rPr>
          <w:i/>
          <w:noProof/>
        </w:rPr>
      </w:pPr>
      <w:r>
        <w:rPr>
          <w:i/>
          <w:iCs/>
          <w:noProof/>
        </w:rPr>
        <w:t xml:space="preserve">Administrative burden </w:t>
      </w:r>
    </w:p>
    <w:p w:rsidR="00B60846" w:rsidRDefault="008069FF">
      <w:pPr>
        <w:pStyle w:val="Text2"/>
        <w:ind w:left="0"/>
        <w:rPr>
          <w:noProof/>
        </w:rPr>
      </w:pPr>
      <w:r>
        <w:rPr>
          <w:noProof/>
        </w:rPr>
        <w:t>According to the stakeholder consultation, the costs for NRAs as a result of TEN-E are low the main cost driver is the CB</w:t>
      </w:r>
      <w:r>
        <w:rPr>
          <w:noProof/>
        </w:rPr>
        <w:t>CA process. For most NRAs less than 1 FTE is estimated to be currently involved</w:t>
      </w:r>
      <w:r>
        <w:rPr>
          <w:rStyle w:val="FootnoteReference"/>
          <w:noProof/>
        </w:rPr>
        <w:footnoteReference w:id="133"/>
      </w:r>
      <w:r>
        <w:rPr>
          <w:noProof/>
        </w:rPr>
        <w:t>.</w:t>
      </w:r>
    </w:p>
    <w:p w:rsidR="00B60846" w:rsidRDefault="008069FF">
      <w:pPr>
        <w:pStyle w:val="Text2"/>
        <w:ind w:left="0"/>
        <w:rPr>
          <w:noProof/>
        </w:rPr>
      </w:pPr>
      <w:r>
        <w:rPr>
          <w:noProof/>
        </w:rPr>
        <w:t>This option increases the administrative burden on NRAs, which will have to allocate costs in full and include them in the tariffs. It also imposes on NRAs an obligation to a</w:t>
      </w:r>
      <w:r>
        <w:rPr>
          <w:noProof/>
        </w:rPr>
        <w:t xml:space="preserve">ssess the investment requests more thoroughly since all CBCA decisions will be final. However, this option decreases the administrative burden for project promoters and the financial market as the projects will benefit from regulatory stability being able </w:t>
      </w:r>
      <w:r>
        <w:rPr>
          <w:noProof/>
        </w:rPr>
        <w:t>to also obtain financing from the market.</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rsidR="00B60846" w:rsidRDefault="008069FF">
      <w:pPr>
        <w:pStyle w:val="Heading1"/>
        <w:rPr>
          <w:noProof/>
        </w:rPr>
      </w:pPr>
      <w:bookmarkStart w:id="897" w:name="_Toc50452109"/>
      <w:bookmarkStart w:id="898" w:name="_Toc39234303"/>
      <w:bookmarkStart w:id="899" w:name="_Toc39234444"/>
      <w:bookmarkStart w:id="900" w:name="_Toc49351352"/>
      <w:bookmarkStart w:id="901" w:name="_Toc49357745"/>
      <w:bookmarkStart w:id="902" w:name="_Toc49359423"/>
      <w:bookmarkStart w:id="903" w:name="_Toc49359758"/>
      <w:bookmarkStart w:id="904" w:name="_Toc49508002"/>
      <w:bookmarkStart w:id="905" w:name="_Toc49508448"/>
      <w:bookmarkStart w:id="906" w:name="_Toc49512359"/>
      <w:bookmarkStart w:id="907" w:name="_Toc49514243"/>
      <w:bookmarkStart w:id="908" w:name="_Toc49516478"/>
      <w:bookmarkStart w:id="909" w:name="_Toc50028508"/>
      <w:bookmarkStart w:id="910" w:name="_Toc50057003"/>
      <w:bookmarkStart w:id="911" w:name="_Toc50063630"/>
      <w:bookmarkStart w:id="912" w:name="_Toc50452110"/>
      <w:bookmarkStart w:id="913" w:name="_Toc50573934"/>
      <w:bookmarkStart w:id="914" w:name="_Toc50581918"/>
      <w:bookmarkStart w:id="915" w:name="_Toc50582701"/>
      <w:bookmarkStart w:id="916" w:name="_Toc51168568"/>
      <w:bookmarkStart w:id="917" w:name="_Toc51169057"/>
      <w:bookmarkStart w:id="918" w:name="_Toc51231551"/>
      <w:bookmarkStart w:id="919" w:name="_Toc51235487"/>
      <w:bookmarkStart w:id="920" w:name="_Toc51237277"/>
      <w:bookmarkStart w:id="921" w:name="_Toc51238662"/>
      <w:bookmarkStart w:id="922" w:name="_Toc51239387"/>
      <w:bookmarkStart w:id="923" w:name="_Toc51268917"/>
      <w:bookmarkStart w:id="924" w:name="_Toc51788299"/>
      <w:bookmarkStart w:id="925" w:name="_Toc51791837"/>
      <w:bookmarkStart w:id="926" w:name="_Toc51793269"/>
      <w:bookmarkStart w:id="927" w:name="_Toc55496469"/>
      <w:r>
        <w:rPr>
          <w:noProof/>
        </w:rPr>
        <w:t>H</w:t>
      </w:r>
      <w:bookmarkEnd w:id="897"/>
      <w:r>
        <w:rPr>
          <w:noProof/>
        </w:rPr>
        <w:t>ow do the options compare?</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B60846" w:rsidRDefault="008069FF">
      <w:pPr>
        <w:rPr>
          <w:noProof/>
        </w:rPr>
      </w:pPr>
      <w:r>
        <w:rPr>
          <w:noProof/>
        </w:rPr>
        <w:t>The options considered are compared against the following criteria:</w:t>
      </w:r>
    </w:p>
    <w:p w:rsidR="00B60846" w:rsidRDefault="008069FF">
      <w:pPr>
        <w:pStyle w:val="ListParagraph"/>
        <w:numPr>
          <w:ilvl w:val="0"/>
          <w:numId w:val="5"/>
        </w:numPr>
        <w:rPr>
          <w:noProof/>
        </w:rPr>
      </w:pPr>
      <w:r>
        <w:rPr>
          <w:b/>
          <w:bCs/>
          <w:noProof/>
        </w:rPr>
        <w:t>Effectiveness</w:t>
      </w:r>
      <w:r>
        <w:rPr>
          <w:noProof/>
        </w:rPr>
        <w:t>: the extent to which different options would achieve the objectives;</w:t>
      </w:r>
    </w:p>
    <w:p w:rsidR="00B60846" w:rsidRDefault="008069FF">
      <w:pPr>
        <w:pStyle w:val="ListParagraph"/>
        <w:numPr>
          <w:ilvl w:val="0"/>
          <w:numId w:val="5"/>
        </w:numPr>
        <w:rPr>
          <w:noProof/>
        </w:rPr>
      </w:pPr>
      <w:r>
        <w:rPr>
          <w:b/>
          <w:bCs/>
          <w:noProof/>
        </w:rPr>
        <w:t>Efficiency</w:t>
      </w:r>
      <w:r>
        <w:rPr>
          <w:noProof/>
        </w:rPr>
        <w:t>: the benefits versus the</w:t>
      </w:r>
      <w:r>
        <w:rPr>
          <w:noProof/>
        </w:rPr>
        <w:t xml:space="preserve"> costs; efficiency concerns "the extent to which objectives can be achieved for a given level of resource/at least cost";</w:t>
      </w:r>
    </w:p>
    <w:p w:rsidR="00B60846" w:rsidRDefault="008069FF">
      <w:pPr>
        <w:pStyle w:val="ListParagraph"/>
        <w:numPr>
          <w:ilvl w:val="0"/>
          <w:numId w:val="5"/>
        </w:numPr>
        <w:rPr>
          <w:noProof/>
        </w:rPr>
      </w:pPr>
      <w:r>
        <w:rPr>
          <w:noProof/>
        </w:rPr>
        <w:t xml:space="preserve">The </w:t>
      </w:r>
      <w:r>
        <w:rPr>
          <w:b/>
          <w:bCs/>
          <w:noProof/>
        </w:rPr>
        <w:t>coherence</w:t>
      </w:r>
      <w:r>
        <w:rPr>
          <w:noProof/>
        </w:rPr>
        <w:t xml:space="preserve"> of each option with the overarching objectives of EU policies;</w:t>
      </w:r>
    </w:p>
    <w:p w:rsidR="00B60846" w:rsidRDefault="008069FF">
      <w:pPr>
        <w:pStyle w:val="ListParagraph"/>
        <w:numPr>
          <w:ilvl w:val="0"/>
          <w:numId w:val="5"/>
        </w:numPr>
        <w:rPr>
          <w:noProof/>
        </w:rPr>
      </w:pPr>
      <w:r>
        <w:rPr>
          <w:noProof/>
        </w:rPr>
        <w:t xml:space="preserve">The compliance of the options with the </w:t>
      </w:r>
      <w:r>
        <w:rPr>
          <w:b/>
          <w:bCs/>
          <w:noProof/>
        </w:rPr>
        <w:t>proportionality pr</w:t>
      </w:r>
      <w:r>
        <w:rPr>
          <w:b/>
          <w:bCs/>
          <w:noProof/>
        </w:rPr>
        <w:t>inciple.</w:t>
      </w:r>
    </w:p>
    <w:p w:rsidR="00B60846" w:rsidRDefault="008069FF">
      <w:pPr>
        <w:rPr>
          <w:noProof/>
        </w:rPr>
      </w:pPr>
      <w:r>
        <w:rPr>
          <w:noProof/>
        </w:rPr>
        <w:fldChar w:fldCharType="begin"/>
      </w:r>
      <w:r>
        <w:rPr>
          <w:noProof/>
        </w:rPr>
        <w:instrText xml:space="preserve"> REF _Ref51184812 \h  \* MERGEFORMAT </w:instrText>
      </w:r>
      <w:r>
        <w:rPr>
          <w:noProof/>
        </w:rPr>
      </w:r>
      <w:r>
        <w:rPr>
          <w:noProof/>
        </w:rPr>
        <w:fldChar w:fldCharType="separate"/>
      </w:r>
      <w:r>
        <w:rPr>
          <w:noProof/>
        </w:rPr>
        <w:t>Table 3</w:t>
      </w:r>
      <w:r>
        <w:rPr>
          <w:noProof/>
        </w:rPr>
        <w:fldChar w:fldCharType="end"/>
      </w:r>
      <w:r>
        <w:rPr>
          <w:noProof/>
        </w:rPr>
        <w:t xml:space="preserve"> summarises the assessment of each option against these criteria. The effectiveness of the policy options considers the extent to which the objectives, as set out in Section 4, are achieved. Specific measures to simplify and improve the efficiency of the T</w:t>
      </w:r>
      <w:r>
        <w:rPr>
          <w:noProof/>
        </w:rPr>
        <w:t>EN-E Regulation are set out in Section 8.2.</w:t>
      </w:r>
    </w:p>
    <w:p w:rsidR="00B60846" w:rsidRDefault="008069FF">
      <w:pPr>
        <w:rPr>
          <w:noProof/>
        </w:rPr>
      </w:pPr>
      <w:r>
        <w:rPr>
          <w:noProof/>
        </w:rPr>
        <w:t xml:space="preserve">The TEN-E Regulation is a key instrument to achieve the timely development of sufficient energy infrastructures to enable delivering on the EU’s energy and climate objectives </w:t>
      </w:r>
      <w:r>
        <w:rPr>
          <w:noProof/>
          <w:lang w:eastAsia="en-GB"/>
        </w:rPr>
        <w:t>in line with the European Green Deal,</w:t>
      </w:r>
      <w:r>
        <w:rPr>
          <w:noProof/>
          <w:lang w:eastAsia="en-GB"/>
        </w:rPr>
        <w:t xml:space="preserve"> in particular</w:t>
      </w:r>
      <w:r>
        <w:rPr>
          <w:noProof/>
        </w:rPr>
        <w:t xml:space="preserve"> the 2030/50 targets, market integration competitiveness, and security of supply. However, it is important to recognise that it is only one element. A number of other complementary policy measures have already been or need to be put in place </w:t>
      </w:r>
      <w:r>
        <w:rPr>
          <w:noProof/>
        </w:rPr>
        <w:t xml:space="preserve">at EU and national. These include investments in the necessary infrastructure projects without a significant cross-border impact, investment in research, development and innovation for new technologies, policies supporting renewable energy generation, and </w:t>
      </w:r>
      <w:r>
        <w:rPr>
          <w:noProof/>
        </w:rPr>
        <w:t>initiatives supporting the acceptance of new infrastructure projects.</w:t>
      </w:r>
    </w:p>
    <w:p w:rsidR="00B60846" w:rsidRDefault="008069FF">
      <w:pPr>
        <w:tabs>
          <w:tab w:val="clear" w:pos="2302"/>
        </w:tabs>
        <w:spacing w:after="200" w:line="276" w:lineRule="auto"/>
        <w:jc w:val="left"/>
        <w:rPr>
          <w:noProof/>
        </w:rPr>
      </w:pPr>
      <w:r>
        <w:rPr>
          <w:noProof/>
        </w:rPr>
        <w:br w:type="page"/>
      </w:r>
    </w:p>
    <w:p w:rsidR="00B60846" w:rsidRDefault="00B60846">
      <w:pPr>
        <w:rPr>
          <w:noProof/>
        </w:rPr>
      </w:pPr>
    </w:p>
    <w:p w:rsidR="00B60846" w:rsidRDefault="008069FF">
      <w:pPr>
        <w:pStyle w:val="Caption"/>
        <w:rPr>
          <w:noProof/>
        </w:rPr>
      </w:pPr>
      <w:bookmarkStart w:id="928" w:name="_Ref51184812"/>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928"/>
      <w:r>
        <w:rPr>
          <w:noProof/>
        </w:rPr>
        <w:t xml:space="preserve">: Comparison of policy options </w:t>
      </w:r>
    </w:p>
    <w:tbl>
      <w:tblPr>
        <w:tblStyle w:val="TableGrid21"/>
        <w:tblW w:w="10052" w:type="dxa"/>
        <w:tblInd w:w="-318" w:type="dxa"/>
        <w:tblLook w:val="04A0" w:firstRow="1" w:lastRow="0" w:firstColumn="1" w:lastColumn="0" w:noHBand="0" w:noVBand="1"/>
      </w:tblPr>
      <w:tblGrid>
        <w:gridCol w:w="1526"/>
        <w:gridCol w:w="3011"/>
        <w:gridCol w:w="1438"/>
        <w:gridCol w:w="1171"/>
        <w:gridCol w:w="1235"/>
        <w:gridCol w:w="1671"/>
      </w:tblGrid>
      <w:tr w:rsidR="00B60846">
        <w:trPr>
          <w:trHeight w:val="136"/>
        </w:trPr>
        <w:tc>
          <w:tcPr>
            <w:tcW w:w="1526" w:type="dxa"/>
          </w:tcPr>
          <w:p w:rsidR="00B60846" w:rsidRDefault="008069FF">
            <w:pPr>
              <w:spacing w:after="0"/>
              <w:rPr>
                <w:rFonts w:eastAsia="Calibri"/>
                <w:b/>
                <w:bCs/>
                <w:noProof/>
                <w:sz w:val="22"/>
                <w:szCs w:val="22"/>
              </w:rPr>
            </w:pPr>
            <w:r>
              <w:rPr>
                <w:rFonts w:eastAsia="Calibri"/>
                <w:b/>
                <w:bCs/>
                <w:noProof/>
                <w:sz w:val="22"/>
                <w:szCs w:val="22"/>
              </w:rPr>
              <w:t>Policy option</w:t>
            </w:r>
          </w:p>
        </w:tc>
        <w:tc>
          <w:tcPr>
            <w:tcW w:w="3011" w:type="dxa"/>
          </w:tcPr>
          <w:p w:rsidR="00B60846" w:rsidRDefault="008069FF">
            <w:pPr>
              <w:tabs>
                <w:tab w:val="clear" w:pos="2302"/>
              </w:tabs>
              <w:spacing w:after="0"/>
              <w:jc w:val="left"/>
              <w:rPr>
                <w:rFonts w:eastAsia="Calibri"/>
                <w:b/>
                <w:bCs/>
                <w:noProof/>
                <w:sz w:val="22"/>
                <w:szCs w:val="22"/>
              </w:rPr>
            </w:pPr>
            <w:r>
              <w:rPr>
                <w:rFonts w:eastAsia="Calibri"/>
                <w:b/>
                <w:bCs/>
                <w:noProof/>
                <w:sz w:val="22"/>
                <w:szCs w:val="22"/>
              </w:rPr>
              <w:t>Description</w:t>
            </w:r>
          </w:p>
        </w:tc>
        <w:tc>
          <w:tcPr>
            <w:tcW w:w="1438" w:type="dxa"/>
          </w:tcPr>
          <w:p w:rsidR="00B60846" w:rsidRDefault="008069FF">
            <w:pPr>
              <w:tabs>
                <w:tab w:val="clear" w:pos="2302"/>
              </w:tabs>
              <w:spacing w:after="0"/>
              <w:jc w:val="center"/>
              <w:rPr>
                <w:rFonts w:eastAsia="Calibri"/>
                <w:b/>
                <w:bCs/>
                <w:noProof/>
                <w:sz w:val="22"/>
                <w:szCs w:val="22"/>
              </w:rPr>
            </w:pPr>
            <w:r>
              <w:rPr>
                <w:rFonts w:eastAsia="Calibri"/>
                <w:b/>
                <w:bCs/>
                <w:noProof/>
                <w:sz w:val="22"/>
                <w:szCs w:val="22"/>
              </w:rPr>
              <w:t>Effectiveness</w:t>
            </w:r>
          </w:p>
        </w:tc>
        <w:tc>
          <w:tcPr>
            <w:tcW w:w="1171" w:type="dxa"/>
          </w:tcPr>
          <w:p w:rsidR="00B60846" w:rsidRDefault="008069FF">
            <w:pPr>
              <w:tabs>
                <w:tab w:val="clear" w:pos="2302"/>
              </w:tabs>
              <w:spacing w:after="0"/>
              <w:jc w:val="center"/>
              <w:rPr>
                <w:rFonts w:eastAsia="Calibri"/>
                <w:b/>
                <w:bCs/>
                <w:noProof/>
                <w:sz w:val="22"/>
                <w:szCs w:val="22"/>
              </w:rPr>
            </w:pPr>
            <w:r>
              <w:rPr>
                <w:rFonts w:eastAsia="Calibri"/>
                <w:b/>
                <w:bCs/>
                <w:noProof/>
                <w:sz w:val="22"/>
                <w:szCs w:val="22"/>
              </w:rPr>
              <w:t>Efficiency</w:t>
            </w:r>
          </w:p>
        </w:tc>
        <w:tc>
          <w:tcPr>
            <w:tcW w:w="1235" w:type="dxa"/>
          </w:tcPr>
          <w:p w:rsidR="00B60846" w:rsidRDefault="008069FF">
            <w:pPr>
              <w:tabs>
                <w:tab w:val="clear" w:pos="2302"/>
              </w:tabs>
              <w:spacing w:after="0"/>
              <w:jc w:val="center"/>
              <w:rPr>
                <w:rFonts w:eastAsia="Calibri"/>
                <w:b/>
                <w:bCs/>
                <w:noProof/>
                <w:sz w:val="22"/>
                <w:szCs w:val="22"/>
              </w:rPr>
            </w:pPr>
            <w:r>
              <w:rPr>
                <w:rFonts w:eastAsia="Calibri"/>
                <w:b/>
                <w:bCs/>
                <w:noProof/>
                <w:sz w:val="22"/>
                <w:szCs w:val="22"/>
              </w:rPr>
              <w:t>Coherence</w:t>
            </w:r>
          </w:p>
        </w:tc>
        <w:tc>
          <w:tcPr>
            <w:tcW w:w="1671" w:type="dxa"/>
          </w:tcPr>
          <w:p w:rsidR="00B60846" w:rsidRDefault="008069FF">
            <w:pPr>
              <w:tabs>
                <w:tab w:val="clear" w:pos="2302"/>
              </w:tabs>
              <w:spacing w:after="0"/>
              <w:jc w:val="center"/>
              <w:rPr>
                <w:rFonts w:eastAsia="Calibri"/>
                <w:b/>
                <w:bCs/>
                <w:noProof/>
                <w:sz w:val="22"/>
                <w:szCs w:val="22"/>
              </w:rPr>
            </w:pPr>
            <w:r>
              <w:rPr>
                <w:rFonts w:eastAsia="Calibri"/>
                <w:b/>
                <w:bCs/>
                <w:noProof/>
                <w:sz w:val="22"/>
                <w:szCs w:val="22"/>
              </w:rPr>
              <w:t>Proportionality</w:t>
            </w:r>
          </w:p>
        </w:tc>
      </w:tr>
      <w:tr w:rsidR="00B60846">
        <w:trPr>
          <w:trHeight w:val="136"/>
        </w:trPr>
        <w:tc>
          <w:tcPr>
            <w:tcW w:w="10052" w:type="dxa"/>
            <w:gridSpan w:val="6"/>
          </w:tcPr>
          <w:p w:rsidR="00B60846" w:rsidRDefault="008069FF">
            <w:pPr>
              <w:tabs>
                <w:tab w:val="clear" w:pos="2302"/>
              </w:tabs>
              <w:spacing w:after="0"/>
              <w:jc w:val="center"/>
              <w:rPr>
                <w:rFonts w:eastAsia="Calibri"/>
                <w:noProof/>
                <w:sz w:val="22"/>
                <w:szCs w:val="22"/>
              </w:rPr>
            </w:pPr>
            <w:r>
              <w:rPr>
                <w:rFonts w:eastAsia="Calibri"/>
                <w:b/>
                <w:bCs/>
                <w:smallCaps/>
                <w:noProof/>
                <w:sz w:val="22"/>
                <w:szCs w:val="22"/>
              </w:rPr>
              <w:t>A) Scope</w:t>
            </w:r>
          </w:p>
        </w:tc>
      </w:tr>
      <w:tr w:rsidR="00B60846">
        <w:trPr>
          <w:trHeight w:val="136"/>
        </w:trPr>
        <w:tc>
          <w:tcPr>
            <w:tcW w:w="10052" w:type="dxa"/>
            <w:gridSpan w:val="6"/>
          </w:tcPr>
          <w:p w:rsidR="00B60846" w:rsidRDefault="008069FF">
            <w:pPr>
              <w:tabs>
                <w:tab w:val="clear" w:pos="2302"/>
              </w:tabs>
              <w:spacing w:after="0"/>
              <w:jc w:val="left"/>
              <w:rPr>
                <w:rFonts w:eastAsia="Calibri"/>
                <w:noProof/>
                <w:sz w:val="22"/>
                <w:szCs w:val="22"/>
              </w:rPr>
            </w:pPr>
            <w:r>
              <w:rPr>
                <w:rFonts w:eastAsia="Calibri"/>
                <w:i/>
                <w:iCs/>
                <w:noProof/>
                <w:sz w:val="22"/>
                <w:szCs w:val="22"/>
              </w:rPr>
              <w:t xml:space="preserve">Options A.1. Smart electricity </w:t>
            </w:r>
            <w:r>
              <w:rPr>
                <w:rFonts w:eastAsia="Calibri"/>
                <w:i/>
                <w:iCs/>
                <w:noProof/>
                <w:sz w:val="22"/>
                <w:szCs w:val="22"/>
              </w:rPr>
              <w:t>grids and electricity storage</w:t>
            </w:r>
          </w:p>
        </w:tc>
      </w:tr>
      <w:tr w:rsidR="00B60846">
        <w:trPr>
          <w:trHeight w:val="136"/>
        </w:trPr>
        <w:tc>
          <w:tcPr>
            <w:tcW w:w="1526" w:type="dxa"/>
          </w:tcPr>
          <w:p w:rsidR="00B60846" w:rsidRDefault="008069FF">
            <w:pPr>
              <w:tabs>
                <w:tab w:val="clear" w:pos="2302"/>
              </w:tabs>
              <w:spacing w:after="0"/>
              <w:jc w:val="left"/>
              <w:rPr>
                <w:rFonts w:eastAsia="Calibri"/>
                <w:i/>
                <w:noProof/>
                <w:sz w:val="22"/>
                <w:szCs w:val="22"/>
              </w:rPr>
            </w:pPr>
            <w:r>
              <w:rPr>
                <w:rFonts w:eastAsia="Calibri"/>
                <w:noProof/>
                <w:sz w:val="22"/>
                <w:szCs w:val="22"/>
              </w:rPr>
              <w:t>Option A.1.0</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526" w:type="dxa"/>
            <w:noWrap/>
            <w:hideMark/>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Option A.1.1 </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Update of eligibility criteria </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r>
      <w:tr w:rsidR="00B60846">
        <w:trPr>
          <w:trHeight w:val="136"/>
        </w:trPr>
        <w:tc>
          <w:tcPr>
            <w:tcW w:w="1526" w:type="dxa"/>
            <w:noWrap/>
          </w:tcPr>
          <w:p w:rsidR="00B60846" w:rsidRDefault="00B60846">
            <w:pPr>
              <w:tabs>
                <w:tab w:val="clear" w:pos="2302"/>
              </w:tabs>
              <w:spacing w:after="0"/>
              <w:jc w:val="left"/>
              <w:rPr>
                <w:rFonts w:eastAsia="Calibri"/>
                <w:noProof/>
                <w:sz w:val="22"/>
                <w:szCs w:val="22"/>
              </w:rPr>
            </w:pP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u w:val="single"/>
              </w:rPr>
              <w:t>Sub-option</w:t>
            </w:r>
            <w:r>
              <w:rPr>
                <w:rFonts w:eastAsia="Calibri"/>
                <w:noProof/>
                <w:sz w:val="22"/>
                <w:szCs w:val="22"/>
              </w:rPr>
              <w:t>: Non-mechanical storage</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r>
      <w:tr w:rsidR="00B60846">
        <w:trPr>
          <w:trHeight w:val="136"/>
        </w:trPr>
        <w:tc>
          <w:tcPr>
            <w:tcW w:w="10052" w:type="dxa"/>
            <w:gridSpan w:val="6"/>
            <w:noWrap/>
          </w:tcPr>
          <w:p w:rsidR="00B60846" w:rsidRDefault="008069FF">
            <w:pPr>
              <w:tabs>
                <w:tab w:val="clear" w:pos="2302"/>
              </w:tabs>
              <w:spacing w:after="0"/>
              <w:jc w:val="left"/>
              <w:rPr>
                <w:rFonts w:eastAsia="Calibri"/>
                <w:i/>
                <w:noProof/>
                <w:sz w:val="22"/>
                <w:szCs w:val="22"/>
              </w:rPr>
            </w:pPr>
            <w:r>
              <w:rPr>
                <w:rFonts w:eastAsia="Calibri"/>
                <w:i/>
                <w:iCs/>
                <w:noProof/>
                <w:sz w:val="22"/>
                <w:szCs w:val="22"/>
              </w:rPr>
              <w:t>Option A.2 Gas infrastructure, hydrogen networks and power-to-gas</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A.2.0</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A.2.1</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Exclude all natural gas infrastructure but include hydrogen and P2G</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A.2.2</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Exclude natural gas infrastructure / include hydrogen, P2G &amp; smart gas grids </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r>
      <w:tr w:rsidR="00B60846">
        <w:trPr>
          <w:trHeight w:val="136"/>
        </w:trPr>
        <w:tc>
          <w:tcPr>
            <w:tcW w:w="1526" w:type="dxa"/>
            <w:noWrap/>
          </w:tcPr>
          <w:p w:rsidR="00B60846" w:rsidRDefault="00B60846">
            <w:pPr>
              <w:tabs>
                <w:tab w:val="clear" w:pos="2302"/>
              </w:tabs>
              <w:spacing w:after="0"/>
              <w:jc w:val="left"/>
              <w:rPr>
                <w:rFonts w:eastAsia="Calibri"/>
                <w:noProof/>
                <w:sz w:val="22"/>
                <w:szCs w:val="22"/>
              </w:rPr>
            </w:pP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u w:val="single"/>
              </w:rPr>
              <w:t>Sub-option</w:t>
            </w:r>
            <w:r>
              <w:rPr>
                <w:rFonts w:eastAsia="Calibri"/>
                <w:noProof/>
                <w:sz w:val="22"/>
                <w:szCs w:val="22"/>
              </w:rPr>
              <w:t xml:space="preserve">: Natural gas </w:t>
            </w:r>
            <w:r>
              <w:rPr>
                <w:rFonts w:eastAsia="Calibri"/>
                <w:noProof/>
                <w:sz w:val="22"/>
                <w:szCs w:val="22"/>
              </w:rPr>
              <w:t>infrastructure for renewable and low-carbon gases</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526" w:type="dxa"/>
            <w:noWrap/>
          </w:tcPr>
          <w:p w:rsidR="00B60846" w:rsidRDefault="00B60846">
            <w:pPr>
              <w:tabs>
                <w:tab w:val="clear" w:pos="2302"/>
              </w:tabs>
              <w:spacing w:after="0"/>
              <w:jc w:val="left"/>
              <w:rPr>
                <w:rFonts w:eastAsia="Calibri"/>
                <w:noProof/>
                <w:sz w:val="22"/>
                <w:szCs w:val="22"/>
              </w:rPr>
            </w:pP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u w:val="single"/>
              </w:rPr>
              <w:t>Sub-option</w:t>
            </w:r>
            <w:r>
              <w:rPr>
                <w:rFonts w:eastAsia="Calibri"/>
                <w:noProof/>
                <w:sz w:val="22"/>
                <w:szCs w:val="22"/>
              </w:rPr>
              <w:t>: Exceptions for natural gas PCIs (advanced implementation)</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r>
      <w:tr w:rsidR="00B60846">
        <w:trPr>
          <w:trHeight w:val="136"/>
        </w:trPr>
        <w:tc>
          <w:tcPr>
            <w:tcW w:w="10052" w:type="dxa"/>
            <w:gridSpan w:val="6"/>
            <w:noWrap/>
          </w:tcPr>
          <w:p w:rsidR="00B60846" w:rsidRDefault="008069FF">
            <w:pPr>
              <w:tabs>
                <w:tab w:val="clear" w:pos="2302"/>
              </w:tabs>
              <w:spacing w:after="0"/>
              <w:jc w:val="left"/>
              <w:rPr>
                <w:rFonts w:eastAsia="Calibri"/>
                <w:i/>
                <w:iCs/>
                <w:noProof/>
                <w:sz w:val="22"/>
                <w:szCs w:val="22"/>
              </w:rPr>
            </w:pPr>
            <w:r>
              <w:rPr>
                <w:rFonts w:eastAsia="Calibri"/>
                <w:i/>
                <w:iCs/>
                <w:noProof/>
                <w:sz w:val="22"/>
                <w:szCs w:val="22"/>
              </w:rPr>
              <w:t>Option A.3 Projects of mutual interest (PMIs)</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A.3.0</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A.3.1</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Inclusion of </w:t>
            </w:r>
            <w:r>
              <w:rPr>
                <w:rFonts w:eastAsia="Calibri"/>
                <w:noProof/>
                <w:sz w:val="22"/>
                <w:szCs w:val="22"/>
              </w:rPr>
              <w:t>projects of mutual interest (PMIs)</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0052" w:type="dxa"/>
            <w:gridSpan w:val="6"/>
            <w:noWrap/>
          </w:tcPr>
          <w:p w:rsidR="00B60846" w:rsidRDefault="008069FF">
            <w:pPr>
              <w:tabs>
                <w:tab w:val="clear" w:pos="2302"/>
              </w:tabs>
              <w:spacing w:after="0"/>
              <w:jc w:val="center"/>
              <w:rPr>
                <w:rFonts w:eastAsia="Calibri"/>
                <w:noProof/>
                <w:sz w:val="22"/>
                <w:szCs w:val="22"/>
              </w:rPr>
            </w:pPr>
            <w:r>
              <w:rPr>
                <w:rFonts w:eastAsia="Calibri"/>
                <w:b/>
                <w:bCs/>
                <w:smallCaps/>
                <w:noProof/>
                <w:sz w:val="22"/>
                <w:szCs w:val="22"/>
              </w:rPr>
              <w:t>B) Governance / Infrastructure planning</w:t>
            </w:r>
          </w:p>
        </w:tc>
      </w:tr>
      <w:tr w:rsidR="00B60846">
        <w:trPr>
          <w:trHeight w:val="136"/>
        </w:trPr>
        <w:tc>
          <w:tcPr>
            <w:tcW w:w="10052" w:type="dxa"/>
            <w:gridSpan w:val="6"/>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Option B.1 Offshore grids for renewable energy</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B.1.0</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B.1.1</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Integrated offshore development plans</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B.1.2</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Regional ISO / JU </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r>
      <w:tr w:rsidR="00B60846">
        <w:trPr>
          <w:trHeight w:val="136"/>
        </w:trPr>
        <w:tc>
          <w:tcPr>
            <w:tcW w:w="10052" w:type="dxa"/>
            <w:gridSpan w:val="6"/>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Option B.2 Cross-sectoral infrastructure planning</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B.2.0</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B.2.1</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Strengthened governance and sustainability</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B.2.2</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New governance set-up </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0052" w:type="dxa"/>
            <w:gridSpan w:val="6"/>
            <w:noWrap/>
          </w:tcPr>
          <w:p w:rsidR="00B60846" w:rsidRDefault="008069FF">
            <w:pPr>
              <w:tabs>
                <w:tab w:val="clear" w:pos="2302"/>
              </w:tabs>
              <w:spacing w:after="0"/>
              <w:jc w:val="center"/>
              <w:rPr>
                <w:rFonts w:eastAsia="Calibri"/>
                <w:b/>
                <w:bCs/>
                <w:smallCaps/>
                <w:noProof/>
                <w:sz w:val="22"/>
                <w:szCs w:val="22"/>
              </w:rPr>
            </w:pPr>
            <w:r>
              <w:rPr>
                <w:rFonts w:eastAsia="Calibri"/>
                <w:b/>
                <w:bCs/>
                <w:smallCaps/>
                <w:noProof/>
                <w:sz w:val="22"/>
                <w:szCs w:val="22"/>
              </w:rPr>
              <w:t xml:space="preserve">C) Permitting </w:t>
            </w:r>
          </w:p>
        </w:tc>
      </w:tr>
      <w:tr w:rsidR="00B60846">
        <w:trPr>
          <w:trHeight w:val="136"/>
        </w:trPr>
        <w:tc>
          <w:tcPr>
            <w:tcW w:w="10052" w:type="dxa"/>
            <w:gridSpan w:val="6"/>
            <w:noWrap/>
          </w:tcPr>
          <w:p w:rsidR="00B60846" w:rsidRDefault="008069FF">
            <w:pPr>
              <w:tabs>
                <w:tab w:val="clear" w:pos="2302"/>
              </w:tabs>
              <w:spacing w:after="0"/>
              <w:jc w:val="left"/>
              <w:rPr>
                <w:rFonts w:eastAsia="Calibri"/>
                <w:iCs/>
                <w:noProof/>
                <w:sz w:val="22"/>
                <w:szCs w:val="22"/>
              </w:rPr>
            </w:pPr>
            <w:r>
              <w:rPr>
                <w:rFonts w:eastAsia="Calibri"/>
                <w:i/>
                <w:iCs/>
                <w:noProof/>
                <w:sz w:val="22"/>
                <w:szCs w:val="22"/>
              </w:rPr>
              <w:t xml:space="preserve">Option </w:t>
            </w:r>
            <w:r>
              <w:rPr>
                <w:rFonts w:eastAsia="Calibri"/>
                <w:i/>
                <w:iCs/>
                <w:noProof/>
                <w:sz w:val="22"/>
                <w:szCs w:val="22"/>
              </w:rPr>
              <w:t>C.1 Permitting</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C.1.0</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C.1.1.</w:t>
            </w:r>
          </w:p>
        </w:tc>
        <w:tc>
          <w:tcPr>
            <w:tcW w:w="3011" w:type="dxa"/>
          </w:tcPr>
          <w:p w:rsidR="00B60846" w:rsidRDefault="008069FF">
            <w:pPr>
              <w:tabs>
                <w:tab w:val="clear" w:pos="2302"/>
              </w:tabs>
              <w:spacing w:after="0"/>
              <w:jc w:val="left"/>
              <w:rPr>
                <w:rFonts w:eastAsia="Calibri"/>
                <w:i/>
                <w:noProof/>
                <w:sz w:val="22"/>
                <w:szCs w:val="22"/>
              </w:rPr>
            </w:pPr>
            <w:r>
              <w:rPr>
                <w:rFonts w:eastAsia="Calibri"/>
                <w:noProof/>
                <w:sz w:val="22"/>
                <w:szCs w:val="22"/>
              </w:rPr>
              <w:t>Use of urgent court procedures</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C.1.2</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One-stop shop per sea basin for offshore renewable projects</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0052" w:type="dxa"/>
            <w:gridSpan w:val="6"/>
            <w:noWrap/>
          </w:tcPr>
          <w:p w:rsidR="00B60846" w:rsidRDefault="008069FF">
            <w:pPr>
              <w:tabs>
                <w:tab w:val="clear" w:pos="2302"/>
              </w:tabs>
              <w:spacing w:after="0"/>
              <w:jc w:val="center"/>
              <w:rPr>
                <w:rFonts w:eastAsia="Calibri"/>
                <w:b/>
                <w:bCs/>
                <w:smallCaps/>
                <w:noProof/>
                <w:sz w:val="22"/>
                <w:szCs w:val="22"/>
              </w:rPr>
            </w:pPr>
            <w:r>
              <w:rPr>
                <w:rFonts w:eastAsia="Calibri"/>
                <w:b/>
                <w:bCs/>
                <w:smallCaps/>
                <w:noProof/>
                <w:sz w:val="22"/>
                <w:szCs w:val="22"/>
              </w:rPr>
              <w:t>D) Regulatory treatment</w:t>
            </w:r>
          </w:p>
        </w:tc>
      </w:tr>
      <w:tr w:rsidR="00B60846">
        <w:trPr>
          <w:trHeight w:val="136"/>
        </w:trPr>
        <w:tc>
          <w:tcPr>
            <w:tcW w:w="10052" w:type="dxa"/>
            <w:gridSpan w:val="6"/>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Option D.1 Regulatory treatment</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D.1.0</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D.1.1</w:t>
            </w:r>
          </w:p>
        </w:tc>
        <w:tc>
          <w:tcPr>
            <w:tcW w:w="3011" w:type="dxa"/>
          </w:tcPr>
          <w:p w:rsidR="00B60846" w:rsidRDefault="008069FF">
            <w:pPr>
              <w:tabs>
                <w:tab w:val="clear" w:pos="2302"/>
              </w:tabs>
              <w:spacing w:after="0"/>
              <w:jc w:val="left"/>
              <w:rPr>
                <w:rFonts w:eastAsia="Calibri"/>
                <w:noProof/>
                <w:sz w:val="22"/>
                <w:szCs w:val="22"/>
              </w:rPr>
            </w:pPr>
            <w:r>
              <w:rPr>
                <w:rFonts w:eastAsia="Calibri"/>
                <w:noProof/>
                <w:sz w:val="22"/>
                <w:szCs w:val="22"/>
              </w:rPr>
              <w:t>Inclusion full investment costs</w:t>
            </w:r>
          </w:p>
        </w:tc>
        <w:tc>
          <w:tcPr>
            <w:tcW w:w="1438"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171"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235" w:type="dxa"/>
          </w:tcPr>
          <w:p w:rsidR="00B60846" w:rsidRDefault="008069FF">
            <w:pPr>
              <w:tabs>
                <w:tab w:val="clear" w:pos="2302"/>
              </w:tabs>
              <w:spacing w:after="0"/>
              <w:jc w:val="center"/>
              <w:rPr>
                <w:rFonts w:eastAsia="Calibri"/>
                <w:noProof/>
                <w:sz w:val="22"/>
                <w:szCs w:val="22"/>
              </w:rPr>
            </w:pPr>
            <w:r>
              <w:rPr>
                <w:rFonts w:eastAsia="Calibri"/>
                <w:noProof/>
                <w:sz w:val="22"/>
                <w:szCs w:val="22"/>
              </w:rPr>
              <w:t>+</w:t>
            </w:r>
          </w:p>
        </w:tc>
        <w:tc>
          <w:tcPr>
            <w:tcW w:w="1671" w:type="dxa"/>
          </w:tcPr>
          <w:p w:rsidR="00B60846" w:rsidRDefault="008069FF">
            <w:pPr>
              <w:tabs>
                <w:tab w:val="clear" w:pos="2302"/>
              </w:tabs>
              <w:spacing w:after="0"/>
              <w:jc w:val="center"/>
              <w:rPr>
                <w:rFonts w:eastAsia="Calibri"/>
                <w:noProof/>
                <w:sz w:val="22"/>
                <w:szCs w:val="22"/>
              </w:rPr>
            </w:pPr>
            <w:r>
              <w:rPr>
                <w:rFonts w:eastAsia="Calibri"/>
                <w:noProof/>
                <w:sz w:val="22"/>
                <w:szCs w:val="22"/>
              </w:rPr>
              <w:t>o</w:t>
            </w:r>
          </w:p>
        </w:tc>
      </w:tr>
    </w:tbl>
    <w:p w:rsidR="00B60846" w:rsidRDefault="008069FF">
      <w:pPr>
        <w:tabs>
          <w:tab w:val="clear" w:pos="2302"/>
        </w:tabs>
        <w:spacing w:after="0"/>
        <w:jc w:val="left"/>
        <w:rPr>
          <w:rFonts w:eastAsia="Calibri"/>
          <w:noProof/>
          <w:sz w:val="20"/>
        </w:rPr>
      </w:pPr>
      <w:r>
        <w:rPr>
          <w:rFonts w:eastAsia="Calibri"/>
          <w:noProof/>
          <w:sz w:val="20"/>
        </w:rPr>
        <w:t>Legend: -=small negative impacts; --= large negative impact; 0= no change; + = limited improvement; ++= significant improvement</w:t>
      </w:r>
    </w:p>
    <w:p w:rsidR="00B60846" w:rsidRDefault="00B60846">
      <w:pPr>
        <w:tabs>
          <w:tab w:val="clear" w:pos="2302"/>
        </w:tabs>
        <w:spacing w:after="0"/>
        <w:jc w:val="left"/>
        <w:rPr>
          <w:rFonts w:eastAsia="Calibri"/>
          <w:noProof/>
          <w:sz w:val="20"/>
        </w:rPr>
      </w:pPr>
    </w:p>
    <w:p w:rsidR="00B60846" w:rsidRDefault="008069FF">
      <w:pPr>
        <w:tabs>
          <w:tab w:val="clear" w:pos="2302"/>
        </w:tabs>
        <w:spacing w:after="200" w:line="276" w:lineRule="auto"/>
        <w:jc w:val="left"/>
        <w:rPr>
          <w:b/>
          <w:bCs/>
          <w:noProof/>
        </w:rPr>
      </w:pPr>
      <w:r>
        <w:rPr>
          <w:b/>
          <w:bCs/>
          <w:noProof/>
        </w:rPr>
        <w:br w:type="page"/>
      </w:r>
    </w:p>
    <w:p w:rsidR="00B60846" w:rsidRDefault="008069FF">
      <w:pPr>
        <w:rPr>
          <w:b/>
          <w:noProof/>
        </w:rPr>
      </w:pPr>
      <w:r>
        <w:rPr>
          <w:b/>
          <w:bCs/>
          <w:noProof/>
        </w:rPr>
        <w:t xml:space="preserve">Smart electricity grids and </w:t>
      </w:r>
      <w:r>
        <w:rPr>
          <w:b/>
          <w:bCs/>
          <w:noProof/>
        </w:rPr>
        <w:t>electricity storage</w:t>
      </w:r>
    </w:p>
    <w:p w:rsidR="00B60846" w:rsidRDefault="008069FF">
      <w:pPr>
        <w:rPr>
          <w:noProof/>
        </w:rPr>
      </w:pPr>
      <w:r>
        <w:rPr>
          <w:noProof/>
        </w:rPr>
        <w:t>The assessment in section 6 showed that cross-border smart electricity grids constitute an important infrastructure category to enable the achievement of climate neutrality, market integration, competitiveness, security of supply in a r</w:t>
      </w:r>
      <w:r>
        <w:rPr>
          <w:noProof/>
        </w:rPr>
        <w:t>apidly changing and increasingly  digitalised energy system. Nevertheless, this potential is currently not sufficiently exploited which would continue to be the case under BAU. Updating the eligibility criteria for electricity smart grids, whilst safeguard</w:t>
      </w:r>
      <w:r>
        <w:rPr>
          <w:noProof/>
        </w:rPr>
        <w:t>ing the cross-border impact with the participation of project promotors from two or more Member States, would significantly increase the effectiveness of the policy instrument by allowing more smart electricity projects to apply for PCI status. It would th</w:t>
      </w:r>
      <w:r>
        <w:rPr>
          <w:noProof/>
        </w:rPr>
        <w:t xml:space="preserve">erefore improve effectiveness by updating an infrastructure category necessary for the achievement of the climate and energy objectives. It would also have a positive impact on the efficiency as it would facilitate the cooperation between DSOs and TSOs by </w:t>
      </w:r>
      <w:r>
        <w:rPr>
          <w:noProof/>
        </w:rPr>
        <w:t>reducing administrative costs. The broadened scope would also improve the coherence of the policy instrument as it would address the digital transition and support the electrification of the transport sector.</w:t>
      </w:r>
    </w:p>
    <w:p w:rsidR="00B60846" w:rsidRDefault="008069FF">
      <w:pPr>
        <w:rPr>
          <w:noProof/>
        </w:rPr>
      </w:pPr>
      <w:r>
        <w:rPr>
          <w:noProof/>
        </w:rPr>
        <w:t>However, while the importance of electricity st</w:t>
      </w:r>
      <w:r>
        <w:rPr>
          <w:noProof/>
        </w:rPr>
        <w:t>orage has been demonstrated in general terms, reducing the threshold for non-mechanical storage technologies would undermine the potential cross-border impact. Therefore, a broadened scope with a sufficiently ambitious cross-border criteria for non-mechani</w:t>
      </w:r>
      <w:r>
        <w:rPr>
          <w:noProof/>
        </w:rPr>
        <w:t xml:space="preserve">cal storage technologies may result in very few projects being selected potentially leading to higher costs than benefits, although this will depend on the exact definition of the cross-border impact as eligibility criterion and technological progress. </w:t>
      </w:r>
    </w:p>
    <w:p w:rsidR="00B60846" w:rsidRDefault="008069FF">
      <w:pPr>
        <w:rPr>
          <w:b/>
          <w:noProof/>
        </w:rPr>
      </w:pPr>
      <w:r>
        <w:rPr>
          <w:b/>
          <w:bCs/>
          <w:noProof/>
        </w:rPr>
        <w:t>Ga</w:t>
      </w:r>
      <w:r>
        <w:rPr>
          <w:b/>
          <w:bCs/>
          <w:noProof/>
        </w:rPr>
        <w:t>s infrastructure, hydrogen networks and power-to-gas</w:t>
      </w:r>
    </w:p>
    <w:p w:rsidR="00B60846" w:rsidRDefault="008069FF">
      <w:pPr>
        <w:rPr>
          <w:noProof/>
        </w:rPr>
      </w:pPr>
      <w:r>
        <w:rPr>
          <w:noProof/>
        </w:rPr>
        <w:t>The continuation of the current framework would have a significantly negative impact on its effectiveness against the identified objectives. The assessment showed that no new cross-border natural gas inf</w:t>
      </w:r>
      <w:r>
        <w:rPr>
          <w:noProof/>
        </w:rPr>
        <w:t>rastructure is needed in the EU due to the already commissioned gas PCIs or those under development as well as due to the expected reduction in demand for natural gas in the context of decarbonisation. Maintaining eligibility for natural gas projects would</w:t>
      </w:r>
      <w:r>
        <w:rPr>
          <w:noProof/>
        </w:rPr>
        <w:t xml:space="preserve"> create unnecessary administrative costs for all actors involved in the PCI selection process as such projects would not be selected for PCI status if they cannot demonstrate benefits against identified needs. It could even entail the risk of financing str</w:t>
      </w:r>
      <w:r>
        <w:rPr>
          <w:noProof/>
        </w:rPr>
        <w:t>anded assets at the cost of consumers through network tariffs. BAU would be in contradiction with the climate neutrality objective, strongly incoherent with other EU policies and be at odds with the objective to create a future-proof TEN-E framework.</w:t>
      </w:r>
    </w:p>
    <w:p w:rsidR="00B60846" w:rsidRDefault="008069FF">
      <w:pPr>
        <w:rPr>
          <w:noProof/>
        </w:rPr>
      </w:pPr>
      <w:r>
        <w:rPr>
          <w:noProof/>
        </w:rPr>
        <w:t>Limit</w:t>
      </w:r>
      <w:r>
        <w:rPr>
          <w:noProof/>
        </w:rPr>
        <w:t>ing the scope to new and repurposed hydrogen networks and P2G would be fully coherent in view of the infrastructure required in the decarbonisation pathways towards 2050 and the expected role of hydrogen in it. It would also be more effective than the curr</w:t>
      </w:r>
      <w:r>
        <w:rPr>
          <w:noProof/>
        </w:rPr>
        <w:t>ent framework in identifying the projects and investments needed for carbon-neutrality. The inclusion of hydrogen networks with cross-border relevance is necessary for a wider and more cost-efficient role out of hydrogen infrastructure based on European in</w:t>
      </w:r>
      <w:r>
        <w:rPr>
          <w:noProof/>
        </w:rPr>
        <w:t>frastructure planning for hydrogen. While current costs of these technologies are significant, these would not directly affect network tariffs and final consumer prices as long as these are non-regulated assets. Moreover, the inclusion of full conversion o</w:t>
      </w:r>
      <w:r>
        <w:rPr>
          <w:noProof/>
        </w:rPr>
        <w:t>f existing natural gas assets would lead to a more cost-effective and more socially affordable pathway to the deployment of hydrogen infrastructure and avoid stranded assets in the existing gas network. In addition, their inclusion under TEN-E could help t</w:t>
      </w:r>
      <w:r>
        <w:rPr>
          <w:noProof/>
        </w:rPr>
        <w:t>he deployment of hydrogen in different regions in the EU, also through CEF financial assistance. As regards EU added value, the inclusion of hydrogen networks will facilitate the development of cross-border hydrogen infrastructure and P2G assets of cross-b</w:t>
      </w:r>
      <w:r>
        <w:rPr>
          <w:noProof/>
        </w:rPr>
        <w:t xml:space="preserve">order relevance, which may otherwise not take place. The policy option is proportional, as the prioritized projects would have to prove cross-border impact. </w:t>
      </w:r>
    </w:p>
    <w:p w:rsidR="00B60846" w:rsidRDefault="008069FF">
      <w:pPr>
        <w:rPr>
          <w:noProof/>
        </w:rPr>
      </w:pPr>
      <w:r>
        <w:rPr>
          <w:noProof/>
        </w:rPr>
        <w:t>Including in the scope also smart gas grids could increase the effectiveness of the future TEN-E a</w:t>
      </w:r>
      <w:r>
        <w:rPr>
          <w:noProof/>
        </w:rPr>
        <w:t xml:space="preserve">nd would help to deliver decarbonisation already in the shorter term (because the emergence of cross-border hydrogen networks is expected as of 2030). The option is coherent with the EU decarbonisation policies and technology-neutrality, as low-carbon and </w:t>
      </w:r>
      <w:r>
        <w:rPr>
          <w:noProof/>
        </w:rPr>
        <w:t>renewable methane gases will play a role in the decarbonisation of the energy system and projects with cross-border relevance can reduce the related costs. The inclusion of smart gas grids would be proportional, as all projects would ensure better integrat</w:t>
      </w:r>
      <w:r>
        <w:rPr>
          <w:noProof/>
        </w:rPr>
        <w:t>ion of renewable and low carbon gases with the transmission level; at the same time such projects have to prove cross-border relevance and EU added value.</w:t>
      </w:r>
    </w:p>
    <w:p w:rsidR="00B60846" w:rsidRDefault="008069FF">
      <w:pPr>
        <w:rPr>
          <w:noProof/>
        </w:rPr>
      </w:pPr>
      <w:r>
        <w:rPr>
          <w:noProof/>
        </w:rPr>
        <w:t>In principle, keeping in the scope natural gas transmission projects specifically for low carbon and renewable gases and adding hydrogen blending projects could also contribute to these criteria; however, the coherence and effectiveness of this policy opti</w:t>
      </w:r>
      <w:r>
        <w:rPr>
          <w:noProof/>
        </w:rPr>
        <w:t>on depends on the ability of such projects to deliver significant net GHG savings. This could be mitigated to a certain extent by safeguards on the projects’ sustainability impact but it is unlikely to fully avoid the risk of “green washing” and stranded a</w:t>
      </w:r>
      <w:r>
        <w:rPr>
          <w:noProof/>
        </w:rPr>
        <w:t>ssets. This is in particular the case for new gas transmission infrastructure built for renewable gases, where the risk that the created assets continue to be used for natural gas would be too big, reducing this option’s effectiveness in reaching the polic</w:t>
      </w:r>
      <w:r>
        <w:rPr>
          <w:noProof/>
        </w:rPr>
        <w:t>y objective as well as policy coherence. Retrofits of existing natural gas transmission assets for hydrogen admixtures have a limited scope to deliver sustainability benefits because of the lower energy value of hydrogen and the feasibility and cost-effect</w:t>
      </w:r>
      <w:r>
        <w:rPr>
          <w:noProof/>
        </w:rPr>
        <w:t xml:space="preserve">iveness is lowered by the significant adaptation and investment needs on the end-use side. Furthermore, such projects are unlikely to have significant cross-border impact.  </w:t>
      </w:r>
    </w:p>
    <w:p w:rsidR="00B60846" w:rsidRDefault="008069FF">
      <w:pPr>
        <w:rPr>
          <w:noProof/>
        </w:rPr>
      </w:pPr>
      <w:r>
        <w:rPr>
          <w:noProof/>
        </w:rPr>
        <w:t>An exception for advanced natural gas PCIs would not be effective, neither coheren</w:t>
      </w:r>
      <w:r>
        <w:rPr>
          <w:noProof/>
        </w:rPr>
        <w:t>t with the more ambitious decarbonisation objectives of the climate target plan. Furthermore, such an exception would not be efficient, as the projects captured by the exception should be already sufficiently advanced to ensure their completion even in the</w:t>
      </w:r>
      <w:r>
        <w:rPr>
          <w:noProof/>
        </w:rPr>
        <w:t xml:space="preserve"> absence of a PCI status. Hence, such a provision could be considered disproportionate.</w:t>
      </w:r>
    </w:p>
    <w:p w:rsidR="00B60846" w:rsidRDefault="008069FF">
      <w:pPr>
        <w:rPr>
          <w:b/>
          <w:bCs/>
          <w:noProof/>
        </w:rPr>
      </w:pPr>
      <w:r>
        <w:rPr>
          <w:b/>
          <w:bCs/>
          <w:noProof/>
        </w:rPr>
        <w:t>Projects of mutual interest</w:t>
      </w:r>
    </w:p>
    <w:p w:rsidR="00B60846" w:rsidRDefault="008069FF">
      <w:pPr>
        <w:rPr>
          <w:noProof/>
        </w:rPr>
      </w:pPr>
      <w:r>
        <w:rPr>
          <w:noProof/>
        </w:rPr>
        <w:t>Under the BAU option, only a limited number of projects with third countries have been identified as PCIs which is unlikely to change and li</w:t>
      </w:r>
      <w:r>
        <w:rPr>
          <w:noProof/>
        </w:rPr>
        <w:t xml:space="preserve">mits the effectiveness and coherence of the current framework. The inclusion of PMIs in the revised TEN-E Regulation would take account of the increasing role of interconnections with third countries. The selection of PMIs within the TEN-E framework would </w:t>
      </w:r>
      <w:r>
        <w:rPr>
          <w:noProof/>
        </w:rPr>
        <w:t>increase the effectiveness of the Regulation since it would expand the scope of eligible infrastructure necessary to achieve EU climate and energy policy objectives. However, this would require project specific regulatory approximation with the relevant EU</w:t>
      </w:r>
      <w:r>
        <w:rPr>
          <w:noProof/>
        </w:rPr>
        <w:t xml:space="preserve"> policies to limit adverse socio-economic or environmental impacts. Procedures for monitoring and enforcement would need to be established. This would entail additional administrative costs which would depend on the number and specificities of the projects</w:t>
      </w:r>
      <w:r>
        <w:rPr>
          <w:noProof/>
        </w:rPr>
        <w:t xml:space="preserve"> and countries involved. However, these additional costs should be outweighed by the significant net socio-economic benefits of these projects. In addition, the inclusion of PMIs would increase the coherence of the TEN-E framework with other policies such </w:t>
      </w:r>
      <w:r>
        <w:rPr>
          <w:noProof/>
        </w:rPr>
        <w:t>as the EU neighbourhood policies and allow extending the scope of benefits accruing from the implementation of the EU’s regulatory framework beyond its borders.</w:t>
      </w:r>
    </w:p>
    <w:p w:rsidR="00B60846" w:rsidRDefault="008069FF">
      <w:pPr>
        <w:rPr>
          <w:b/>
          <w:noProof/>
        </w:rPr>
      </w:pPr>
      <w:r>
        <w:rPr>
          <w:b/>
          <w:bCs/>
          <w:noProof/>
        </w:rPr>
        <w:t>Offshore grids for renewable energy</w:t>
      </w:r>
    </w:p>
    <w:p w:rsidR="00B60846" w:rsidRDefault="008069FF">
      <w:pPr>
        <w:rPr>
          <w:noProof/>
        </w:rPr>
      </w:pPr>
      <w:r>
        <w:rPr>
          <w:noProof/>
        </w:rPr>
        <w:t>As described in Section 6, the current framework is not eff</w:t>
      </w:r>
      <w:r>
        <w:rPr>
          <w:noProof/>
        </w:rPr>
        <w:t>ective to identify the projects necessary to contribute to the large role-out of the offshore infrastructure which are a precondition to achieve the offshore renewable generation capacity needed to meet the climate neutrality objective. The current approac</w:t>
      </w:r>
      <w:r>
        <w:rPr>
          <w:noProof/>
        </w:rPr>
        <w:t>h to infrastructure planning does not address the specific needs and challenges for offshore grids.</w:t>
      </w:r>
    </w:p>
    <w:p w:rsidR="00B60846" w:rsidRDefault="008069FF">
      <w:pPr>
        <w:rPr>
          <w:noProof/>
        </w:rPr>
      </w:pPr>
      <w:r>
        <w:rPr>
          <w:noProof/>
        </w:rPr>
        <w:t>Integrated offshore development plans would significantly improve the effectiveness of the TEN-E framework by departing from a bottom up planning approach t</w:t>
      </w:r>
      <w:r>
        <w:rPr>
          <w:noProof/>
        </w:rPr>
        <w:t>o a planning against agreed objectives at regional level whilst integrating aspects of maritime spatial planning and environmental impact. This would address specific situation of offshore grids starting from scratch and spanning across different Member St</w:t>
      </w:r>
      <w:r>
        <w:rPr>
          <w:noProof/>
        </w:rPr>
        <w:t>ates. An incremental approach to cross-border interconnections building on existing (national) infrastructure networks is not feasible and would not allow to progress at the speed required to reach climate neutrality. Such an approach would also minimise t</w:t>
      </w:r>
      <w:r>
        <w:rPr>
          <w:noProof/>
        </w:rPr>
        <w:t>he environmental impact of the future offshore infrastructure. Due to an optimised cross-border grid planning at regional level per sea basin it would reduce overall investments costs and provide an EU added value. This policy option scores highly in terms</w:t>
      </w:r>
      <w:r>
        <w:rPr>
          <w:noProof/>
        </w:rPr>
        <w:t xml:space="preserve"> of policy coherence as it is fully in line with other EU policies such as the Green Deal and the forthcoming Offshore Renewable Energy Strategy.</w:t>
      </w:r>
    </w:p>
    <w:p w:rsidR="00B60846" w:rsidRDefault="008069FF">
      <w:pPr>
        <w:rPr>
          <w:noProof/>
        </w:rPr>
      </w:pPr>
      <w:r>
        <w:rPr>
          <w:noProof/>
        </w:rPr>
        <w:t>The establishment of a regional Independent System Operator or Joint Undertaking would in the mid- to long-ter</w:t>
      </w:r>
      <w:r>
        <w:rPr>
          <w:noProof/>
        </w:rPr>
        <w:t xml:space="preserve">m be similarly effective to the previous option. However, it would take significant time to establish such a new entity which requires the agreement of all relevant parties involved (Member States, TSOs, NRAs) concerning responsibilities and tasks of such </w:t>
      </w:r>
      <w:r>
        <w:rPr>
          <w:noProof/>
        </w:rPr>
        <w:t>an entity and its financing. This would delay the implementation of a new approach to offshore infrastructure planning. It would also entail significant costs which would be disproportionate and premature at this stage of offshore renewable energy deployme</w:t>
      </w:r>
      <w:r>
        <w:rPr>
          <w:noProof/>
        </w:rPr>
        <w:t>nt. It would quite significantly interfere with the responsibilities of Member States, TSOs, and NRA and hence appears disproportionate.</w:t>
      </w:r>
    </w:p>
    <w:p w:rsidR="00B60846" w:rsidRDefault="008069FF">
      <w:pPr>
        <w:rPr>
          <w:rFonts w:eastAsia="Calibri"/>
          <w:b/>
          <w:noProof/>
        </w:rPr>
      </w:pPr>
      <w:r>
        <w:rPr>
          <w:rFonts w:eastAsia="Calibri"/>
          <w:b/>
          <w:bCs/>
          <w:noProof/>
        </w:rPr>
        <w:t>Cross-sectoral infrastructure planning</w:t>
      </w:r>
    </w:p>
    <w:p w:rsidR="00B60846" w:rsidRDefault="008069FF">
      <w:pPr>
        <w:rPr>
          <w:noProof/>
        </w:rPr>
      </w:pPr>
      <w:r>
        <w:rPr>
          <w:noProof/>
        </w:rPr>
        <w:t>As regards the effectiveness in terms of both supporting the identification of t</w:t>
      </w:r>
      <w:r>
        <w:rPr>
          <w:noProof/>
        </w:rPr>
        <w:t>he infrastructure necessary to meet the set policy objectives and achieving an integrated network planning, the continuation of the current TEN-E would perpetuate the sectoral approach to network planning. This would not ensure that only those projects tha</w:t>
      </w:r>
      <w:r>
        <w:rPr>
          <w:noProof/>
        </w:rPr>
        <w:t>t are necessary for the energy transition and climate targets are identified as projects of common interest.</w:t>
      </w:r>
    </w:p>
    <w:p w:rsidR="00B60846" w:rsidRDefault="008069FF">
      <w:pPr>
        <w:rPr>
          <w:noProof/>
        </w:rPr>
      </w:pPr>
      <w:r>
        <w:rPr>
          <w:noProof/>
        </w:rPr>
        <w:t>As compared to offshore grids for which the current infrastructure planning is considered not suited to address the specific challenges and achieve</w:t>
      </w:r>
      <w:r>
        <w:rPr>
          <w:noProof/>
        </w:rPr>
        <w:t xml:space="preserve"> the energy and climate objectives, the situation for onshore infrastructure projects is different. The evaluation of the current TEN-E concluded that the TYNDP process as basis for the identification of PCIs has proven effective, but underlined the need f</w:t>
      </w:r>
      <w:r>
        <w:rPr>
          <w:noProof/>
        </w:rPr>
        <w:t>or a more integrated approach to planning across the different sectors and a more balanced approach concerning the actors involved. A strengthened governance with a stronger oversight role for the Commission and ACER to ensure that the key steps in the inf</w:t>
      </w:r>
      <w:r>
        <w:rPr>
          <w:noProof/>
        </w:rPr>
        <w:t>rastructure planning process fully reflect the climate neutrality objective and energy system integration would significantly improve the effectiveness of the policy instrument by ensuring a more accurate needs assessment based on a cross-sectoral approach</w:t>
      </w:r>
      <w:r>
        <w:rPr>
          <w:noProof/>
        </w:rPr>
        <w:t>. It would also ensure that this assessment is based on objectively defined scenarios fully in line with decarbonisation objectives as well as the energy efficiency first principle.</w:t>
      </w:r>
    </w:p>
    <w:p w:rsidR="00B60846" w:rsidRDefault="008069FF">
      <w:pPr>
        <w:rPr>
          <w:noProof/>
        </w:rPr>
      </w:pPr>
      <w:r>
        <w:rPr>
          <w:noProof/>
        </w:rPr>
        <w:t>A new governance set-up would considerably weaken the role of the ENTSOs w</w:t>
      </w:r>
      <w:r>
        <w:rPr>
          <w:noProof/>
        </w:rPr>
        <w:t>ith a new actor taking the lead in the TYNDP process. This would require the built-up of significant expertise on infrastructure planning outside the ENTSOs and TSOs. Nonetheless, it would still need to rely largely on the data and expertise of the TSOs. T</w:t>
      </w:r>
      <w:r>
        <w:rPr>
          <w:noProof/>
        </w:rPr>
        <w:t>his would result in significant additional transaction and administrative costs and negatively affect the efficiency of the TEN-E. The effectiveness of this options is expected to be slightly lower compared to the previous option which acknowledges the cen</w:t>
      </w:r>
      <w:r>
        <w:rPr>
          <w:noProof/>
        </w:rPr>
        <w:t>tral role of the TSOs and ENTSOs in the infrastructure planning but introduces additional “checks and balances”.</w:t>
      </w:r>
    </w:p>
    <w:p w:rsidR="00B60846" w:rsidRDefault="008069FF">
      <w:pPr>
        <w:rPr>
          <w:noProof/>
        </w:rPr>
      </w:pPr>
      <w:r>
        <w:rPr>
          <w:noProof/>
        </w:rPr>
        <w:t>Both options include a mandatory sustainability criterion for all candidate projects that will be within the future scope of the TEN-E Regulation. This would have a direct impact on the ranking of the candidate PCIs and hence contribute to the identificati</w:t>
      </w:r>
      <w:r>
        <w:rPr>
          <w:noProof/>
        </w:rPr>
        <w:t>on of those projects in line with the climate neutrality objective. Such inclusion of a sustainability criterion would also improve the coherence of the initiative with other EU policies such as the EU taxonomy for sustainable investments. The approach und</w:t>
      </w:r>
      <w:r>
        <w:rPr>
          <w:noProof/>
        </w:rPr>
        <w:t xml:space="preserve">er the Taxonomy Regulation as such would not be sufficient for the purpose of the PCI selection process considering their different scopes and objectives. </w:t>
      </w:r>
    </w:p>
    <w:p w:rsidR="00B60846" w:rsidRDefault="008069FF">
      <w:pPr>
        <w:rPr>
          <w:noProof/>
        </w:rPr>
      </w:pPr>
      <w:r>
        <w:rPr>
          <w:noProof/>
        </w:rPr>
        <w:t>Whereas the Taxonomy Regulation creates disclosure obligations for financial market participants wit</w:t>
      </w:r>
      <w:r>
        <w:rPr>
          <w:noProof/>
        </w:rPr>
        <w:t>h respect to financial products and for certain non-financial undertakings, the objective of the TEN-E Regulation is to facilitate the timely development of energy infrastructure across the EU that ensures market integration, competitiveness, security of s</w:t>
      </w:r>
      <w:r>
        <w:rPr>
          <w:noProof/>
        </w:rPr>
        <w:t>upply, affordability and importantly, climate-neutrality. Serving this general objective, the revised TEN-E Regulation establishes a framework to identify priority projects necessary for the energy transition and to meet climate and energy policy objective</w:t>
      </w:r>
      <w:r>
        <w:rPr>
          <w:noProof/>
        </w:rPr>
        <w:t>s based on a ranking list of candidate projects. This framework requires that projects are selected based on specific selection criteria that address the climate and energy policy objectives as set out in the TEN-E Regulation and allow for their quantifica</w:t>
      </w:r>
      <w:r>
        <w:rPr>
          <w:noProof/>
        </w:rPr>
        <w:t xml:space="preserve">tion. </w:t>
      </w:r>
    </w:p>
    <w:p w:rsidR="00B60846" w:rsidRDefault="008069FF">
      <w:pPr>
        <w:rPr>
          <w:noProof/>
        </w:rPr>
      </w:pPr>
      <w:r>
        <w:rPr>
          <w:noProof/>
        </w:rPr>
        <w:t>While the Taxonomy applies a binary approach to defining sustainability</w:t>
      </w:r>
      <w:r>
        <w:rPr>
          <w:rStyle w:val="FootnoteReference"/>
          <w:noProof/>
          <w:lang w:val="en-IE"/>
        </w:rPr>
        <w:footnoteReference w:id="134"/>
      </w:r>
      <w:r>
        <w:rPr>
          <w:noProof/>
        </w:rPr>
        <w:t>, the PCI selection requires a more granular approach based on quantified criteria for the purpose of establishing a ranking list of candidate projects.</w:t>
      </w:r>
      <w:r>
        <w:rPr>
          <w:noProof/>
          <w:color w:val="1F497D"/>
        </w:rPr>
        <w:t xml:space="preserve"> </w:t>
      </w:r>
      <w:r>
        <w:rPr>
          <w:noProof/>
        </w:rPr>
        <w:t>Sustainability is one el</w:t>
      </w:r>
      <w:r>
        <w:rPr>
          <w:noProof/>
        </w:rPr>
        <w:t>ement in this assessment, besides other specific criteria such as security of supply and market integration. This requires a coherent and specific assessment methodology. In addition, an improved needs assessment would reinforce the energy efficiency first</w:t>
      </w:r>
      <w:r>
        <w:rPr>
          <w:noProof/>
        </w:rPr>
        <w:t xml:space="preserve"> principle and consider with priority all relevant non-infrastructure related solutions to address the identified gaps. Such an approach, combined with regular reporting on the compliance with environmental legislation by project promoters, during project </w:t>
      </w:r>
      <w:r>
        <w:rPr>
          <w:noProof/>
        </w:rPr>
        <w:t>implementation, would ensure that projects do no significant harm to the environment. This approach reflects that the maturity of PCI candidate projects would not allow for a meaningful assessment of whether projects will do no significant harm to the othe</w:t>
      </w:r>
      <w:r>
        <w:rPr>
          <w:noProof/>
        </w:rPr>
        <w:t>r environmental objectives during the PCI selection process.</w:t>
      </w:r>
    </w:p>
    <w:p w:rsidR="00B60846" w:rsidRDefault="008069FF">
      <w:pPr>
        <w:rPr>
          <w:noProof/>
        </w:rPr>
      </w:pPr>
      <w:r>
        <w:rPr>
          <w:noProof/>
        </w:rPr>
        <w:t>This approach provides EU added value through an optimised cross-sectoral infrastructure planning at European level based on consistent assumptions. A better planning framework as achieved throug</w:t>
      </w:r>
      <w:r>
        <w:rPr>
          <w:noProof/>
        </w:rPr>
        <w:t xml:space="preserve">h this option would also establish an enabling framework to trigger and accelerate necessary investments. </w:t>
      </w:r>
    </w:p>
    <w:p w:rsidR="00B60846" w:rsidRDefault="008069FF">
      <w:pPr>
        <w:rPr>
          <w:rFonts w:eastAsia="Calibri"/>
          <w:b/>
          <w:noProof/>
        </w:rPr>
      </w:pPr>
      <w:r>
        <w:rPr>
          <w:rFonts w:eastAsia="Calibri"/>
          <w:b/>
          <w:bCs/>
          <w:noProof/>
        </w:rPr>
        <w:t>Permitting</w:t>
      </w:r>
    </w:p>
    <w:p w:rsidR="00B60846" w:rsidRDefault="008069FF">
      <w:pPr>
        <w:rPr>
          <w:rFonts w:eastAsia="Calibri"/>
          <w:noProof/>
        </w:rPr>
      </w:pPr>
      <w:r>
        <w:rPr>
          <w:rFonts w:eastAsia="Calibri"/>
          <w:noProof/>
        </w:rPr>
        <w:t xml:space="preserve">As explained in Section 6, business as usual is not considered effective to achieve the timely implementation of PCIs. Although </w:t>
      </w:r>
      <w:r>
        <w:rPr>
          <w:noProof/>
        </w:rPr>
        <w:t>the evalua</w:t>
      </w:r>
      <w:r>
        <w:rPr>
          <w:noProof/>
        </w:rPr>
        <w:t>tion of the TEN-E Regulation has found that permitting of PCIs has significantly accelerated and the main problems that remain concern national implementation, EU level action by further improving the provisions in the TEN-E Regulation would accelerate pro</w:t>
      </w:r>
      <w:r>
        <w:rPr>
          <w:noProof/>
        </w:rPr>
        <w:t xml:space="preserve">ject implementation and hence the achievement of the policy objectives. </w:t>
      </w:r>
      <w:r>
        <w:rPr>
          <w:rFonts w:eastAsia="Calibri"/>
          <w:noProof/>
        </w:rPr>
        <w:t>In terms of efficiency, delays in the implementation of PCIs create exponentially higher costs to society than the administrative burden brought by the permitting process to the projec</w:t>
      </w:r>
      <w:r>
        <w:rPr>
          <w:rFonts w:eastAsia="Calibri"/>
          <w:noProof/>
        </w:rPr>
        <w:t>t promoters and national competent authorities. Therefore, the use of urgent court procedures in those Member States where such procedures exist, even if less than half of the Member States, would reduce cost and significantly improve efficiency. It is als</w:t>
      </w:r>
      <w:r>
        <w:rPr>
          <w:rFonts w:eastAsia="Calibri"/>
          <w:noProof/>
        </w:rPr>
        <w:t xml:space="preserve">o coherent with EU policies as it allows for a better and swifter implementation of PCIs. </w:t>
      </w:r>
    </w:p>
    <w:p w:rsidR="00B60846" w:rsidRDefault="008069FF">
      <w:pPr>
        <w:rPr>
          <w:rFonts w:eastAsia="Calibri"/>
          <w:noProof/>
        </w:rPr>
      </w:pPr>
      <w:r>
        <w:rPr>
          <w:rFonts w:eastAsia="Calibri"/>
          <w:noProof/>
        </w:rPr>
        <w:t>The creation of a one-stop shop per sea basin for offshore energy would entail significant improvements in terms of effectiveness, efficiency, and coherence by enabl</w:t>
      </w:r>
      <w:r>
        <w:rPr>
          <w:rFonts w:eastAsia="Calibri"/>
          <w:noProof/>
        </w:rPr>
        <w:t>ing the acceleration of the permitting process for infrastructure related to the deployment of offshore renewable generation, in particular if combined with the establishment of integrated offshore development plans (option B.1.1). A one-stop shop would av</w:t>
      </w:r>
      <w:r>
        <w:rPr>
          <w:rFonts w:eastAsia="Calibri"/>
          <w:noProof/>
        </w:rPr>
        <w:t>oid the establishment of up to eight parallel permitting processes for a sea basin.</w:t>
      </w:r>
    </w:p>
    <w:p w:rsidR="00B60846" w:rsidRDefault="008069FF">
      <w:pPr>
        <w:rPr>
          <w:rFonts w:eastAsia="Calibri"/>
          <w:noProof/>
        </w:rPr>
      </w:pPr>
      <w:r>
        <w:rPr>
          <w:rFonts w:eastAsia="Calibri"/>
          <w:noProof/>
        </w:rPr>
        <w:t>On permitting, the combination of options C1.1. (Use of urgent court procedures and accelerating the permitting process (Option C.1.2, see Annex 9)) and C1.2 (One-stop shop</w:t>
      </w:r>
      <w:r>
        <w:rPr>
          <w:rFonts w:eastAsia="Calibri"/>
          <w:noProof/>
        </w:rPr>
        <w:t xml:space="preserve"> per sea basin for offshore renewable infrastructure projects) would result in significant improvements. </w:t>
      </w:r>
    </w:p>
    <w:p w:rsidR="00B60846" w:rsidRDefault="008069FF">
      <w:pPr>
        <w:rPr>
          <w:b/>
          <w:noProof/>
        </w:rPr>
      </w:pPr>
      <w:r>
        <w:rPr>
          <w:rFonts w:eastAsia="Calibri"/>
          <w:b/>
          <w:bCs/>
          <w:noProof/>
        </w:rPr>
        <w:t>Regulatory treatment</w:t>
      </w:r>
    </w:p>
    <w:p w:rsidR="00B60846" w:rsidRDefault="008069FF">
      <w:pPr>
        <w:rPr>
          <w:noProof/>
        </w:rPr>
      </w:pPr>
      <w:r>
        <w:rPr>
          <w:noProof/>
        </w:rPr>
        <w:t>As regards the BAU option, the continuation of the current framework would not be effective in ensuring the timely implementation</w:t>
      </w:r>
      <w:r>
        <w:rPr>
          <w:noProof/>
        </w:rPr>
        <w:t xml:space="preserve"> of PCIs. As explained in Section 6, the CBCA procedure has so far only been used in the context of a request for CEF grants and the national approaches to CBCA decisions are often inconsistent creating uncertainty for projects promoters and causing delays</w:t>
      </w:r>
      <w:r>
        <w:rPr>
          <w:noProof/>
        </w:rPr>
        <w:t xml:space="preserve"> in project implementation. Costs related to delays in project implementation makes this option less efficient. </w:t>
      </w:r>
    </w:p>
    <w:p w:rsidR="00B60846" w:rsidRDefault="008069FF">
      <w:pPr>
        <w:rPr>
          <w:b/>
          <w:noProof/>
        </w:rPr>
      </w:pPr>
      <w:r>
        <w:rPr>
          <w:noProof/>
        </w:rPr>
        <w:t>By comparison, the inclusion in full of the investments costs into tariffs in combination with clarifying the CBCA provisions, while creating a</w:t>
      </w:r>
      <w:r>
        <w:rPr>
          <w:noProof/>
        </w:rPr>
        <w:t>dditional administrative burden for NRAs and the Commission, leads to a swifter implementation of projects and faster realisation of their benefits being therefore both more effective and more efficient. The option is also coherent with the EU policies pur</w:t>
      </w:r>
      <w:r>
        <w:rPr>
          <w:noProof/>
        </w:rPr>
        <w:t>sued by the perspective PCIs and is neutral as regards proportionality. In addition, the possibility for smart grids projects to obtain a CBCA, the clarification of the CBCA provisions would make the framework more effective by facilitating project impleme</w:t>
      </w:r>
      <w:r>
        <w:rPr>
          <w:noProof/>
        </w:rPr>
        <w:t>ntation. Updating investment incentives to account for the higher risks would enhance effectiveness and efficiency in view of the expected benefits. It would also be coherent with the overall policy objectives and proportionate.</w:t>
      </w:r>
    </w:p>
    <w:p w:rsidR="00B60846" w:rsidRDefault="008069FF">
      <w:pPr>
        <w:pStyle w:val="Heading1"/>
        <w:rPr>
          <w:noProof/>
        </w:rPr>
      </w:pPr>
      <w:bookmarkStart w:id="929" w:name="_Toc39234304"/>
      <w:bookmarkStart w:id="930" w:name="_Toc39234445"/>
      <w:bookmarkStart w:id="931" w:name="_Toc49351353"/>
      <w:bookmarkStart w:id="932" w:name="_Toc49357746"/>
      <w:bookmarkStart w:id="933" w:name="_Toc49359424"/>
      <w:bookmarkStart w:id="934" w:name="_Toc49359759"/>
      <w:bookmarkStart w:id="935" w:name="_Toc49508003"/>
      <w:bookmarkStart w:id="936" w:name="_Toc49508449"/>
      <w:bookmarkStart w:id="937" w:name="_Toc49512360"/>
      <w:bookmarkStart w:id="938" w:name="_Toc49514244"/>
      <w:bookmarkStart w:id="939" w:name="_Toc49516479"/>
      <w:bookmarkStart w:id="940" w:name="_Toc50028509"/>
      <w:bookmarkStart w:id="941" w:name="_Toc50057004"/>
      <w:bookmarkStart w:id="942" w:name="_Toc50063631"/>
      <w:bookmarkStart w:id="943" w:name="_Toc50366618"/>
      <w:bookmarkStart w:id="944" w:name="_Toc50452111"/>
      <w:bookmarkStart w:id="945" w:name="_Toc50573935"/>
      <w:bookmarkStart w:id="946" w:name="_Toc50581919"/>
      <w:bookmarkStart w:id="947" w:name="_Toc50582702"/>
      <w:bookmarkStart w:id="948" w:name="_Toc51168569"/>
      <w:bookmarkStart w:id="949" w:name="_Toc51169058"/>
      <w:bookmarkStart w:id="950" w:name="_Toc51231552"/>
      <w:bookmarkStart w:id="951" w:name="_Toc51235488"/>
      <w:bookmarkStart w:id="952" w:name="_Toc51237278"/>
      <w:bookmarkStart w:id="953" w:name="_Toc51238663"/>
      <w:bookmarkStart w:id="954" w:name="_Toc51239388"/>
      <w:bookmarkStart w:id="955" w:name="_Toc51268918"/>
      <w:bookmarkStart w:id="956" w:name="_Toc51788300"/>
      <w:bookmarkStart w:id="957" w:name="_Toc51791838"/>
      <w:bookmarkStart w:id="958" w:name="_Toc51793270"/>
      <w:bookmarkStart w:id="959" w:name="_Toc55496470"/>
      <w:r>
        <w:rPr>
          <w:noProof/>
        </w:rPr>
        <w:t>Preferred option</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rsidR="00B60846" w:rsidRDefault="008069FF">
      <w:pPr>
        <w:pStyle w:val="Text1"/>
        <w:ind w:left="0"/>
        <w:rPr>
          <w:noProof/>
        </w:rPr>
      </w:pPr>
      <w:r>
        <w:rPr>
          <w:noProof/>
        </w:rPr>
        <w:t>The option</w:t>
      </w:r>
      <w:r>
        <w:rPr>
          <w:noProof/>
        </w:rPr>
        <w:t>s within each group of policy options (A.1, A.2, B.1, B.2) are alternatives except for policy option group C.1 (permitting) and D.1 (regulatory treatment) where the options are complementary. The options on the scope are independent from the options on gov</w:t>
      </w:r>
      <w:r>
        <w:rPr>
          <w:noProof/>
        </w:rPr>
        <w:t>ernance/infrastructure planning. The new planning framework will be applicable to the scope of the revised TEN-E Regulation and hence cover all eligible infrastructure categories not only those that may be affected by this initiative.</w:t>
      </w:r>
    </w:p>
    <w:p w:rsidR="00B60846" w:rsidRDefault="008069FF">
      <w:pPr>
        <w:pStyle w:val="Heading2"/>
        <w:ind w:left="1287" w:hanging="578"/>
        <w:rPr>
          <w:noProof/>
        </w:rPr>
      </w:pPr>
      <w:bookmarkStart w:id="960" w:name="_Toc51788301"/>
      <w:bookmarkStart w:id="961" w:name="_Toc51791839"/>
      <w:bookmarkStart w:id="962" w:name="_Toc51793271"/>
      <w:bookmarkStart w:id="963" w:name="_Toc55496471"/>
      <w:r>
        <w:rPr>
          <w:noProof/>
        </w:rPr>
        <w:t xml:space="preserve">Package of preferred </w:t>
      </w:r>
      <w:r>
        <w:rPr>
          <w:noProof/>
        </w:rPr>
        <w:t>policy options</w:t>
      </w:r>
      <w:bookmarkEnd w:id="960"/>
      <w:bookmarkEnd w:id="961"/>
      <w:bookmarkEnd w:id="962"/>
      <w:bookmarkEnd w:id="963"/>
    </w:p>
    <w:p w:rsidR="00B60846" w:rsidRDefault="008069FF">
      <w:pPr>
        <w:rPr>
          <w:noProof/>
        </w:rPr>
      </w:pPr>
      <w:r>
        <w:rPr>
          <w:noProof/>
        </w:rPr>
        <w:t>The assessment and the comparison of the options shows that no single option is sufficient to meet the identified objectives. Therefore, a package of policy options appears as best suited to achieve the specific objectives. The key political</w:t>
      </w:r>
      <w:r>
        <w:rPr>
          <w:noProof/>
        </w:rPr>
        <w:t xml:space="preserve"> choices relate to the future scope and the future approach to infrastructure planning.</w:t>
      </w:r>
    </w:p>
    <w:p w:rsidR="00B60846" w:rsidRDefault="008069FF">
      <w:pPr>
        <w:rPr>
          <w:noProof/>
          <w:lang w:eastAsia="en-GB"/>
        </w:rPr>
      </w:pPr>
      <w:r>
        <w:rPr>
          <w:noProof/>
        </w:rPr>
        <w:t>Concerning the future scope of TEN-E, the main question is whether to keep natural gas infrastructure as eligible infrastructure category or not. Based on the analysis in sections 6 and 7, the exclusion of methane gas infrastructure appears as the most eff</w:t>
      </w:r>
      <w:r>
        <w:rPr>
          <w:noProof/>
        </w:rPr>
        <w:t xml:space="preserve">ective and coherent approach. In that case the future TEN-E would include all those infrastructure categories that are needed to </w:t>
      </w:r>
      <w:r>
        <w:rPr>
          <w:noProof/>
          <w:lang w:eastAsia="en-GB"/>
        </w:rPr>
        <w:t xml:space="preserve">deliver on the EU’s energy and climate objectives in line with the European Green Deal, in particular on the 2030/50 targets. </w:t>
      </w:r>
    </w:p>
    <w:p w:rsidR="00B60846" w:rsidRDefault="008069FF">
      <w:pPr>
        <w:rPr>
          <w:noProof/>
        </w:rPr>
      </w:pPr>
      <w:r>
        <w:rPr>
          <w:noProof/>
          <w:lang w:eastAsia="en-GB"/>
        </w:rPr>
        <w:t>As regards the future approach to infrastructure planning</w:t>
      </w:r>
      <w:r>
        <w:rPr>
          <w:noProof/>
        </w:rPr>
        <w:t>, a radical change to infrastructure planning seems not justified in view of the limited additional benefits and the significant increase in transaction costs which reduce efficiency and may make the</w:t>
      </w:r>
      <w:r>
        <w:rPr>
          <w:noProof/>
        </w:rPr>
        <w:t xml:space="preserve"> instrument less effective compared to strengthening the current approach. However, given the specificities both in terms of the current situation and expected contribution to the long-term climate and energy objectives, a more radical change appears justi</w:t>
      </w:r>
      <w:r>
        <w:rPr>
          <w:noProof/>
        </w:rPr>
        <w:t xml:space="preserve">fied for offshore grids. A package of preferred options is presented in </w:t>
      </w:r>
      <w:r>
        <w:rPr>
          <w:noProof/>
        </w:rPr>
        <w:fldChar w:fldCharType="begin"/>
      </w:r>
      <w:r>
        <w:rPr>
          <w:noProof/>
        </w:rPr>
        <w:instrText xml:space="preserve"> REF _Ref54940860 \h  \* MERGEFORMAT </w:instrText>
      </w:r>
      <w:r>
        <w:rPr>
          <w:noProof/>
        </w:rPr>
      </w:r>
      <w:r>
        <w:rPr>
          <w:noProof/>
        </w:rPr>
        <w:fldChar w:fldCharType="separate"/>
      </w:r>
      <w:r>
        <w:rPr>
          <w:noProof/>
        </w:rPr>
        <w:t>Table 4</w:t>
      </w:r>
      <w:r>
        <w:rPr>
          <w:noProof/>
        </w:rPr>
        <w:fldChar w:fldCharType="end"/>
      </w:r>
      <w:r>
        <w:rPr>
          <w:noProof/>
        </w:rPr>
        <w:t>.</w:t>
      </w:r>
    </w:p>
    <w:p w:rsidR="00B60846" w:rsidRDefault="008069FF">
      <w:pPr>
        <w:tabs>
          <w:tab w:val="clear" w:pos="2302"/>
        </w:tabs>
        <w:spacing w:after="200" w:line="276" w:lineRule="auto"/>
        <w:jc w:val="left"/>
        <w:rPr>
          <w:noProof/>
        </w:rPr>
      </w:pPr>
      <w:r>
        <w:rPr>
          <w:noProof/>
        </w:rPr>
        <w:br w:type="page"/>
      </w:r>
    </w:p>
    <w:p w:rsidR="00B60846" w:rsidRDefault="00B60846">
      <w:pPr>
        <w:rPr>
          <w:noProof/>
        </w:rPr>
      </w:pPr>
    </w:p>
    <w:p w:rsidR="00B60846" w:rsidRDefault="008069FF">
      <w:pPr>
        <w:pStyle w:val="Caption"/>
        <w:rPr>
          <w:noProof/>
        </w:rPr>
      </w:pPr>
      <w:bookmarkStart w:id="964" w:name="_Ref54940860"/>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964"/>
      <w:r>
        <w:rPr>
          <w:noProof/>
        </w:rPr>
        <w:t>: Package of preferred policy options</w:t>
      </w:r>
    </w:p>
    <w:tbl>
      <w:tblPr>
        <w:tblStyle w:val="TableGrid21"/>
        <w:tblW w:w="8334" w:type="dxa"/>
        <w:tblInd w:w="108" w:type="dxa"/>
        <w:tblLook w:val="04A0" w:firstRow="1" w:lastRow="0" w:firstColumn="1" w:lastColumn="0" w:noHBand="0" w:noVBand="1"/>
      </w:tblPr>
      <w:tblGrid>
        <w:gridCol w:w="1526"/>
        <w:gridCol w:w="5137"/>
        <w:gridCol w:w="1671"/>
      </w:tblGrid>
      <w:tr w:rsidR="00B60846">
        <w:trPr>
          <w:trHeight w:val="136"/>
        </w:trPr>
        <w:tc>
          <w:tcPr>
            <w:tcW w:w="1526" w:type="dxa"/>
          </w:tcPr>
          <w:p w:rsidR="00B60846" w:rsidRDefault="008069FF">
            <w:pPr>
              <w:spacing w:after="0"/>
              <w:rPr>
                <w:rFonts w:eastAsia="Calibri"/>
                <w:b/>
                <w:bCs/>
                <w:noProof/>
                <w:sz w:val="22"/>
                <w:szCs w:val="22"/>
              </w:rPr>
            </w:pPr>
            <w:r>
              <w:rPr>
                <w:rFonts w:eastAsia="Calibri"/>
                <w:b/>
                <w:bCs/>
                <w:noProof/>
                <w:sz w:val="22"/>
                <w:szCs w:val="22"/>
              </w:rPr>
              <w:t>Policy option</w:t>
            </w:r>
          </w:p>
        </w:tc>
        <w:tc>
          <w:tcPr>
            <w:tcW w:w="5137" w:type="dxa"/>
          </w:tcPr>
          <w:p w:rsidR="00B60846" w:rsidRDefault="008069FF">
            <w:pPr>
              <w:tabs>
                <w:tab w:val="clear" w:pos="2302"/>
              </w:tabs>
              <w:spacing w:after="0"/>
              <w:jc w:val="left"/>
              <w:rPr>
                <w:rFonts w:eastAsia="Calibri"/>
                <w:b/>
                <w:bCs/>
                <w:noProof/>
                <w:sz w:val="22"/>
                <w:szCs w:val="22"/>
              </w:rPr>
            </w:pPr>
            <w:r>
              <w:rPr>
                <w:rFonts w:eastAsia="Calibri"/>
                <w:b/>
                <w:bCs/>
                <w:noProof/>
                <w:sz w:val="22"/>
                <w:szCs w:val="22"/>
              </w:rPr>
              <w:t>Description</w:t>
            </w:r>
          </w:p>
        </w:tc>
        <w:tc>
          <w:tcPr>
            <w:tcW w:w="1671" w:type="dxa"/>
          </w:tcPr>
          <w:p w:rsidR="00B60846" w:rsidRDefault="008069FF">
            <w:pPr>
              <w:tabs>
                <w:tab w:val="clear" w:pos="2302"/>
              </w:tabs>
              <w:spacing w:after="0"/>
              <w:jc w:val="center"/>
              <w:rPr>
                <w:rFonts w:eastAsia="Calibri"/>
                <w:b/>
                <w:bCs/>
                <w:noProof/>
                <w:sz w:val="22"/>
                <w:szCs w:val="22"/>
              </w:rPr>
            </w:pPr>
            <w:r>
              <w:rPr>
                <w:rFonts w:eastAsia="Calibri"/>
                <w:b/>
                <w:bCs/>
                <w:noProof/>
                <w:sz w:val="22"/>
                <w:szCs w:val="22"/>
              </w:rPr>
              <w:t>Package of preferred policy options</w:t>
            </w:r>
          </w:p>
        </w:tc>
      </w:tr>
      <w:tr w:rsidR="00B60846">
        <w:trPr>
          <w:trHeight w:val="136"/>
        </w:trPr>
        <w:tc>
          <w:tcPr>
            <w:tcW w:w="8334" w:type="dxa"/>
            <w:gridSpan w:val="3"/>
          </w:tcPr>
          <w:p w:rsidR="00B60846" w:rsidRDefault="008069FF">
            <w:pPr>
              <w:tabs>
                <w:tab w:val="clear" w:pos="2302"/>
              </w:tabs>
              <w:spacing w:after="0"/>
              <w:jc w:val="left"/>
              <w:rPr>
                <w:rFonts w:eastAsia="Calibri"/>
                <w:i/>
                <w:iCs/>
                <w:noProof/>
                <w:sz w:val="22"/>
                <w:szCs w:val="22"/>
              </w:rPr>
            </w:pPr>
            <w:r>
              <w:rPr>
                <w:rFonts w:eastAsia="Calibri"/>
                <w:i/>
                <w:iCs/>
                <w:noProof/>
                <w:sz w:val="22"/>
                <w:szCs w:val="22"/>
              </w:rPr>
              <w:t xml:space="preserve">Specific objective 1: Enable the identification of the cross-border projects and investments across the EU and with its neighbouring countries that are necessary for the energy transition and </w:t>
            </w:r>
            <w:r>
              <w:rPr>
                <w:rFonts w:eastAsia="Calibri"/>
                <w:i/>
                <w:iCs/>
                <w:noProof/>
                <w:sz w:val="22"/>
                <w:szCs w:val="22"/>
              </w:rPr>
              <w:t>climate targets</w:t>
            </w:r>
          </w:p>
        </w:tc>
      </w:tr>
      <w:tr w:rsidR="00B60846">
        <w:trPr>
          <w:trHeight w:val="136"/>
        </w:trPr>
        <w:tc>
          <w:tcPr>
            <w:tcW w:w="8334" w:type="dxa"/>
            <w:gridSpan w:val="3"/>
          </w:tcPr>
          <w:p w:rsidR="00B60846" w:rsidRDefault="008069FF">
            <w:pPr>
              <w:tabs>
                <w:tab w:val="clear" w:pos="2302"/>
              </w:tabs>
              <w:spacing w:after="0"/>
              <w:jc w:val="left"/>
              <w:rPr>
                <w:rFonts w:eastAsia="Calibri"/>
                <w:i/>
                <w:iCs/>
                <w:noProof/>
                <w:sz w:val="22"/>
                <w:szCs w:val="22"/>
              </w:rPr>
            </w:pPr>
            <w:r>
              <w:rPr>
                <w:rFonts w:eastAsia="Calibri"/>
                <w:i/>
                <w:iCs/>
                <w:noProof/>
                <w:sz w:val="22"/>
                <w:szCs w:val="22"/>
              </w:rPr>
              <w:t>Options A.1. Smart electricity grids and electricity storage</w:t>
            </w:r>
          </w:p>
        </w:tc>
      </w:tr>
      <w:tr w:rsidR="00B60846">
        <w:trPr>
          <w:trHeight w:val="136"/>
        </w:trPr>
        <w:tc>
          <w:tcPr>
            <w:tcW w:w="1526" w:type="dxa"/>
          </w:tcPr>
          <w:p w:rsidR="00B60846" w:rsidRDefault="008069FF">
            <w:pPr>
              <w:tabs>
                <w:tab w:val="clear" w:pos="2302"/>
              </w:tabs>
              <w:spacing w:after="0"/>
              <w:jc w:val="left"/>
              <w:rPr>
                <w:rFonts w:eastAsia="Calibri"/>
                <w:i/>
                <w:noProof/>
                <w:sz w:val="22"/>
                <w:szCs w:val="22"/>
              </w:rPr>
            </w:pPr>
            <w:r>
              <w:rPr>
                <w:rFonts w:eastAsia="Calibri"/>
                <w:noProof/>
                <w:sz w:val="22"/>
                <w:szCs w:val="22"/>
              </w:rPr>
              <w:t>Option A.1.0</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1526" w:type="dxa"/>
            <w:noWrap/>
            <w:hideMark/>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Option A.1.1 </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Update of eligibility criteria </w:t>
            </w:r>
          </w:p>
        </w:tc>
        <w:tc>
          <w:tcPr>
            <w:tcW w:w="1671" w:type="dxa"/>
          </w:tcPr>
          <w:p w:rsidR="00B60846" w:rsidRDefault="008069FF">
            <w:pPr>
              <w:tabs>
                <w:tab w:val="clear" w:pos="2302"/>
              </w:tabs>
              <w:spacing w:after="0"/>
              <w:jc w:val="center"/>
              <w:rPr>
                <w:rFonts w:eastAsia="Calibri"/>
                <w:b/>
                <w:noProof/>
                <w:sz w:val="22"/>
                <w:szCs w:val="22"/>
              </w:rPr>
            </w:pPr>
            <w:r>
              <w:rPr>
                <w:rFonts w:eastAsia="Calibri"/>
                <w:b/>
                <w:noProof/>
                <w:sz w:val="22"/>
                <w:szCs w:val="22"/>
              </w:rPr>
              <w:t>X</w:t>
            </w:r>
          </w:p>
        </w:tc>
      </w:tr>
      <w:tr w:rsidR="00B60846">
        <w:trPr>
          <w:trHeight w:val="136"/>
        </w:trPr>
        <w:tc>
          <w:tcPr>
            <w:tcW w:w="1526" w:type="dxa"/>
            <w:noWrap/>
          </w:tcPr>
          <w:p w:rsidR="00B60846" w:rsidRDefault="00B60846">
            <w:pPr>
              <w:tabs>
                <w:tab w:val="clear" w:pos="2302"/>
              </w:tabs>
              <w:spacing w:after="0"/>
              <w:jc w:val="left"/>
              <w:rPr>
                <w:rFonts w:eastAsia="Calibri"/>
                <w:noProof/>
                <w:sz w:val="22"/>
                <w:szCs w:val="22"/>
              </w:rPr>
            </w:pP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u w:val="single"/>
              </w:rPr>
              <w:t>Sub-option</w:t>
            </w:r>
            <w:r>
              <w:rPr>
                <w:rFonts w:eastAsia="Calibri"/>
                <w:noProof/>
                <w:sz w:val="22"/>
                <w:szCs w:val="22"/>
              </w:rPr>
              <w:t>: Non-mechanical storage</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8334" w:type="dxa"/>
            <w:gridSpan w:val="3"/>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 xml:space="preserve">Option A.2 Gas infrastructure, hydrogen networks and </w:t>
            </w:r>
            <w:r>
              <w:rPr>
                <w:rFonts w:eastAsia="Calibri"/>
                <w:i/>
                <w:iCs/>
                <w:noProof/>
                <w:sz w:val="22"/>
                <w:szCs w:val="22"/>
              </w:rPr>
              <w:t>power-to-gas</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A.2.0</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A.2.1</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Exclude all natural gas infrastructure but include hydrogen and P2G</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A.2.2</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Exclude natural gas infrastructure but include hydrogen, P2G and smart gas grids </w:t>
            </w:r>
          </w:p>
        </w:tc>
        <w:tc>
          <w:tcPr>
            <w:tcW w:w="1671" w:type="dxa"/>
          </w:tcPr>
          <w:p w:rsidR="00B60846" w:rsidRDefault="008069FF">
            <w:pPr>
              <w:tabs>
                <w:tab w:val="clear" w:pos="2302"/>
              </w:tabs>
              <w:spacing w:after="0"/>
              <w:jc w:val="center"/>
              <w:rPr>
                <w:rFonts w:eastAsia="Calibri"/>
                <w:b/>
                <w:noProof/>
                <w:sz w:val="22"/>
                <w:szCs w:val="22"/>
              </w:rPr>
            </w:pPr>
            <w:r>
              <w:rPr>
                <w:rFonts w:eastAsia="Calibri"/>
                <w:b/>
                <w:noProof/>
                <w:sz w:val="22"/>
                <w:szCs w:val="22"/>
              </w:rPr>
              <w:t>X</w:t>
            </w:r>
          </w:p>
        </w:tc>
      </w:tr>
      <w:tr w:rsidR="00B60846">
        <w:trPr>
          <w:trHeight w:val="136"/>
        </w:trPr>
        <w:tc>
          <w:tcPr>
            <w:tcW w:w="1526" w:type="dxa"/>
            <w:noWrap/>
          </w:tcPr>
          <w:p w:rsidR="00B60846" w:rsidRDefault="00B60846">
            <w:pPr>
              <w:tabs>
                <w:tab w:val="clear" w:pos="2302"/>
              </w:tabs>
              <w:spacing w:after="0"/>
              <w:jc w:val="left"/>
              <w:rPr>
                <w:rFonts w:eastAsia="Calibri"/>
                <w:noProof/>
                <w:sz w:val="22"/>
                <w:szCs w:val="22"/>
              </w:rPr>
            </w:pP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u w:val="single"/>
              </w:rPr>
              <w:t>Sub-option</w:t>
            </w:r>
            <w:r>
              <w:rPr>
                <w:rFonts w:eastAsia="Calibri"/>
                <w:noProof/>
                <w:sz w:val="22"/>
                <w:szCs w:val="22"/>
              </w:rPr>
              <w:t>: Include natural</w:t>
            </w:r>
            <w:r>
              <w:rPr>
                <w:rFonts w:eastAsia="Calibri"/>
                <w:noProof/>
                <w:sz w:val="22"/>
                <w:szCs w:val="22"/>
              </w:rPr>
              <w:t xml:space="preserve"> gas infrastructure for renewable and low-carbon gases</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1526" w:type="dxa"/>
            <w:noWrap/>
          </w:tcPr>
          <w:p w:rsidR="00B60846" w:rsidRDefault="00B60846">
            <w:pPr>
              <w:tabs>
                <w:tab w:val="clear" w:pos="2302"/>
              </w:tabs>
              <w:spacing w:after="0"/>
              <w:jc w:val="left"/>
              <w:rPr>
                <w:rFonts w:eastAsia="Calibri"/>
                <w:noProof/>
                <w:sz w:val="22"/>
                <w:szCs w:val="22"/>
              </w:rPr>
            </w:pP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u w:val="single"/>
              </w:rPr>
              <w:t>Sub-option</w:t>
            </w:r>
            <w:r>
              <w:rPr>
                <w:rFonts w:eastAsia="Calibri"/>
                <w:noProof/>
                <w:sz w:val="22"/>
                <w:szCs w:val="22"/>
              </w:rPr>
              <w:t>: Exceptions for natural gas PCIs at an advanced implementation stage</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8334" w:type="dxa"/>
            <w:gridSpan w:val="3"/>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Option A.3 Projects of mutual interest (PMIs)</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A.3.0</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A.3.1</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Inclusion of projects </w:t>
            </w:r>
            <w:r>
              <w:rPr>
                <w:rFonts w:eastAsia="Calibri"/>
                <w:noProof/>
                <w:sz w:val="22"/>
                <w:szCs w:val="22"/>
              </w:rPr>
              <w:t>of mutual interest (PMIs)</w:t>
            </w:r>
          </w:p>
        </w:tc>
        <w:tc>
          <w:tcPr>
            <w:tcW w:w="1671" w:type="dxa"/>
          </w:tcPr>
          <w:p w:rsidR="00B60846" w:rsidRDefault="008069FF">
            <w:pPr>
              <w:tabs>
                <w:tab w:val="clear" w:pos="2302"/>
              </w:tabs>
              <w:spacing w:after="0"/>
              <w:jc w:val="center"/>
              <w:rPr>
                <w:rFonts w:eastAsia="Calibri"/>
                <w:b/>
                <w:noProof/>
                <w:sz w:val="22"/>
                <w:szCs w:val="22"/>
              </w:rPr>
            </w:pPr>
            <w:r>
              <w:rPr>
                <w:rFonts w:eastAsia="Calibri"/>
                <w:b/>
                <w:noProof/>
                <w:sz w:val="22"/>
                <w:szCs w:val="22"/>
              </w:rPr>
              <w:t>X</w:t>
            </w:r>
          </w:p>
        </w:tc>
      </w:tr>
      <w:tr w:rsidR="00B60846">
        <w:trPr>
          <w:trHeight w:val="136"/>
        </w:trPr>
        <w:tc>
          <w:tcPr>
            <w:tcW w:w="8334" w:type="dxa"/>
            <w:gridSpan w:val="3"/>
            <w:noWrap/>
          </w:tcPr>
          <w:p w:rsidR="00B60846" w:rsidRDefault="008069FF">
            <w:pPr>
              <w:tabs>
                <w:tab w:val="clear" w:pos="2302"/>
              </w:tabs>
              <w:spacing w:after="0"/>
              <w:jc w:val="left"/>
              <w:rPr>
                <w:rFonts w:eastAsia="Calibri"/>
                <w:i/>
                <w:iCs/>
                <w:noProof/>
                <w:sz w:val="22"/>
                <w:szCs w:val="22"/>
              </w:rPr>
            </w:pPr>
            <w:r>
              <w:rPr>
                <w:rFonts w:eastAsia="Calibri"/>
                <w:i/>
                <w:iCs/>
                <w:noProof/>
                <w:sz w:val="22"/>
                <w:szCs w:val="22"/>
              </w:rPr>
              <w:t>Specific objective 2: Improve infrastructure planning for energy system integration and offshore grids</w:t>
            </w:r>
          </w:p>
        </w:tc>
      </w:tr>
      <w:tr w:rsidR="00B60846">
        <w:trPr>
          <w:trHeight w:val="136"/>
        </w:trPr>
        <w:tc>
          <w:tcPr>
            <w:tcW w:w="8334" w:type="dxa"/>
            <w:gridSpan w:val="3"/>
            <w:noWrap/>
          </w:tcPr>
          <w:p w:rsidR="00B60846" w:rsidRDefault="008069FF">
            <w:pPr>
              <w:tabs>
                <w:tab w:val="clear" w:pos="2302"/>
              </w:tabs>
              <w:spacing w:after="0"/>
              <w:jc w:val="left"/>
              <w:rPr>
                <w:rFonts w:eastAsia="Calibri"/>
                <w:i/>
                <w:iCs/>
                <w:noProof/>
                <w:sz w:val="22"/>
                <w:szCs w:val="22"/>
              </w:rPr>
            </w:pPr>
            <w:r>
              <w:rPr>
                <w:rFonts w:eastAsia="Calibri"/>
                <w:i/>
                <w:iCs/>
                <w:noProof/>
                <w:sz w:val="22"/>
                <w:szCs w:val="22"/>
              </w:rPr>
              <w:t>Option B.1 Offshore grids for renewable energy</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B.1.0</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B.1.1</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Integrated offshore </w:t>
            </w:r>
            <w:r>
              <w:rPr>
                <w:rFonts w:eastAsia="Calibri"/>
                <w:noProof/>
                <w:sz w:val="22"/>
                <w:szCs w:val="22"/>
              </w:rPr>
              <w:t>development plans</w:t>
            </w:r>
          </w:p>
        </w:tc>
        <w:tc>
          <w:tcPr>
            <w:tcW w:w="1671" w:type="dxa"/>
          </w:tcPr>
          <w:p w:rsidR="00B60846" w:rsidRDefault="008069FF">
            <w:pPr>
              <w:tabs>
                <w:tab w:val="clear" w:pos="2302"/>
              </w:tabs>
              <w:spacing w:after="0"/>
              <w:jc w:val="center"/>
              <w:rPr>
                <w:rFonts w:eastAsia="Calibri"/>
                <w:b/>
                <w:noProof/>
                <w:sz w:val="22"/>
                <w:szCs w:val="22"/>
              </w:rPr>
            </w:pPr>
            <w:r>
              <w:rPr>
                <w:rFonts w:eastAsia="Calibri"/>
                <w:b/>
                <w:noProof/>
                <w:sz w:val="22"/>
                <w:szCs w:val="22"/>
              </w:rPr>
              <w:t>X</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B.1.2</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Regional ISO / JU </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8334" w:type="dxa"/>
            <w:gridSpan w:val="3"/>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Option B.2 Cross-sectoral infrastructure planning</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B.2.0</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B.2.1</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Strengthened governance and sustainability </w:t>
            </w:r>
          </w:p>
        </w:tc>
        <w:tc>
          <w:tcPr>
            <w:tcW w:w="1671" w:type="dxa"/>
          </w:tcPr>
          <w:p w:rsidR="00B60846" w:rsidRDefault="008069FF">
            <w:pPr>
              <w:tabs>
                <w:tab w:val="clear" w:pos="2302"/>
              </w:tabs>
              <w:spacing w:after="0"/>
              <w:jc w:val="center"/>
              <w:rPr>
                <w:rFonts w:eastAsia="Calibri"/>
                <w:b/>
                <w:noProof/>
                <w:sz w:val="22"/>
                <w:szCs w:val="22"/>
              </w:rPr>
            </w:pPr>
            <w:r>
              <w:rPr>
                <w:rFonts w:eastAsia="Calibri"/>
                <w:b/>
                <w:noProof/>
                <w:sz w:val="22"/>
                <w:szCs w:val="22"/>
              </w:rPr>
              <w:t>X</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B.2.2</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New governance set-up </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8334" w:type="dxa"/>
            <w:gridSpan w:val="3"/>
            <w:noWrap/>
          </w:tcPr>
          <w:p w:rsidR="00B60846" w:rsidRDefault="008069FF">
            <w:pPr>
              <w:tabs>
                <w:tab w:val="clear" w:pos="2302"/>
              </w:tabs>
              <w:spacing w:after="0"/>
              <w:jc w:val="left"/>
              <w:rPr>
                <w:rFonts w:eastAsia="Calibri"/>
                <w:i/>
                <w:iCs/>
                <w:noProof/>
                <w:sz w:val="22"/>
                <w:szCs w:val="22"/>
              </w:rPr>
            </w:pPr>
            <w:r>
              <w:rPr>
                <w:rFonts w:eastAsia="Calibri"/>
                <w:i/>
                <w:iCs/>
                <w:noProof/>
                <w:sz w:val="22"/>
                <w:szCs w:val="22"/>
              </w:rPr>
              <w:t xml:space="preserve">Specific objective </w:t>
            </w:r>
            <w:r>
              <w:rPr>
                <w:rFonts w:eastAsia="Calibri"/>
                <w:i/>
                <w:iCs/>
                <w:noProof/>
                <w:sz w:val="22"/>
                <w:szCs w:val="22"/>
              </w:rPr>
              <w:t>3: Shorten permitting procedures for PCIs to avoid delays in projects that facilitate the energy transition</w:t>
            </w:r>
          </w:p>
        </w:tc>
      </w:tr>
      <w:tr w:rsidR="00B60846">
        <w:trPr>
          <w:trHeight w:val="136"/>
        </w:trPr>
        <w:tc>
          <w:tcPr>
            <w:tcW w:w="8334" w:type="dxa"/>
            <w:gridSpan w:val="3"/>
            <w:noWrap/>
          </w:tcPr>
          <w:p w:rsidR="00B60846" w:rsidRDefault="008069FF">
            <w:pPr>
              <w:tabs>
                <w:tab w:val="clear" w:pos="2302"/>
              </w:tabs>
              <w:spacing w:after="0"/>
              <w:jc w:val="left"/>
              <w:rPr>
                <w:rFonts w:eastAsia="Calibri"/>
                <w:iCs/>
                <w:noProof/>
                <w:sz w:val="22"/>
                <w:szCs w:val="22"/>
              </w:rPr>
            </w:pPr>
            <w:r>
              <w:rPr>
                <w:rFonts w:eastAsia="Calibri"/>
                <w:i/>
                <w:iCs/>
                <w:noProof/>
                <w:sz w:val="22"/>
                <w:szCs w:val="22"/>
              </w:rPr>
              <w:t xml:space="preserve">Option C.1 Permitting </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C.1.0</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C.1.1.</w:t>
            </w:r>
          </w:p>
        </w:tc>
        <w:tc>
          <w:tcPr>
            <w:tcW w:w="5137" w:type="dxa"/>
          </w:tcPr>
          <w:p w:rsidR="00B60846" w:rsidRDefault="008069FF">
            <w:pPr>
              <w:tabs>
                <w:tab w:val="clear" w:pos="2302"/>
              </w:tabs>
              <w:spacing w:after="0"/>
              <w:jc w:val="left"/>
              <w:rPr>
                <w:rFonts w:eastAsia="Calibri"/>
                <w:i/>
                <w:noProof/>
                <w:sz w:val="22"/>
                <w:szCs w:val="22"/>
              </w:rPr>
            </w:pPr>
            <w:r>
              <w:rPr>
                <w:rFonts w:eastAsia="Calibri"/>
                <w:noProof/>
                <w:sz w:val="22"/>
                <w:szCs w:val="22"/>
              </w:rPr>
              <w:t>Accelerating the project implementation</w:t>
            </w:r>
          </w:p>
        </w:tc>
        <w:tc>
          <w:tcPr>
            <w:tcW w:w="1671" w:type="dxa"/>
          </w:tcPr>
          <w:p w:rsidR="00B60846" w:rsidRDefault="008069FF">
            <w:pPr>
              <w:tabs>
                <w:tab w:val="clear" w:pos="2302"/>
              </w:tabs>
              <w:spacing w:after="0"/>
              <w:jc w:val="center"/>
              <w:rPr>
                <w:rFonts w:eastAsia="Calibri"/>
                <w:b/>
                <w:noProof/>
                <w:sz w:val="22"/>
                <w:szCs w:val="22"/>
              </w:rPr>
            </w:pPr>
            <w:r>
              <w:rPr>
                <w:rFonts w:eastAsia="Calibri"/>
                <w:b/>
                <w:noProof/>
                <w:sz w:val="22"/>
                <w:szCs w:val="22"/>
              </w:rPr>
              <w:t>X</w:t>
            </w: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C.1.2</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One-stop shop per </w:t>
            </w:r>
            <w:r>
              <w:rPr>
                <w:rFonts w:eastAsia="Calibri"/>
                <w:noProof/>
                <w:sz w:val="22"/>
                <w:szCs w:val="22"/>
              </w:rPr>
              <w:t>sea basin for offshore renewable projects</w:t>
            </w:r>
          </w:p>
        </w:tc>
        <w:tc>
          <w:tcPr>
            <w:tcW w:w="1671" w:type="dxa"/>
          </w:tcPr>
          <w:p w:rsidR="00B60846" w:rsidRDefault="008069FF">
            <w:pPr>
              <w:tabs>
                <w:tab w:val="clear" w:pos="2302"/>
              </w:tabs>
              <w:spacing w:after="0"/>
              <w:jc w:val="center"/>
              <w:rPr>
                <w:rFonts w:eastAsia="Calibri"/>
                <w:b/>
                <w:noProof/>
                <w:sz w:val="22"/>
                <w:szCs w:val="22"/>
              </w:rPr>
            </w:pPr>
            <w:r>
              <w:rPr>
                <w:rFonts w:eastAsia="Calibri"/>
                <w:b/>
                <w:noProof/>
                <w:sz w:val="22"/>
                <w:szCs w:val="22"/>
              </w:rPr>
              <w:t>X</w:t>
            </w:r>
          </w:p>
        </w:tc>
      </w:tr>
      <w:tr w:rsidR="00B60846">
        <w:trPr>
          <w:trHeight w:val="136"/>
        </w:trPr>
        <w:tc>
          <w:tcPr>
            <w:tcW w:w="8334" w:type="dxa"/>
            <w:gridSpan w:val="3"/>
            <w:noWrap/>
          </w:tcPr>
          <w:p w:rsidR="00B60846" w:rsidRDefault="008069FF">
            <w:pPr>
              <w:tabs>
                <w:tab w:val="clear" w:pos="2302"/>
              </w:tabs>
              <w:spacing w:after="0"/>
              <w:jc w:val="left"/>
              <w:rPr>
                <w:rFonts w:eastAsia="Calibri"/>
                <w:i/>
                <w:iCs/>
                <w:noProof/>
                <w:sz w:val="22"/>
                <w:szCs w:val="22"/>
              </w:rPr>
            </w:pPr>
            <w:r>
              <w:rPr>
                <w:rFonts w:eastAsia="Calibri"/>
                <w:i/>
                <w:iCs/>
                <w:noProof/>
                <w:sz w:val="22"/>
                <w:szCs w:val="22"/>
              </w:rPr>
              <w:t>Specific objective 4: Ensure the appropriate use of the cost sharing tools and regulatory incentives</w:t>
            </w:r>
          </w:p>
        </w:tc>
      </w:tr>
      <w:tr w:rsidR="00B60846">
        <w:trPr>
          <w:trHeight w:val="136"/>
        </w:trPr>
        <w:tc>
          <w:tcPr>
            <w:tcW w:w="8334" w:type="dxa"/>
            <w:gridSpan w:val="3"/>
            <w:noWrap/>
          </w:tcPr>
          <w:p w:rsidR="00B60846" w:rsidRDefault="008069FF">
            <w:pPr>
              <w:tabs>
                <w:tab w:val="clear" w:pos="2302"/>
              </w:tabs>
              <w:spacing w:after="0"/>
              <w:jc w:val="left"/>
              <w:rPr>
                <w:rFonts w:eastAsia="Calibri"/>
                <w:noProof/>
                <w:sz w:val="22"/>
                <w:szCs w:val="22"/>
              </w:rPr>
            </w:pPr>
            <w:r>
              <w:rPr>
                <w:rFonts w:eastAsia="Calibri"/>
                <w:i/>
                <w:iCs/>
                <w:noProof/>
                <w:sz w:val="22"/>
                <w:szCs w:val="22"/>
              </w:rPr>
              <w:t>Option D.1 Regulatory treatment</w:t>
            </w:r>
          </w:p>
        </w:tc>
      </w:tr>
      <w:tr w:rsidR="00B60846">
        <w:trPr>
          <w:trHeight w:val="136"/>
        </w:trPr>
        <w:tc>
          <w:tcPr>
            <w:tcW w:w="1526" w:type="dxa"/>
            <w:noWrap/>
          </w:tcPr>
          <w:p w:rsidR="00B60846" w:rsidRDefault="008069FF">
            <w:pPr>
              <w:tabs>
                <w:tab w:val="clear" w:pos="2302"/>
              </w:tabs>
              <w:spacing w:after="0"/>
              <w:jc w:val="left"/>
              <w:rPr>
                <w:rFonts w:eastAsia="Calibri"/>
                <w:i/>
                <w:noProof/>
                <w:sz w:val="22"/>
                <w:szCs w:val="22"/>
              </w:rPr>
            </w:pPr>
            <w:r>
              <w:rPr>
                <w:rFonts w:eastAsia="Calibri"/>
                <w:noProof/>
                <w:sz w:val="22"/>
                <w:szCs w:val="22"/>
              </w:rPr>
              <w:t>Option D.1.0</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Business as usual</w:t>
            </w:r>
          </w:p>
        </w:tc>
        <w:tc>
          <w:tcPr>
            <w:tcW w:w="1671" w:type="dxa"/>
          </w:tcPr>
          <w:p w:rsidR="00B60846" w:rsidRDefault="00B60846">
            <w:pPr>
              <w:tabs>
                <w:tab w:val="clear" w:pos="2302"/>
              </w:tabs>
              <w:spacing w:after="0"/>
              <w:jc w:val="center"/>
              <w:rPr>
                <w:rFonts w:eastAsia="Calibri"/>
                <w:noProof/>
                <w:sz w:val="22"/>
                <w:szCs w:val="22"/>
              </w:rPr>
            </w:pPr>
          </w:p>
        </w:tc>
      </w:tr>
      <w:tr w:rsidR="00B60846">
        <w:trPr>
          <w:trHeight w:val="136"/>
        </w:trPr>
        <w:tc>
          <w:tcPr>
            <w:tcW w:w="1526" w:type="dxa"/>
            <w:noWrap/>
          </w:tcPr>
          <w:p w:rsidR="00B60846" w:rsidRDefault="008069FF">
            <w:pPr>
              <w:tabs>
                <w:tab w:val="clear" w:pos="2302"/>
              </w:tabs>
              <w:spacing w:after="0"/>
              <w:jc w:val="left"/>
              <w:rPr>
                <w:rFonts w:eastAsia="Calibri"/>
                <w:noProof/>
                <w:sz w:val="22"/>
                <w:szCs w:val="22"/>
              </w:rPr>
            </w:pPr>
            <w:r>
              <w:rPr>
                <w:rFonts w:eastAsia="Calibri"/>
                <w:noProof/>
                <w:sz w:val="22"/>
                <w:szCs w:val="22"/>
              </w:rPr>
              <w:t>Option D.1.1</w:t>
            </w:r>
          </w:p>
        </w:tc>
        <w:tc>
          <w:tcPr>
            <w:tcW w:w="5137" w:type="dxa"/>
          </w:tcPr>
          <w:p w:rsidR="00B60846" w:rsidRDefault="008069FF">
            <w:pPr>
              <w:tabs>
                <w:tab w:val="clear" w:pos="2302"/>
              </w:tabs>
              <w:spacing w:after="0"/>
              <w:jc w:val="left"/>
              <w:rPr>
                <w:rFonts w:eastAsia="Calibri"/>
                <w:noProof/>
                <w:sz w:val="22"/>
                <w:szCs w:val="22"/>
              </w:rPr>
            </w:pPr>
            <w:r>
              <w:rPr>
                <w:rFonts w:eastAsia="Calibri"/>
                <w:noProof/>
                <w:sz w:val="22"/>
                <w:szCs w:val="22"/>
              </w:rPr>
              <w:t xml:space="preserve">Inclusion full investment </w:t>
            </w:r>
            <w:r>
              <w:rPr>
                <w:rFonts w:eastAsia="Calibri"/>
                <w:noProof/>
                <w:sz w:val="22"/>
                <w:szCs w:val="22"/>
              </w:rPr>
              <w:t>costs</w:t>
            </w:r>
          </w:p>
        </w:tc>
        <w:tc>
          <w:tcPr>
            <w:tcW w:w="1671" w:type="dxa"/>
          </w:tcPr>
          <w:p w:rsidR="00B60846" w:rsidRDefault="008069FF">
            <w:pPr>
              <w:tabs>
                <w:tab w:val="clear" w:pos="2302"/>
              </w:tabs>
              <w:spacing w:after="0"/>
              <w:jc w:val="center"/>
              <w:rPr>
                <w:rFonts w:eastAsia="Calibri"/>
                <w:b/>
                <w:noProof/>
                <w:sz w:val="22"/>
                <w:szCs w:val="22"/>
              </w:rPr>
            </w:pPr>
            <w:r>
              <w:rPr>
                <w:rFonts w:eastAsia="Calibri"/>
                <w:b/>
                <w:noProof/>
                <w:sz w:val="22"/>
                <w:szCs w:val="22"/>
              </w:rPr>
              <w:t>X</w:t>
            </w:r>
          </w:p>
        </w:tc>
      </w:tr>
    </w:tbl>
    <w:p w:rsidR="00B60846" w:rsidRDefault="00B60846">
      <w:pPr>
        <w:rPr>
          <w:noProof/>
        </w:rPr>
      </w:pPr>
    </w:p>
    <w:p w:rsidR="00B60846" w:rsidRDefault="008069FF">
      <w:pPr>
        <w:rPr>
          <w:noProof/>
        </w:rPr>
      </w:pPr>
      <w:r>
        <w:rPr>
          <w:noProof/>
        </w:rPr>
        <w:t>The options pertaining to “offshore grids” and “cross-sectoral infrastructure planning” improve the governance and the infrastructure planning framework to enable the identification of projects necessary for the energy transition and climate targets. There</w:t>
      </w:r>
      <w:r>
        <w:rPr>
          <w:noProof/>
        </w:rPr>
        <w:t xml:space="preserve"> are two main improvements: first, the introduction of an integrated network development plan for offshore infrastructure on the basis of Member States’ joint commitments to the amount of the offshore renewable deployment for each sea basin (top down appro</w:t>
      </w:r>
      <w:r>
        <w:rPr>
          <w:noProof/>
        </w:rPr>
        <w:t>ach for offshore planning); second, adjustments to the roles of the key actors involved in the development of the TYNDP with strengthened oversight from the Commission and ACER on the ENTSOs. The combined impact of the preferred options will ensure that fu</w:t>
      </w:r>
      <w:r>
        <w:rPr>
          <w:noProof/>
        </w:rPr>
        <w:t>ture PCIs will contribute to the achievement of Green Deal objectives including climate neutrality. Sustainability in terms of climate mitigation will be achieved through the adjusted scope of the TEN-E Regulation in terms of eligible infrastructure catego</w:t>
      </w:r>
      <w:r>
        <w:rPr>
          <w:noProof/>
        </w:rPr>
        <w:t xml:space="preserve">ries (removal of natural gas and oil pipelines, inclusion of hydrogen), integrated offshore development plans, as well as strengthened governance with a mandatory sustainability criterion for all candidate projects. </w:t>
      </w:r>
    </w:p>
    <w:p w:rsidR="00B60846" w:rsidRDefault="008069FF">
      <w:pPr>
        <w:rPr>
          <w:noProof/>
        </w:rPr>
      </w:pPr>
      <w:r>
        <w:rPr>
          <w:noProof/>
        </w:rPr>
        <w:t xml:space="preserve">Policy options concerning “permitting” </w:t>
      </w:r>
      <w:r>
        <w:rPr>
          <w:noProof/>
        </w:rPr>
        <w:t>and “regulatory treatment” will complement these improvements to facilitate the timely development of the identified PCIs: a) the introduction of a one stop shop for offshore infrastructure per sea basin, b) the access to urgent court procedures, where ava</w:t>
      </w:r>
      <w:r>
        <w:rPr>
          <w:noProof/>
        </w:rPr>
        <w:t>ilable, and c) the inclusion of full investment costs in the cross-border cost allocation. Apart from the changes that are specific to offshore grids, the changes will apply to the scope of the revised TEN-E Regulation and all eligible infrastructure categ</w:t>
      </w:r>
      <w:r>
        <w:rPr>
          <w:noProof/>
        </w:rPr>
        <w:t>ories. Finally, the above benefits will be extended to projects connecting the EU with third countries (PMIs) given their expected increasing role in achieving the climate objectives.</w:t>
      </w:r>
    </w:p>
    <w:p w:rsidR="00B60846" w:rsidRDefault="008069FF">
      <w:pPr>
        <w:rPr>
          <w:noProof/>
        </w:rPr>
      </w:pPr>
      <w:r>
        <w:rPr>
          <w:noProof/>
        </w:rPr>
        <w:t>In addition, oil pipelines and electricity highways will be removed as i</w:t>
      </w:r>
      <w:r>
        <w:rPr>
          <w:noProof/>
        </w:rPr>
        <w:t>nfrastructure categories and thematic areas.</w:t>
      </w:r>
    </w:p>
    <w:p w:rsidR="00B60846" w:rsidRDefault="008069FF">
      <w:pPr>
        <w:rPr>
          <w:noProof/>
        </w:rPr>
      </w:pPr>
      <w:r>
        <w:rPr>
          <w:noProof/>
        </w:rPr>
        <w:t>In addition, the following technical options (see Annex 9) would be part of the policy package: accelerating the permitting process (option C.1.2.), increasing the transparency of PCIs (option C.2.1), possibilit</w:t>
      </w:r>
      <w:r>
        <w:rPr>
          <w:noProof/>
        </w:rPr>
        <w:t>y for smart grids projects to obtain a CBCA (option D.1.2), clarifying CBCA provisions (option D.1.3), and updating investment incentives (option D.1.4).</w:t>
      </w:r>
    </w:p>
    <w:p w:rsidR="00B60846" w:rsidRDefault="008069FF">
      <w:pPr>
        <w:rPr>
          <w:noProof/>
        </w:rPr>
      </w:pPr>
      <w:r>
        <w:rPr>
          <w:noProof/>
        </w:rPr>
        <w:t>The package aims to “future proof” the TEN-E Regulation. The options on the future scope of the Regula</w:t>
      </w:r>
      <w:r>
        <w:rPr>
          <w:noProof/>
        </w:rPr>
        <w:t xml:space="preserve">tion cover all technologies necessary for the energy transition and climate targets. The definitions are at the same time specific and sufficiently broad to accommodate technological developments to the extent possible. The PCI selection framework and the </w:t>
      </w:r>
      <w:r>
        <w:rPr>
          <w:noProof/>
        </w:rPr>
        <w:t>new approach to cross-sectoral infrastructure planning sets the key elements in terms of objectives and criteria. The future framework will maintain the role of the regional groups in the selection process to further specify and adjust these elements again</w:t>
      </w:r>
      <w:r>
        <w:rPr>
          <w:noProof/>
        </w:rPr>
        <w:t>st new policy priorities and technological developments also considering the regional context.</w:t>
      </w:r>
    </w:p>
    <w:p w:rsidR="00B60846" w:rsidRDefault="008069FF">
      <w:pPr>
        <w:rPr>
          <w:noProof/>
        </w:rPr>
      </w:pPr>
      <w:r>
        <w:rPr>
          <w:noProof/>
        </w:rPr>
        <w:t>Removing the list of eligible infrastructure categories to provide for full flexibility in future PCI selection processes to take account of new developments suc</w:t>
      </w:r>
      <w:r>
        <w:rPr>
          <w:noProof/>
        </w:rPr>
        <w:t>h as a changing political context or new technological developments would not allow meeting the objectives of the TEN-E Regulation. Pre-defined infrastructure categories are needed for the identification of projects of common interest. The selection proces</w:t>
      </w:r>
      <w:r>
        <w:rPr>
          <w:noProof/>
        </w:rPr>
        <w:t>s builds on coordinated cross-border infrastructure planning which is only feasible and manageable if the scope and selection criteria are defined per infrastructure category. If infrastructure categories are not defined in the TEN-E Regulation, they would</w:t>
      </w:r>
      <w:r>
        <w:rPr>
          <w:noProof/>
        </w:rPr>
        <w:t xml:space="preserve"> need to be defined during the implementation of the Regulation, i.e. during the PCI selection process. Given the political nature of this decision, it seems appropriate to establish these definitions in the Regulation by the co-legislators.  </w:t>
      </w:r>
    </w:p>
    <w:p w:rsidR="00B60846" w:rsidRDefault="008069FF">
      <w:pPr>
        <w:pStyle w:val="Heading2"/>
        <w:ind w:left="1287" w:hanging="578"/>
        <w:rPr>
          <w:noProof/>
        </w:rPr>
      </w:pPr>
      <w:bookmarkStart w:id="965" w:name="_Toc51784856"/>
      <w:bookmarkStart w:id="966" w:name="_Toc51790722"/>
      <w:bookmarkStart w:id="967" w:name="_Toc51784857"/>
      <w:bookmarkStart w:id="968" w:name="_Toc51790723"/>
      <w:bookmarkStart w:id="969" w:name="_Toc51784858"/>
      <w:bookmarkStart w:id="970" w:name="_Toc51790724"/>
      <w:bookmarkStart w:id="971" w:name="_Toc39234447"/>
      <w:bookmarkStart w:id="972" w:name="_Toc49351355"/>
      <w:bookmarkStart w:id="973" w:name="_Toc49357748"/>
      <w:bookmarkStart w:id="974" w:name="_Toc49359426"/>
      <w:bookmarkStart w:id="975" w:name="_Toc49359761"/>
      <w:bookmarkStart w:id="976" w:name="_Toc49508005"/>
      <w:bookmarkStart w:id="977" w:name="_Toc49508451"/>
      <w:bookmarkStart w:id="978" w:name="_Toc49512362"/>
      <w:bookmarkStart w:id="979" w:name="_Toc49514246"/>
      <w:bookmarkStart w:id="980" w:name="_Toc49516481"/>
      <w:bookmarkStart w:id="981" w:name="_Toc50028511"/>
      <w:bookmarkStart w:id="982" w:name="_Toc50057006"/>
      <w:bookmarkStart w:id="983" w:name="_Toc50063633"/>
      <w:bookmarkStart w:id="984" w:name="_Toc50366620"/>
      <w:bookmarkStart w:id="985" w:name="_Toc50452113"/>
      <w:bookmarkStart w:id="986" w:name="_Toc50573937"/>
      <w:bookmarkStart w:id="987" w:name="_Toc50581921"/>
      <w:bookmarkStart w:id="988" w:name="_Toc50582704"/>
      <w:bookmarkStart w:id="989" w:name="_Ref50669090"/>
      <w:bookmarkStart w:id="990" w:name="_Toc51168571"/>
      <w:bookmarkStart w:id="991" w:name="_Toc51169060"/>
      <w:bookmarkStart w:id="992" w:name="_Ref51184158"/>
      <w:bookmarkStart w:id="993" w:name="_Ref51184163"/>
      <w:bookmarkStart w:id="994" w:name="_Toc51231554"/>
      <w:bookmarkStart w:id="995" w:name="_Toc51235490"/>
      <w:bookmarkStart w:id="996" w:name="_Toc51237280"/>
      <w:bookmarkStart w:id="997" w:name="_Toc51238665"/>
      <w:bookmarkStart w:id="998" w:name="_Toc51239390"/>
      <w:bookmarkStart w:id="999" w:name="_Toc51268920"/>
      <w:bookmarkStart w:id="1000" w:name="_Ref51750818"/>
      <w:bookmarkStart w:id="1001" w:name="_Toc51788302"/>
      <w:bookmarkStart w:id="1002" w:name="_Toc51791840"/>
      <w:bookmarkStart w:id="1003" w:name="_Toc51793272"/>
      <w:bookmarkStart w:id="1004" w:name="_Toc55496472"/>
      <w:bookmarkEnd w:id="965"/>
      <w:bookmarkEnd w:id="966"/>
      <w:bookmarkEnd w:id="967"/>
      <w:bookmarkEnd w:id="968"/>
      <w:bookmarkEnd w:id="969"/>
      <w:bookmarkEnd w:id="970"/>
      <w:r>
        <w:rPr>
          <w:noProof/>
        </w:rPr>
        <w:t>REFIT (simpl</w:t>
      </w:r>
      <w:r>
        <w:rPr>
          <w:noProof/>
        </w:rPr>
        <w:t>ification and improved efficiency)</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rsidR="00B60846" w:rsidRDefault="008069FF">
      <w:pPr>
        <w:rPr>
          <w:noProof/>
        </w:rPr>
      </w:pPr>
      <w:r>
        <w:rPr>
          <w:noProof/>
        </w:rPr>
        <w:t>In order to simplify and improve the efficiency of the TEN-E Regulation the following measures have been identified to reduce compliance and regulatory costs. These are explained in more detail in Annex 10.</w:t>
      </w:r>
    </w:p>
    <w:p w:rsidR="00B60846" w:rsidRDefault="008069FF">
      <w:pPr>
        <w:pStyle w:val="ListParagraph"/>
        <w:numPr>
          <w:ilvl w:val="0"/>
          <w:numId w:val="14"/>
        </w:numPr>
        <w:rPr>
          <w:i/>
          <w:noProof/>
        </w:rPr>
      </w:pPr>
      <w:r>
        <w:rPr>
          <w:i/>
          <w:iCs/>
          <w:noProof/>
        </w:rPr>
        <w:t>Reduced report</w:t>
      </w:r>
      <w:r>
        <w:rPr>
          <w:i/>
          <w:iCs/>
          <w:noProof/>
        </w:rPr>
        <w:t xml:space="preserve">ing obligations </w:t>
      </w:r>
    </w:p>
    <w:p w:rsidR="00B60846" w:rsidRDefault="008069FF">
      <w:pPr>
        <w:rPr>
          <w:noProof/>
        </w:rPr>
      </w:pPr>
      <w:r>
        <w:rPr>
          <w:noProof/>
        </w:rPr>
        <w:t xml:space="preserve">While annual reporting by project promoters needs to be maintained to achieve the required transparency standards and allow the Regional Groups to tackle quickly any implementation issues that the projects may encounter, the annual report </w:t>
      </w:r>
      <w:r>
        <w:rPr>
          <w:noProof/>
        </w:rPr>
        <w:t>of the competent authorities could be transformed into input or additional information into the report of the project promoters. This measure would reduce costs and administrative burden for the project promoters, but in particular for competent authoritie</w:t>
      </w:r>
      <w:r>
        <w:rPr>
          <w:noProof/>
        </w:rPr>
        <w:t>s which would not need to submit a separate report. The cost saving cannot be estimated as the relevant data are not available, but it is a recurrent cost saving.</w:t>
      </w:r>
    </w:p>
    <w:p w:rsidR="00B60846" w:rsidRDefault="008069FF">
      <w:pPr>
        <w:pStyle w:val="ListParagraph"/>
        <w:numPr>
          <w:ilvl w:val="0"/>
          <w:numId w:val="14"/>
        </w:numPr>
        <w:rPr>
          <w:i/>
          <w:noProof/>
        </w:rPr>
      </w:pPr>
      <w:r>
        <w:rPr>
          <w:i/>
          <w:iCs/>
          <w:noProof/>
        </w:rPr>
        <w:t>Reduced monitoring by ACER to once every two years</w:t>
      </w:r>
    </w:p>
    <w:p w:rsidR="00B60846" w:rsidRDefault="008069FF">
      <w:pPr>
        <w:rPr>
          <w:noProof/>
        </w:rPr>
      </w:pPr>
      <w:r>
        <w:rPr>
          <w:noProof/>
        </w:rPr>
        <w:t>To simplify the reporting by ACER, their r</w:t>
      </w:r>
      <w:r>
        <w:rPr>
          <w:noProof/>
        </w:rPr>
        <w:t>eport could be issued once every two years, on time for the Regional Groups, to take it into account for their assessment of the new PCI candidates</w:t>
      </w:r>
      <w:r>
        <w:rPr>
          <w:rStyle w:val="FootnoteReference"/>
          <w:noProof/>
        </w:rPr>
        <w:footnoteReference w:id="135"/>
      </w:r>
      <w:r>
        <w:rPr>
          <w:noProof/>
        </w:rPr>
        <w:t>. Since ACER’s report is actually used only once every two years, this option could help simplify the monito</w:t>
      </w:r>
      <w:r>
        <w:rPr>
          <w:noProof/>
        </w:rPr>
        <w:t>ring obligations without any costs and without affecting the projects’ implementation. This measure would reduce costs and administrative burden for ACER, for the members of the Regional Groups and the Commission. This measure could generate efficiency gai</w:t>
      </w:r>
      <w:r>
        <w:rPr>
          <w:noProof/>
        </w:rPr>
        <w:t>ns of approximately 20% of ACER’s workload on reporting, equivalent to annual savings of EUR 60 000 (or 0.4 FTE per year).</w:t>
      </w:r>
    </w:p>
    <w:p w:rsidR="00B60846" w:rsidRDefault="008069FF">
      <w:pPr>
        <w:pStyle w:val="ListParagraph"/>
        <w:numPr>
          <w:ilvl w:val="0"/>
          <w:numId w:val="14"/>
        </w:numPr>
        <w:rPr>
          <w:i/>
          <w:noProof/>
        </w:rPr>
      </w:pPr>
      <w:r>
        <w:rPr>
          <w:i/>
          <w:iCs/>
          <w:noProof/>
        </w:rPr>
        <w:t>Pre-consultation to become optional</w:t>
      </w:r>
    </w:p>
    <w:p w:rsidR="00B60846" w:rsidRDefault="008069FF">
      <w:pPr>
        <w:rPr>
          <w:noProof/>
        </w:rPr>
      </w:pPr>
      <w:r>
        <w:rPr>
          <w:noProof/>
        </w:rPr>
        <w:t>The principles for public participation in the Regulation constitute minimum requirements to ensu</w:t>
      </w:r>
      <w:r>
        <w:rPr>
          <w:noProof/>
        </w:rPr>
        <w:t xml:space="preserve">re early engagement with local communities and stakeholders affected by the construction of a PCI and include a pre-consultation process. In practice, the obligation to consult ahead of the launch of permitting procedure may be adding to existing national </w:t>
      </w:r>
      <w:r>
        <w:rPr>
          <w:noProof/>
        </w:rPr>
        <w:t>procedures. To avoid that two or more consultations are required at an early stage, it is suggested to make the pre-consultation optional, if it is already covered by national rules under the same or higher standards as in the TEN-E Regulation. The cost sa</w:t>
      </w:r>
      <w:r>
        <w:rPr>
          <w:noProof/>
        </w:rPr>
        <w:t>vings which would occur mainly with project promoters cannot be estimated as the relevant data are not available, but it is a recurrent cost saving.</w:t>
      </w:r>
    </w:p>
    <w:p w:rsidR="00B60846" w:rsidRDefault="008069FF">
      <w:pPr>
        <w:ind w:left="709"/>
        <w:rPr>
          <w:i/>
          <w:noProof/>
        </w:rPr>
      </w:pPr>
      <w:r>
        <w:rPr>
          <w:i/>
          <w:noProof/>
        </w:rPr>
        <w:t>d) Simplified inclusion in TYNDP for existing PCIs</w:t>
      </w:r>
    </w:p>
    <w:p w:rsidR="00B60846" w:rsidRDefault="008069FF">
      <w:pPr>
        <w:pStyle w:val="Text2"/>
        <w:ind w:left="0"/>
        <w:rPr>
          <w:noProof/>
        </w:rPr>
      </w:pPr>
      <w:r>
        <w:rPr>
          <w:noProof/>
        </w:rPr>
        <w:t>An electricity or gas candidate project can apply for th</w:t>
      </w:r>
      <w:r>
        <w:rPr>
          <w:noProof/>
        </w:rPr>
        <w:t>e inclusion in the Union list of PCIs only if it is included in the latest available TYNDPs, developed biennially by the ENTSOs. This process requires a significant amount of data and legal proofs</w:t>
      </w:r>
      <w:r>
        <w:rPr>
          <w:rStyle w:val="FootnoteReference"/>
          <w:noProof/>
        </w:rPr>
        <w:footnoteReference w:id="136"/>
      </w:r>
      <w:r>
        <w:rPr>
          <w:noProof/>
        </w:rPr>
        <w:t xml:space="preserve">. Considering that existing PCI projects already delivered </w:t>
      </w:r>
      <w:r>
        <w:rPr>
          <w:noProof/>
        </w:rPr>
        <w:t>the necessary proofs in the previous TYNDP process, an automatic inclusion in the subsequent TYNDPs for such projects, as long as their administrative and technical data did not significantly change, is recommended. The cost savings which would occur mainl</w:t>
      </w:r>
      <w:r>
        <w:rPr>
          <w:noProof/>
        </w:rPr>
        <w:t>y with project promoters cannot be estimated as the relevant data are not available, but it is a recurrent cost saving.</w:t>
      </w:r>
    </w:p>
    <w:p w:rsidR="00B60846" w:rsidRDefault="008069FF">
      <w:pPr>
        <w:pStyle w:val="Heading1"/>
        <w:rPr>
          <w:noProof/>
        </w:rPr>
      </w:pPr>
      <w:bookmarkStart w:id="1005" w:name="_Toc39234305"/>
      <w:bookmarkStart w:id="1006" w:name="_Toc39234448"/>
      <w:bookmarkStart w:id="1007" w:name="_Toc49351356"/>
      <w:bookmarkStart w:id="1008" w:name="_Toc49357749"/>
      <w:bookmarkStart w:id="1009" w:name="_Toc49359427"/>
      <w:bookmarkStart w:id="1010" w:name="_Toc49359762"/>
      <w:bookmarkStart w:id="1011" w:name="_Toc49508006"/>
      <w:bookmarkStart w:id="1012" w:name="_Toc49508452"/>
      <w:bookmarkStart w:id="1013" w:name="_Toc49512363"/>
      <w:bookmarkStart w:id="1014" w:name="_Toc49514247"/>
      <w:bookmarkStart w:id="1015" w:name="_Toc49516482"/>
      <w:bookmarkStart w:id="1016" w:name="_Toc50028512"/>
      <w:bookmarkStart w:id="1017" w:name="_Toc50057007"/>
      <w:bookmarkStart w:id="1018" w:name="_Toc50063634"/>
      <w:bookmarkStart w:id="1019" w:name="_Toc50366621"/>
      <w:bookmarkStart w:id="1020" w:name="_Toc50452114"/>
      <w:bookmarkStart w:id="1021" w:name="_Toc50573938"/>
      <w:bookmarkStart w:id="1022" w:name="_Toc50581922"/>
      <w:bookmarkStart w:id="1023" w:name="_Toc50582705"/>
      <w:bookmarkStart w:id="1024" w:name="_Toc51168572"/>
      <w:bookmarkStart w:id="1025" w:name="_Toc51169061"/>
      <w:bookmarkStart w:id="1026" w:name="_Toc51231555"/>
      <w:bookmarkStart w:id="1027" w:name="_Toc51235491"/>
      <w:bookmarkStart w:id="1028" w:name="_Toc51237281"/>
      <w:bookmarkStart w:id="1029" w:name="_Toc51238666"/>
      <w:bookmarkStart w:id="1030" w:name="_Toc51239391"/>
      <w:bookmarkStart w:id="1031" w:name="_Toc51268921"/>
      <w:bookmarkStart w:id="1032" w:name="_Toc51788303"/>
      <w:bookmarkStart w:id="1033" w:name="_Toc51791841"/>
      <w:bookmarkStart w:id="1034" w:name="_Toc51793273"/>
      <w:bookmarkStart w:id="1035" w:name="_Toc55496473"/>
      <w:r>
        <w:rPr>
          <w:noProof/>
        </w:rPr>
        <w:t>How will actual impacts be monitored and evaluated?</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rsidR="00B60846" w:rsidRDefault="008069FF">
      <w:pPr>
        <w:rPr>
          <w:noProof/>
        </w:rPr>
      </w:pPr>
      <w:r>
        <w:rPr>
          <w:noProof/>
        </w:rPr>
        <w:t xml:space="preserve">The actual impacts of the legislation will be monitored and evaluated against a set </w:t>
      </w:r>
      <w:r>
        <w:rPr>
          <w:noProof/>
        </w:rPr>
        <w:t>of indicators tailored to the specific policy objectives to be achieved with the legislation. A review of the effectiveness of the new legislation could take place in 2026, when the second PCI selection process under the new framework should have been comp</w:t>
      </w:r>
      <w:r>
        <w:rPr>
          <w:noProof/>
        </w:rPr>
        <w:t>leted.</w:t>
      </w:r>
    </w:p>
    <w:p w:rsidR="00B60846" w:rsidRDefault="008069FF">
      <w:pPr>
        <w:rPr>
          <w:noProof/>
        </w:rPr>
      </w:pPr>
      <w:r>
        <w:rPr>
          <w:noProof/>
        </w:rPr>
        <w:t xml:space="preserve">Under the existing TEN-E framework there are already regular reporting and monitoring procedures in place. This well-established monitoring system constitutes an important basis for monitoring the impacts of the legislation. </w:t>
      </w:r>
    </w:p>
    <w:p w:rsidR="00B60846" w:rsidRDefault="008069FF">
      <w:pPr>
        <w:pStyle w:val="Heading2"/>
        <w:ind w:left="1287" w:hanging="578"/>
        <w:rPr>
          <w:noProof/>
        </w:rPr>
      </w:pPr>
      <w:bookmarkStart w:id="1036" w:name="_Toc51788304"/>
      <w:bookmarkStart w:id="1037" w:name="_Toc51791842"/>
      <w:bookmarkStart w:id="1038" w:name="_Toc51793274"/>
      <w:bookmarkStart w:id="1039" w:name="_Toc55496474"/>
      <w:r>
        <w:rPr>
          <w:noProof/>
        </w:rPr>
        <w:t>Indicators</w:t>
      </w:r>
      <w:bookmarkEnd w:id="1036"/>
      <w:bookmarkEnd w:id="1037"/>
      <w:bookmarkEnd w:id="1038"/>
      <w:bookmarkEnd w:id="1039"/>
    </w:p>
    <w:p w:rsidR="00B60846" w:rsidRDefault="008069FF">
      <w:pPr>
        <w:rPr>
          <w:noProof/>
        </w:rPr>
      </w:pPr>
      <w:r>
        <w:rPr>
          <w:noProof/>
        </w:rPr>
        <w:t xml:space="preserve">Building on </w:t>
      </w:r>
      <w:r>
        <w:rPr>
          <w:noProof/>
        </w:rPr>
        <w:t>the existing monitoring, the following indicators have been identified for the specific policy objectives:</w:t>
      </w:r>
    </w:p>
    <w:p w:rsidR="00B60846" w:rsidRDefault="008069FF">
      <w:pPr>
        <w:pStyle w:val="ListParagraph"/>
        <w:numPr>
          <w:ilvl w:val="0"/>
          <w:numId w:val="26"/>
        </w:numPr>
        <w:tabs>
          <w:tab w:val="clear" w:pos="2302"/>
        </w:tabs>
        <w:ind w:left="567" w:hanging="567"/>
        <w:rPr>
          <w:noProof/>
        </w:rPr>
      </w:pPr>
      <w:r>
        <w:rPr>
          <w:noProof/>
        </w:rPr>
        <w:t xml:space="preserve">Enable the identification of the </w:t>
      </w:r>
      <w:r>
        <w:rPr>
          <w:b/>
          <w:bCs/>
          <w:noProof/>
        </w:rPr>
        <w:t xml:space="preserve">necessary </w:t>
      </w:r>
      <w:r>
        <w:rPr>
          <w:b/>
          <w:noProof/>
        </w:rPr>
        <w:t xml:space="preserve">cross-border </w:t>
      </w:r>
      <w:r>
        <w:rPr>
          <w:b/>
          <w:bCs/>
          <w:noProof/>
        </w:rPr>
        <w:t>projects and investments</w:t>
      </w:r>
      <w:r>
        <w:rPr>
          <w:noProof/>
        </w:rPr>
        <w:t>:</w:t>
      </w:r>
    </w:p>
    <w:p w:rsidR="00B60846" w:rsidRDefault="008069FF">
      <w:pPr>
        <w:pStyle w:val="ListParagraph"/>
        <w:numPr>
          <w:ilvl w:val="0"/>
          <w:numId w:val="27"/>
        </w:numPr>
        <w:tabs>
          <w:tab w:val="clear" w:pos="2302"/>
        </w:tabs>
        <w:rPr>
          <w:noProof/>
        </w:rPr>
      </w:pPr>
      <w:r>
        <w:rPr>
          <w:noProof/>
        </w:rPr>
        <w:t>the number and types of projects under the defined priority corrido</w:t>
      </w:r>
      <w:r>
        <w:rPr>
          <w:noProof/>
        </w:rPr>
        <w:t>rs / thematic areas (planned, under construction or commissioned);</w:t>
      </w:r>
    </w:p>
    <w:p w:rsidR="00B60846" w:rsidRDefault="008069FF">
      <w:pPr>
        <w:pStyle w:val="ListParagraph"/>
        <w:numPr>
          <w:ilvl w:val="0"/>
          <w:numId w:val="27"/>
        </w:numPr>
        <w:tabs>
          <w:tab w:val="clear" w:pos="2302"/>
        </w:tabs>
        <w:rPr>
          <w:noProof/>
        </w:rPr>
      </w:pPr>
      <w:r>
        <w:rPr>
          <w:noProof/>
        </w:rPr>
        <w:t>the installed capacity per project type and priority corridors / thematic areas;</w:t>
      </w:r>
    </w:p>
    <w:p w:rsidR="00B60846" w:rsidRDefault="008069FF">
      <w:pPr>
        <w:pStyle w:val="ListParagraph"/>
        <w:numPr>
          <w:ilvl w:val="0"/>
          <w:numId w:val="27"/>
        </w:numPr>
        <w:tabs>
          <w:tab w:val="clear" w:pos="2302"/>
        </w:tabs>
        <w:rPr>
          <w:noProof/>
        </w:rPr>
      </w:pPr>
      <w:r>
        <w:rPr>
          <w:noProof/>
        </w:rPr>
        <w:t>the integration of renewable energy sources and reduced greenhouse gas emissions;</w:t>
      </w:r>
    </w:p>
    <w:p w:rsidR="00B60846" w:rsidRDefault="008069FF">
      <w:pPr>
        <w:pStyle w:val="ListParagraph"/>
        <w:numPr>
          <w:ilvl w:val="0"/>
          <w:numId w:val="27"/>
        </w:numPr>
        <w:tabs>
          <w:tab w:val="clear" w:pos="2302"/>
        </w:tabs>
        <w:rPr>
          <w:noProof/>
        </w:rPr>
      </w:pPr>
      <w:r>
        <w:rPr>
          <w:noProof/>
        </w:rPr>
        <w:t xml:space="preserve">the interconnection level </w:t>
      </w:r>
      <w:r>
        <w:rPr>
          <w:noProof/>
        </w:rPr>
        <w:t>between Member States;</w:t>
      </w:r>
    </w:p>
    <w:p w:rsidR="00B60846" w:rsidRDefault="00B60846">
      <w:pPr>
        <w:pStyle w:val="ListParagraph"/>
        <w:tabs>
          <w:tab w:val="clear" w:pos="2302"/>
        </w:tabs>
        <w:rPr>
          <w:noProof/>
        </w:rPr>
      </w:pPr>
    </w:p>
    <w:p w:rsidR="00B60846" w:rsidRDefault="008069FF">
      <w:pPr>
        <w:pStyle w:val="ListParagraph"/>
        <w:numPr>
          <w:ilvl w:val="0"/>
          <w:numId w:val="26"/>
        </w:numPr>
        <w:tabs>
          <w:tab w:val="clear" w:pos="2302"/>
        </w:tabs>
        <w:ind w:left="567" w:hanging="567"/>
        <w:rPr>
          <w:noProof/>
        </w:rPr>
      </w:pPr>
      <w:r>
        <w:rPr>
          <w:noProof/>
        </w:rPr>
        <w:t xml:space="preserve">Improve </w:t>
      </w:r>
      <w:r>
        <w:rPr>
          <w:b/>
          <w:bCs/>
          <w:noProof/>
        </w:rPr>
        <w:t>infrastructure planning</w:t>
      </w:r>
      <w:r>
        <w:rPr>
          <w:b/>
          <w:noProof/>
        </w:rPr>
        <w:t xml:space="preserve"> for energy system integration and offshore grids</w:t>
      </w:r>
      <w:r>
        <w:rPr>
          <w:noProof/>
        </w:rPr>
        <w:t>:</w:t>
      </w:r>
    </w:p>
    <w:p w:rsidR="00B60846" w:rsidRDefault="008069FF">
      <w:pPr>
        <w:pStyle w:val="ListParagraph"/>
        <w:numPr>
          <w:ilvl w:val="0"/>
          <w:numId w:val="27"/>
        </w:numPr>
        <w:tabs>
          <w:tab w:val="clear" w:pos="2302"/>
        </w:tabs>
        <w:rPr>
          <w:noProof/>
        </w:rPr>
      </w:pPr>
      <w:r>
        <w:rPr>
          <w:noProof/>
        </w:rPr>
        <w:t>installed capacities for offshore renewable energy generation;</w:t>
      </w:r>
    </w:p>
    <w:p w:rsidR="00B60846" w:rsidRDefault="00B60846">
      <w:pPr>
        <w:pStyle w:val="ListParagraph"/>
        <w:tabs>
          <w:tab w:val="clear" w:pos="2302"/>
        </w:tabs>
        <w:rPr>
          <w:noProof/>
        </w:rPr>
      </w:pPr>
    </w:p>
    <w:p w:rsidR="00B60846" w:rsidRDefault="008069FF">
      <w:pPr>
        <w:pStyle w:val="ListParagraph"/>
        <w:numPr>
          <w:ilvl w:val="0"/>
          <w:numId w:val="26"/>
        </w:numPr>
        <w:tabs>
          <w:tab w:val="clear" w:pos="2302"/>
        </w:tabs>
        <w:ind w:left="567" w:hanging="567"/>
        <w:rPr>
          <w:noProof/>
        </w:rPr>
      </w:pPr>
      <w:r>
        <w:rPr>
          <w:b/>
          <w:noProof/>
        </w:rPr>
        <w:t>Shorten permitting procedures</w:t>
      </w:r>
      <w:r>
        <w:rPr>
          <w:noProof/>
        </w:rPr>
        <w:t xml:space="preserve"> for projects of common interest</w:t>
      </w:r>
    </w:p>
    <w:p w:rsidR="00B60846" w:rsidRDefault="008069FF">
      <w:pPr>
        <w:pStyle w:val="ListParagraph"/>
        <w:numPr>
          <w:ilvl w:val="0"/>
          <w:numId w:val="27"/>
        </w:numPr>
        <w:tabs>
          <w:tab w:val="clear" w:pos="2302"/>
        </w:tabs>
        <w:rPr>
          <w:noProof/>
        </w:rPr>
      </w:pPr>
      <w:r>
        <w:rPr>
          <w:noProof/>
        </w:rPr>
        <w:t xml:space="preserve">the average and maximum </w:t>
      </w:r>
      <w:r>
        <w:rPr>
          <w:noProof/>
        </w:rPr>
        <w:t>total duration of authorisation procedures for projects of common interest;</w:t>
      </w:r>
    </w:p>
    <w:p w:rsidR="00B60846" w:rsidRDefault="008069FF">
      <w:pPr>
        <w:pStyle w:val="ListParagraph"/>
        <w:numPr>
          <w:ilvl w:val="0"/>
          <w:numId w:val="27"/>
        </w:numPr>
        <w:tabs>
          <w:tab w:val="clear" w:pos="2302"/>
        </w:tabs>
        <w:rPr>
          <w:noProof/>
        </w:rPr>
      </w:pPr>
      <w:r>
        <w:rPr>
          <w:noProof/>
        </w:rPr>
        <w:t>the average duration of court proceedings for projects of common interest;</w:t>
      </w:r>
    </w:p>
    <w:p w:rsidR="00B60846" w:rsidRDefault="008069FF">
      <w:pPr>
        <w:pStyle w:val="ListParagraph"/>
        <w:numPr>
          <w:ilvl w:val="0"/>
          <w:numId w:val="27"/>
        </w:numPr>
        <w:tabs>
          <w:tab w:val="clear" w:pos="2302"/>
        </w:tabs>
        <w:rPr>
          <w:noProof/>
        </w:rPr>
      </w:pPr>
      <w:r>
        <w:rPr>
          <w:noProof/>
        </w:rPr>
        <w:t>the level of opposition faced by projects of common interest (number of written objections during the pub</w:t>
      </w:r>
      <w:r>
        <w:rPr>
          <w:noProof/>
        </w:rPr>
        <w:t>lic consultation, number of legal recourse actions).</w:t>
      </w:r>
    </w:p>
    <w:p w:rsidR="00B60846" w:rsidRDefault="00B60846">
      <w:pPr>
        <w:pStyle w:val="ListParagraph"/>
        <w:tabs>
          <w:tab w:val="clear" w:pos="2302"/>
        </w:tabs>
        <w:rPr>
          <w:noProof/>
        </w:rPr>
      </w:pPr>
    </w:p>
    <w:p w:rsidR="00B60846" w:rsidRDefault="008069FF">
      <w:pPr>
        <w:pStyle w:val="ListParagraph"/>
        <w:numPr>
          <w:ilvl w:val="0"/>
          <w:numId w:val="26"/>
        </w:numPr>
        <w:tabs>
          <w:tab w:val="clear" w:pos="2302"/>
        </w:tabs>
        <w:ind w:left="567" w:hanging="567"/>
        <w:rPr>
          <w:noProof/>
          <w:lang w:eastAsia="en-GB"/>
        </w:rPr>
      </w:pPr>
      <w:r>
        <w:rPr>
          <w:noProof/>
        </w:rPr>
        <w:t>Ensure the appropriate use of the regulatory framework</w:t>
      </w:r>
    </w:p>
    <w:p w:rsidR="00B60846" w:rsidRDefault="008069FF">
      <w:pPr>
        <w:pStyle w:val="ListParagraph"/>
        <w:numPr>
          <w:ilvl w:val="0"/>
          <w:numId w:val="28"/>
        </w:numPr>
        <w:tabs>
          <w:tab w:val="clear" w:pos="2302"/>
        </w:tabs>
        <w:rPr>
          <w:noProof/>
        </w:rPr>
      </w:pPr>
      <w:r>
        <w:rPr>
          <w:noProof/>
        </w:rPr>
        <w:t>the number of projects of common interest having reached a cost allocation agreement among TSOs and NRAs based on full cost inclusion;</w:t>
      </w:r>
    </w:p>
    <w:p w:rsidR="00B60846" w:rsidRDefault="008069FF">
      <w:pPr>
        <w:pStyle w:val="ListParagraph"/>
        <w:numPr>
          <w:ilvl w:val="0"/>
          <w:numId w:val="28"/>
        </w:numPr>
        <w:tabs>
          <w:tab w:val="clear" w:pos="2302"/>
        </w:tabs>
        <w:rPr>
          <w:noProof/>
        </w:rPr>
      </w:pPr>
      <w:r>
        <w:rPr>
          <w:noProof/>
        </w:rPr>
        <w:t xml:space="preserve">the average </w:t>
      </w:r>
      <w:r>
        <w:rPr>
          <w:noProof/>
        </w:rPr>
        <w:t>duration for reaching an cost allocation agreement;</w:t>
      </w:r>
    </w:p>
    <w:p w:rsidR="00B60846" w:rsidRDefault="008069FF">
      <w:pPr>
        <w:pStyle w:val="ListParagraph"/>
        <w:numPr>
          <w:ilvl w:val="0"/>
          <w:numId w:val="28"/>
        </w:numPr>
        <w:tabs>
          <w:tab w:val="clear" w:pos="2302"/>
        </w:tabs>
        <w:rPr>
          <w:noProof/>
        </w:rPr>
      </w:pPr>
      <w:r>
        <w:rPr>
          <w:noProof/>
        </w:rPr>
        <w:t>the number and type of projects of common interest having received specific incentives and/or support by NRAs;</w:t>
      </w:r>
    </w:p>
    <w:p w:rsidR="00B60846" w:rsidRDefault="008069FF">
      <w:pPr>
        <w:tabs>
          <w:tab w:val="clear" w:pos="2302"/>
        </w:tabs>
        <w:rPr>
          <w:noProof/>
        </w:rPr>
      </w:pPr>
      <w:r>
        <w:rPr>
          <w:noProof/>
        </w:rPr>
        <w:t>All data will be monitored on the basis of regular reports from project promoters and nationa</w:t>
      </w:r>
      <w:r>
        <w:rPr>
          <w:noProof/>
        </w:rPr>
        <w:t>l regulators.</w:t>
      </w:r>
    </w:p>
    <w:p w:rsidR="00B60846" w:rsidRDefault="008069FF">
      <w:pPr>
        <w:pStyle w:val="Heading2"/>
        <w:ind w:left="1287" w:hanging="578"/>
        <w:rPr>
          <w:noProof/>
        </w:rPr>
      </w:pPr>
      <w:bookmarkStart w:id="1040" w:name="_Toc51788305"/>
      <w:bookmarkStart w:id="1041" w:name="_Toc51791843"/>
      <w:bookmarkStart w:id="1042" w:name="_Toc51793275"/>
      <w:bookmarkStart w:id="1043" w:name="_Toc55496475"/>
      <w:r>
        <w:rPr>
          <w:noProof/>
        </w:rPr>
        <w:t>Operational objectives</w:t>
      </w:r>
      <w:bookmarkEnd w:id="1040"/>
      <w:bookmarkEnd w:id="1041"/>
      <w:bookmarkEnd w:id="1042"/>
      <w:bookmarkEnd w:id="1043"/>
      <w:r>
        <w:rPr>
          <w:noProof/>
        </w:rPr>
        <w:t xml:space="preserve"> </w:t>
      </w:r>
    </w:p>
    <w:p w:rsidR="00B60846" w:rsidRDefault="008069FF">
      <w:pPr>
        <w:rPr>
          <w:rFonts w:eastAsiaTheme="minorEastAsia"/>
          <w:noProof/>
          <w:color w:val="000000"/>
        </w:rPr>
      </w:pPr>
      <w:r>
        <w:rPr>
          <w:rFonts w:eastAsiaTheme="minorEastAsia"/>
          <w:noProof/>
          <w:color w:val="000000"/>
        </w:rPr>
        <w:t>Based on the policy options, the following operational objectives have been identified:</w:t>
      </w:r>
    </w:p>
    <w:tbl>
      <w:tblPr>
        <w:tblStyle w:val="TableGrid"/>
        <w:tblW w:w="0" w:type="auto"/>
        <w:tblLook w:val="04A0" w:firstRow="1" w:lastRow="0" w:firstColumn="1" w:lastColumn="0" w:noHBand="0" w:noVBand="1"/>
      </w:tblPr>
      <w:tblGrid>
        <w:gridCol w:w="4417"/>
        <w:gridCol w:w="4417"/>
      </w:tblGrid>
      <w:tr w:rsidR="00B60846">
        <w:tc>
          <w:tcPr>
            <w:tcW w:w="4417" w:type="dxa"/>
          </w:tcPr>
          <w:p w:rsidR="00B60846" w:rsidRDefault="008069FF">
            <w:pPr>
              <w:spacing w:after="0"/>
              <w:rPr>
                <w:b/>
                <w:noProof/>
                <w:sz w:val="20"/>
              </w:rPr>
            </w:pPr>
            <w:r>
              <w:rPr>
                <w:b/>
                <w:noProof/>
                <w:sz w:val="20"/>
              </w:rPr>
              <w:t>Operational objectives</w:t>
            </w:r>
          </w:p>
        </w:tc>
        <w:tc>
          <w:tcPr>
            <w:tcW w:w="4417" w:type="dxa"/>
          </w:tcPr>
          <w:p w:rsidR="00B60846" w:rsidRDefault="008069FF">
            <w:pPr>
              <w:spacing w:after="0"/>
              <w:rPr>
                <w:b/>
                <w:noProof/>
                <w:sz w:val="20"/>
              </w:rPr>
            </w:pPr>
            <w:r>
              <w:rPr>
                <w:b/>
                <w:noProof/>
                <w:sz w:val="20"/>
              </w:rPr>
              <w:t>Indicators</w:t>
            </w:r>
          </w:p>
        </w:tc>
      </w:tr>
      <w:tr w:rsidR="00B60846">
        <w:tc>
          <w:tcPr>
            <w:tcW w:w="4417" w:type="dxa"/>
          </w:tcPr>
          <w:p w:rsidR="00B60846" w:rsidRDefault="008069FF">
            <w:pPr>
              <w:spacing w:after="0"/>
              <w:rPr>
                <w:noProof/>
                <w:sz w:val="20"/>
              </w:rPr>
            </w:pPr>
            <w:r>
              <w:rPr>
                <w:noProof/>
                <w:sz w:val="20"/>
              </w:rPr>
              <w:t xml:space="preserve">Implementation of PCIs that support the achievement of the climate neutrality objective by </w:t>
            </w:r>
            <w:r>
              <w:rPr>
                <w:noProof/>
                <w:sz w:val="20"/>
              </w:rPr>
              <w:t>enabling RES integration</w:t>
            </w:r>
          </w:p>
        </w:tc>
        <w:tc>
          <w:tcPr>
            <w:tcW w:w="4417" w:type="dxa"/>
          </w:tcPr>
          <w:p w:rsidR="00B60846" w:rsidRDefault="008069FF">
            <w:pPr>
              <w:spacing w:after="0"/>
              <w:rPr>
                <w:noProof/>
                <w:sz w:val="20"/>
              </w:rPr>
            </w:pPr>
            <w:r>
              <w:rPr>
                <w:noProof/>
                <w:sz w:val="20"/>
              </w:rPr>
              <w:t>Reduced  curtailment of renewable energy; doubling the number of smart electricity projects compared to current levels by 2026</w:t>
            </w:r>
          </w:p>
        </w:tc>
      </w:tr>
      <w:tr w:rsidR="00B60846">
        <w:tc>
          <w:tcPr>
            <w:tcW w:w="4417" w:type="dxa"/>
          </w:tcPr>
          <w:p w:rsidR="00B60846" w:rsidRDefault="008069FF">
            <w:pPr>
              <w:spacing w:after="0"/>
              <w:rPr>
                <w:noProof/>
                <w:sz w:val="20"/>
              </w:rPr>
            </w:pPr>
            <w:r>
              <w:rPr>
                <w:noProof/>
                <w:sz w:val="20"/>
              </w:rPr>
              <w:t xml:space="preserve">Achieve a significant increase in the deployment of offshore renewable energy </w:t>
            </w:r>
          </w:p>
        </w:tc>
        <w:tc>
          <w:tcPr>
            <w:tcW w:w="4417" w:type="dxa"/>
          </w:tcPr>
          <w:p w:rsidR="00B60846" w:rsidRDefault="008069FF">
            <w:pPr>
              <w:spacing w:after="0"/>
              <w:rPr>
                <w:noProof/>
                <w:sz w:val="20"/>
              </w:rPr>
            </w:pPr>
            <w:r>
              <w:rPr>
                <w:noProof/>
                <w:sz w:val="20"/>
              </w:rPr>
              <w:t xml:space="preserve">At least 10 PCIs to support the deployment of offshore renewable energy by 2026 </w:t>
            </w:r>
          </w:p>
        </w:tc>
      </w:tr>
      <w:tr w:rsidR="00B60846">
        <w:tc>
          <w:tcPr>
            <w:tcW w:w="4417" w:type="dxa"/>
          </w:tcPr>
          <w:p w:rsidR="00B60846" w:rsidRDefault="008069FF">
            <w:pPr>
              <w:spacing w:after="0"/>
              <w:rPr>
                <w:noProof/>
                <w:sz w:val="20"/>
              </w:rPr>
            </w:pPr>
            <w:r>
              <w:rPr>
                <w:noProof/>
                <w:sz w:val="20"/>
              </w:rPr>
              <w:t>European approach to infrastructure planning for hydrogen networks</w:t>
            </w:r>
          </w:p>
        </w:tc>
        <w:tc>
          <w:tcPr>
            <w:tcW w:w="4417" w:type="dxa"/>
          </w:tcPr>
          <w:p w:rsidR="00B60846" w:rsidRDefault="008069FF">
            <w:pPr>
              <w:spacing w:after="0"/>
              <w:rPr>
                <w:noProof/>
                <w:sz w:val="20"/>
              </w:rPr>
            </w:pPr>
            <w:r>
              <w:rPr>
                <w:noProof/>
                <w:sz w:val="20"/>
              </w:rPr>
              <w:t>Integration of hydrogen in the TYNDP or establishment of a hydrogen network development plan; at least 5 hy</w:t>
            </w:r>
            <w:r>
              <w:rPr>
                <w:noProof/>
                <w:sz w:val="20"/>
              </w:rPr>
              <w:t>drogen PCIs by 2026</w:t>
            </w:r>
          </w:p>
        </w:tc>
      </w:tr>
      <w:tr w:rsidR="00B60846">
        <w:tc>
          <w:tcPr>
            <w:tcW w:w="4417" w:type="dxa"/>
          </w:tcPr>
          <w:p w:rsidR="00B60846" w:rsidRDefault="008069FF">
            <w:pPr>
              <w:spacing w:after="0"/>
              <w:rPr>
                <w:noProof/>
                <w:sz w:val="20"/>
              </w:rPr>
            </w:pPr>
            <w:r>
              <w:rPr>
                <w:noProof/>
                <w:sz w:val="20"/>
              </w:rPr>
              <w:t>Reduce delays in PCI implementation</w:t>
            </w:r>
          </w:p>
        </w:tc>
        <w:tc>
          <w:tcPr>
            <w:tcW w:w="4417" w:type="dxa"/>
          </w:tcPr>
          <w:p w:rsidR="00B60846" w:rsidRDefault="008069FF">
            <w:pPr>
              <w:spacing w:after="0"/>
              <w:rPr>
                <w:noProof/>
                <w:sz w:val="20"/>
              </w:rPr>
            </w:pPr>
            <w:r>
              <w:rPr>
                <w:noProof/>
                <w:sz w:val="20"/>
              </w:rPr>
              <w:t>Share of PCIs that are delayed in a given year compared to the initially planned commissioning date: reduce share compared to current situation</w:t>
            </w:r>
          </w:p>
        </w:tc>
      </w:tr>
    </w:tbl>
    <w:p w:rsidR="00B60846" w:rsidRDefault="008069FF">
      <w:pPr>
        <w:tabs>
          <w:tab w:val="clear" w:pos="2302"/>
        </w:tabs>
        <w:spacing w:after="200" w:line="276" w:lineRule="auto"/>
        <w:jc w:val="left"/>
        <w:rPr>
          <w:b/>
          <w:smallCaps/>
          <w:noProof/>
        </w:rPr>
      </w:pPr>
      <w:bookmarkStart w:id="1044" w:name="_Toc51168573"/>
      <w:bookmarkStart w:id="1045" w:name="_Toc51169062"/>
      <w:bookmarkStart w:id="1046" w:name="_Toc51231556"/>
      <w:bookmarkStart w:id="1047" w:name="_Toc51235492"/>
      <w:bookmarkStart w:id="1048" w:name="_Toc51237282"/>
      <w:bookmarkStart w:id="1049" w:name="_Toc51238667"/>
      <w:bookmarkStart w:id="1050" w:name="_Toc51239392"/>
      <w:bookmarkStart w:id="1051" w:name="_Toc51788306"/>
      <w:bookmarkStart w:id="1052" w:name="_Toc51791844"/>
      <w:bookmarkStart w:id="1053" w:name="_Toc51793276"/>
      <w:r>
        <w:rPr>
          <w:noProof/>
        </w:rPr>
        <w:br w:type="page"/>
      </w:r>
    </w:p>
    <w:p w:rsidR="00B60846" w:rsidRDefault="008069FF">
      <w:pPr>
        <w:pStyle w:val="Heading1"/>
        <w:rPr>
          <w:noProof/>
        </w:rPr>
      </w:pPr>
      <w:bookmarkStart w:id="1054" w:name="_Toc55496476"/>
      <w:r>
        <w:rPr>
          <w:noProof/>
        </w:rPr>
        <w:t>Glossary</w:t>
      </w:r>
      <w:bookmarkEnd w:id="1044"/>
      <w:bookmarkEnd w:id="1045"/>
      <w:bookmarkEnd w:id="1046"/>
      <w:bookmarkEnd w:id="1047"/>
      <w:bookmarkEnd w:id="1048"/>
      <w:bookmarkEnd w:id="1049"/>
      <w:bookmarkEnd w:id="1050"/>
      <w:bookmarkEnd w:id="1051"/>
      <w:bookmarkEnd w:id="1052"/>
      <w:bookmarkEnd w:id="1053"/>
      <w:bookmarkEnd w:id="1054"/>
    </w:p>
    <w:tbl>
      <w:tblPr>
        <w:tblStyle w:val="TableGrid"/>
        <w:tblW w:w="0" w:type="auto"/>
        <w:tblLook w:val="04A0" w:firstRow="1" w:lastRow="0" w:firstColumn="1" w:lastColumn="0" w:noHBand="0" w:noVBand="1"/>
      </w:tblPr>
      <w:tblGrid>
        <w:gridCol w:w="3227"/>
        <w:gridCol w:w="5607"/>
      </w:tblGrid>
      <w:tr w:rsidR="00B60846">
        <w:trPr>
          <w:trHeight w:val="374"/>
        </w:trPr>
        <w:tc>
          <w:tcPr>
            <w:tcW w:w="3227" w:type="dxa"/>
            <w:tcBorders>
              <w:bottom w:val="double" w:sz="4" w:space="0" w:color="auto"/>
            </w:tcBorders>
            <w:shd w:val="clear" w:color="auto" w:fill="F2F2F2" w:themeFill="background1" w:themeFillShade="F2"/>
          </w:tcPr>
          <w:p w:rsidR="00B60846" w:rsidRDefault="008069FF">
            <w:pPr>
              <w:spacing w:after="0"/>
              <w:rPr>
                <w:b/>
                <w:bCs/>
                <w:noProof/>
              </w:rPr>
            </w:pPr>
            <w:r>
              <w:rPr>
                <w:b/>
                <w:bCs/>
                <w:noProof/>
              </w:rPr>
              <w:t>Term or acronym</w:t>
            </w:r>
          </w:p>
        </w:tc>
        <w:tc>
          <w:tcPr>
            <w:tcW w:w="5607" w:type="dxa"/>
            <w:tcBorders>
              <w:bottom w:val="double" w:sz="4" w:space="0" w:color="auto"/>
            </w:tcBorders>
            <w:shd w:val="clear" w:color="auto" w:fill="F2F2F2" w:themeFill="background1" w:themeFillShade="F2"/>
          </w:tcPr>
          <w:p w:rsidR="00B60846" w:rsidRDefault="008069FF">
            <w:pPr>
              <w:spacing w:after="0"/>
              <w:rPr>
                <w:b/>
                <w:bCs/>
                <w:noProof/>
              </w:rPr>
            </w:pPr>
            <w:r>
              <w:rPr>
                <w:b/>
                <w:bCs/>
                <w:noProof/>
              </w:rPr>
              <w:t>Meaning or definition</w:t>
            </w:r>
          </w:p>
        </w:tc>
      </w:tr>
      <w:tr w:rsidR="00B60846">
        <w:tc>
          <w:tcPr>
            <w:tcW w:w="3227" w:type="dxa"/>
            <w:tcMar>
              <w:top w:w="85" w:type="dxa"/>
              <w:left w:w="57" w:type="dxa"/>
              <w:bottom w:w="85" w:type="dxa"/>
              <w:right w:w="57" w:type="dxa"/>
            </w:tcMar>
          </w:tcPr>
          <w:p w:rsidR="00B60846" w:rsidRDefault="008069FF">
            <w:pPr>
              <w:spacing w:after="0"/>
              <w:rPr>
                <w:noProof/>
              </w:rPr>
            </w:pPr>
            <w:r>
              <w:rPr>
                <w:noProof/>
              </w:rPr>
              <w:t>ACER</w:t>
            </w:r>
          </w:p>
        </w:tc>
        <w:tc>
          <w:tcPr>
            <w:tcW w:w="5607" w:type="dxa"/>
            <w:tcMar>
              <w:top w:w="85" w:type="dxa"/>
              <w:left w:w="57" w:type="dxa"/>
              <w:bottom w:w="85" w:type="dxa"/>
              <w:right w:w="57" w:type="dxa"/>
            </w:tcMar>
          </w:tcPr>
          <w:p w:rsidR="00B60846" w:rsidRDefault="008069FF">
            <w:pPr>
              <w:spacing w:after="0"/>
              <w:rPr>
                <w:noProof/>
              </w:rPr>
            </w:pPr>
            <w:r>
              <w:rPr>
                <w:noProof/>
              </w:rPr>
              <w:t>Agency for the Cooperation of Energy Regulators</w:t>
            </w:r>
          </w:p>
        </w:tc>
      </w:tr>
      <w:tr w:rsidR="00B60846">
        <w:tc>
          <w:tcPr>
            <w:tcW w:w="3227" w:type="dxa"/>
            <w:tcMar>
              <w:top w:w="85" w:type="dxa"/>
              <w:left w:w="57" w:type="dxa"/>
              <w:bottom w:w="85" w:type="dxa"/>
              <w:right w:w="57" w:type="dxa"/>
            </w:tcMar>
          </w:tcPr>
          <w:p w:rsidR="00B60846" w:rsidRDefault="008069FF">
            <w:pPr>
              <w:spacing w:after="0"/>
              <w:rPr>
                <w:noProof/>
              </w:rPr>
            </w:pPr>
            <w:r>
              <w:rPr>
                <w:noProof/>
              </w:rPr>
              <w:t>BAU</w:t>
            </w:r>
          </w:p>
        </w:tc>
        <w:tc>
          <w:tcPr>
            <w:tcW w:w="5607" w:type="dxa"/>
            <w:tcMar>
              <w:top w:w="85" w:type="dxa"/>
              <w:left w:w="57" w:type="dxa"/>
              <w:bottom w:w="85" w:type="dxa"/>
              <w:right w:w="57" w:type="dxa"/>
            </w:tcMar>
          </w:tcPr>
          <w:p w:rsidR="00B60846" w:rsidRDefault="008069FF">
            <w:pPr>
              <w:spacing w:after="0"/>
              <w:rPr>
                <w:noProof/>
              </w:rPr>
            </w:pPr>
            <w:r>
              <w:rPr>
                <w:noProof/>
              </w:rPr>
              <w:t>Business as usual</w:t>
            </w:r>
          </w:p>
        </w:tc>
      </w:tr>
      <w:tr w:rsidR="00B60846">
        <w:tc>
          <w:tcPr>
            <w:tcW w:w="3227" w:type="dxa"/>
            <w:tcMar>
              <w:top w:w="85" w:type="dxa"/>
              <w:left w:w="57" w:type="dxa"/>
              <w:bottom w:w="85" w:type="dxa"/>
              <w:right w:w="57" w:type="dxa"/>
            </w:tcMar>
          </w:tcPr>
          <w:p w:rsidR="00B60846" w:rsidRDefault="008069FF">
            <w:pPr>
              <w:spacing w:after="0"/>
              <w:rPr>
                <w:noProof/>
              </w:rPr>
            </w:pPr>
            <w:r>
              <w:rPr>
                <w:noProof/>
              </w:rPr>
              <w:t>CAPEX</w:t>
            </w:r>
          </w:p>
        </w:tc>
        <w:tc>
          <w:tcPr>
            <w:tcW w:w="5607" w:type="dxa"/>
            <w:tcMar>
              <w:top w:w="85" w:type="dxa"/>
              <w:left w:w="57" w:type="dxa"/>
              <w:bottom w:w="85" w:type="dxa"/>
              <w:right w:w="57" w:type="dxa"/>
            </w:tcMar>
          </w:tcPr>
          <w:p w:rsidR="00B60846" w:rsidRDefault="008069FF">
            <w:pPr>
              <w:spacing w:after="0"/>
              <w:rPr>
                <w:noProof/>
              </w:rPr>
            </w:pPr>
            <w:r>
              <w:rPr>
                <w:noProof/>
              </w:rPr>
              <w:t>Capital expenditure</w:t>
            </w:r>
          </w:p>
        </w:tc>
      </w:tr>
      <w:tr w:rsidR="00B60846">
        <w:tc>
          <w:tcPr>
            <w:tcW w:w="3227" w:type="dxa"/>
            <w:tcMar>
              <w:top w:w="85" w:type="dxa"/>
              <w:left w:w="57" w:type="dxa"/>
              <w:bottom w:w="85" w:type="dxa"/>
              <w:right w:w="57" w:type="dxa"/>
            </w:tcMar>
          </w:tcPr>
          <w:p w:rsidR="00B60846" w:rsidRDefault="008069FF">
            <w:pPr>
              <w:spacing w:after="0"/>
              <w:rPr>
                <w:noProof/>
              </w:rPr>
            </w:pPr>
            <w:r>
              <w:rPr>
                <w:noProof/>
              </w:rPr>
              <w:t>CBCA</w:t>
            </w:r>
          </w:p>
        </w:tc>
        <w:tc>
          <w:tcPr>
            <w:tcW w:w="5607" w:type="dxa"/>
            <w:tcMar>
              <w:top w:w="85" w:type="dxa"/>
              <w:left w:w="57" w:type="dxa"/>
              <w:bottom w:w="85" w:type="dxa"/>
              <w:right w:w="57" w:type="dxa"/>
            </w:tcMar>
          </w:tcPr>
          <w:p w:rsidR="00B60846" w:rsidRDefault="008069FF">
            <w:pPr>
              <w:spacing w:after="0"/>
              <w:rPr>
                <w:noProof/>
              </w:rPr>
            </w:pPr>
            <w:r>
              <w:rPr>
                <w:noProof/>
              </w:rPr>
              <w:t>Cross-border cost allocation</w:t>
            </w:r>
          </w:p>
        </w:tc>
      </w:tr>
      <w:tr w:rsidR="00B60846">
        <w:tc>
          <w:tcPr>
            <w:tcW w:w="3227" w:type="dxa"/>
            <w:tcMar>
              <w:top w:w="85" w:type="dxa"/>
              <w:left w:w="57" w:type="dxa"/>
              <w:bottom w:w="85" w:type="dxa"/>
              <w:right w:w="57" w:type="dxa"/>
            </w:tcMar>
          </w:tcPr>
          <w:p w:rsidR="00B60846" w:rsidRDefault="008069FF">
            <w:pPr>
              <w:spacing w:after="0"/>
              <w:rPr>
                <w:noProof/>
              </w:rPr>
            </w:pPr>
            <w:r>
              <w:rPr>
                <w:noProof/>
              </w:rPr>
              <w:t>CBA</w:t>
            </w:r>
          </w:p>
        </w:tc>
        <w:tc>
          <w:tcPr>
            <w:tcW w:w="5607" w:type="dxa"/>
            <w:tcMar>
              <w:top w:w="85" w:type="dxa"/>
              <w:left w:w="57" w:type="dxa"/>
              <w:bottom w:w="85" w:type="dxa"/>
              <w:right w:w="57" w:type="dxa"/>
            </w:tcMar>
          </w:tcPr>
          <w:p w:rsidR="00B60846" w:rsidRDefault="008069FF">
            <w:pPr>
              <w:spacing w:after="0"/>
              <w:rPr>
                <w:noProof/>
              </w:rPr>
            </w:pPr>
            <w:r>
              <w:rPr>
                <w:noProof/>
              </w:rPr>
              <w:t>Cost-benefit analysis</w:t>
            </w:r>
          </w:p>
        </w:tc>
      </w:tr>
      <w:tr w:rsidR="00B60846">
        <w:tc>
          <w:tcPr>
            <w:tcW w:w="3227" w:type="dxa"/>
            <w:tcMar>
              <w:top w:w="85" w:type="dxa"/>
              <w:left w:w="57" w:type="dxa"/>
              <w:bottom w:w="85" w:type="dxa"/>
              <w:right w:w="57" w:type="dxa"/>
            </w:tcMar>
          </w:tcPr>
          <w:p w:rsidR="00B60846" w:rsidRDefault="008069FF">
            <w:pPr>
              <w:spacing w:after="0"/>
              <w:rPr>
                <w:noProof/>
              </w:rPr>
            </w:pPr>
            <w:r>
              <w:rPr>
                <w:noProof/>
              </w:rPr>
              <w:t>DSO</w:t>
            </w:r>
          </w:p>
        </w:tc>
        <w:tc>
          <w:tcPr>
            <w:tcW w:w="5607" w:type="dxa"/>
            <w:tcMar>
              <w:top w:w="85" w:type="dxa"/>
              <w:left w:w="57" w:type="dxa"/>
              <w:bottom w:w="85" w:type="dxa"/>
              <w:right w:w="57" w:type="dxa"/>
            </w:tcMar>
          </w:tcPr>
          <w:p w:rsidR="00B60846" w:rsidRDefault="008069FF">
            <w:pPr>
              <w:spacing w:after="0"/>
              <w:rPr>
                <w:noProof/>
              </w:rPr>
            </w:pPr>
            <w:r>
              <w:rPr>
                <w:noProof/>
              </w:rPr>
              <w:t>Distribution System Operator</w:t>
            </w:r>
          </w:p>
        </w:tc>
      </w:tr>
      <w:tr w:rsidR="00B60846">
        <w:tc>
          <w:tcPr>
            <w:tcW w:w="3227" w:type="dxa"/>
            <w:tcMar>
              <w:top w:w="85" w:type="dxa"/>
              <w:left w:w="57" w:type="dxa"/>
              <w:bottom w:w="85" w:type="dxa"/>
              <w:right w:w="57" w:type="dxa"/>
            </w:tcMar>
          </w:tcPr>
          <w:p w:rsidR="00B60846" w:rsidRDefault="008069FF">
            <w:pPr>
              <w:spacing w:after="0"/>
              <w:rPr>
                <w:noProof/>
              </w:rPr>
            </w:pPr>
            <w:r>
              <w:rPr>
                <w:noProof/>
              </w:rPr>
              <w:t>ENTSO-E</w:t>
            </w:r>
          </w:p>
        </w:tc>
        <w:tc>
          <w:tcPr>
            <w:tcW w:w="5607" w:type="dxa"/>
            <w:tcMar>
              <w:top w:w="85" w:type="dxa"/>
              <w:left w:w="57" w:type="dxa"/>
              <w:bottom w:w="85" w:type="dxa"/>
              <w:right w:w="57" w:type="dxa"/>
            </w:tcMar>
          </w:tcPr>
          <w:p w:rsidR="00B60846" w:rsidRDefault="008069FF">
            <w:pPr>
              <w:spacing w:after="0"/>
              <w:rPr>
                <w:noProof/>
              </w:rPr>
            </w:pPr>
            <w:r>
              <w:rPr>
                <w:noProof/>
              </w:rPr>
              <w:t xml:space="preserve">European Network of Transmission System Operators </w:t>
            </w:r>
            <w:r>
              <w:rPr>
                <w:noProof/>
              </w:rPr>
              <w:t>for Electricity</w:t>
            </w:r>
          </w:p>
        </w:tc>
      </w:tr>
      <w:tr w:rsidR="00B60846">
        <w:tc>
          <w:tcPr>
            <w:tcW w:w="3227" w:type="dxa"/>
            <w:tcMar>
              <w:top w:w="85" w:type="dxa"/>
              <w:left w:w="57" w:type="dxa"/>
              <w:bottom w:w="85" w:type="dxa"/>
              <w:right w:w="57" w:type="dxa"/>
            </w:tcMar>
          </w:tcPr>
          <w:p w:rsidR="00B60846" w:rsidRDefault="008069FF">
            <w:pPr>
              <w:spacing w:after="0"/>
              <w:rPr>
                <w:noProof/>
              </w:rPr>
            </w:pPr>
            <w:r>
              <w:rPr>
                <w:noProof/>
              </w:rPr>
              <w:t>ENTSOG</w:t>
            </w:r>
          </w:p>
        </w:tc>
        <w:tc>
          <w:tcPr>
            <w:tcW w:w="5607" w:type="dxa"/>
            <w:tcMar>
              <w:top w:w="85" w:type="dxa"/>
              <w:left w:w="57" w:type="dxa"/>
              <w:bottom w:w="85" w:type="dxa"/>
              <w:right w:w="57" w:type="dxa"/>
            </w:tcMar>
          </w:tcPr>
          <w:p w:rsidR="00B60846" w:rsidRDefault="008069FF">
            <w:pPr>
              <w:spacing w:after="0"/>
              <w:rPr>
                <w:noProof/>
              </w:rPr>
            </w:pPr>
            <w:r>
              <w:rPr>
                <w:noProof/>
              </w:rPr>
              <w:t>European Network of Transmission System Operators for Gas</w:t>
            </w:r>
          </w:p>
        </w:tc>
      </w:tr>
      <w:tr w:rsidR="00B60846">
        <w:tc>
          <w:tcPr>
            <w:tcW w:w="3227" w:type="dxa"/>
            <w:tcMar>
              <w:top w:w="85" w:type="dxa"/>
              <w:left w:w="57" w:type="dxa"/>
              <w:bottom w:w="85" w:type="dxa"/>
              <w:right w:w="57" w:type="dxa"/>
            </w:tcMar>
          </w:tcPr>
          <w:p w:rsidR="00B60846" w:rsidRDefault="008069FF">
            <w:pPr>
              <w:spacing w:after="0"/>
              <w:rPr>
                <w:noProof/>
              </w:rPr>
            </w:pPr>
            <w:r>
              <w:rPr>
                <w:noProof/>
              </w:rPr>
              <w:t>GHG</w:t>
            </w:r>
          </w:p>
        </w:tc>
        <w:tc>
          <w:tcPr>
            <w:tcW w:w="5607" w:type="dxa"/>
            <w:tcMar>
              <w:top w:w="85" w:type="dxa"/>
              <w:left w:w="57" w:type="dxa"/>
              <w:bottom w:w="85" w:type="dxa"/>
              <w:right w:w="57" w:type="dxa"/>
            </w:tcMar>
          </w:tcPr>
          <w:p w:rsidR="00B60846" w:rsidRDefault="008069FF">
            <w:pPr>
              <w:spacing w:after="0"/>
              <w:rPr>
                <w:noProof/>
              </w:rPr>
            </w:pPr>
            <w:r>
              <w:rPr>
                <w:noProof/>
              </w:rPr>
              <w:t>Greenhouse gas emissions</w:t>
            </w:r>
          </w:p>
        </w:tc>
      </w:tr>
      <w:tr w:rsidR="00B60846">
        <w:tc>
          <w:tcPr>
            <w:tcW w:w="3227" w:type="dxa"/>
            <w:tcMar>
              <w:top w:w="85" w:type="dxa"/>
              <w:left w:w="57" w:type="dxa"/>
              <w:bottom w:w="85" w:type="dxa"/>
              <w:right w:w="57" w:type="dxa"/>
            </w:tcMar>
          </w:tcPr>
          <w:p w:rsidR="00B60846" w:rsidRDefault="008069FF">
            <w:pPr>
              <w:spacing w:after="0"/>
              <w:rPr>
                <w:noProof/>
              </w:rPr>
            </w:pPr>
            <w:r>
              <w:rPr>
                <w:noProof/>
              </w:rPr>
              <w:t>ISO</w:t>
            </w:r>
          </w:p>
        </w:tc>
        <w:tc>
          <w:tcPr>
            <w:tcW w:w="5607" w:type="dxa"/>
            <w:tcMar>
              <w:top w:w="85" w:type="dxa"/>
              <w:left w:w="57" w:type="dxa"/>
              <w:bottom w:w="85" w:type="dxa"/>
              <w:right w:w="57" w:type="dxa"/>
            </w:tcMar>
          </w:tcPr>
          <w:p w:rsidR="00B60846" w:rsidRDefault="008069FF">
            <w:pPr>
              <w:spacing w:after="0"/>
              <w:rPr>
                <w:noProof/>
              </w:rPr>
            </w:pPr>
            <w:r>
              <w:rPr>
                <w:noProof/>
              </w:rPr>
              <w:t>Independent System Operator</w:t>
            </w:r>
          </w:p>
        </w:tc>
      </w:tr>
      <w:tr w:rsidR="00B60846">
        <w:tc>
          <w:tcPr>
            <w:tcW w:w="3227" w:type="dxa"/>
            <w:tcMar>
              <w:top w:w="85" w:type="dxa"/>
              <w:left w:w="57" w:type="dxa"/>
              <w:bottom w:w="85" w:type="dxa"/>
              <w:right w:w="57" w:type="dxa"/>
            </w:tcMar>
          </w:tcPr>
          <w:p w:rsidR="00B60846" w:rsidRDefault="008069FF">
            <w:pPr>
              <w:spacing w:after="0"/>
              <w:rPr>
                <w:noProof/>
              </w:rPr>
            </w:pPr>
            <w:r>
              <w:rPr>
                <w:noProof/>
              </w:rPr>
              <w:t>JU</w:t>
            </w:r>
          </w:p>
        </w:tc>
        <w:tc>
          <w:tcPr>
            <w:tcW w:w="5607" w:type="dxa"/>
            <w:tcMar>
              <w:top w:w="85" w:type="dxa"/>
              <w:left w:w="57" w:type="dxa"/>
              <w:bottom w:w="85" w:type="dxa"/>
              <w:right w:w="57" w:type="dxa"/>
            </w:tcMar>
          </w:tcPr>
          <w:p w:rsidR="00B60846" w:rsidRDefault="008069FF">
            <w:pPr>
              <w:spacing w:after="0"/>
              <w:rPr>
                <w:noProof/>
              </w:rPr>
            </w:pPr>
            <w:r>
              <w:rPr>
                <w:noProof/>
              </w:rPr>
              <w:t>Joint Undertaking</w:t>
            </w:r>
          </w:p>
        </w:tc>
      </w:tr>
      <w:tr w:rsidR="00B60846">
        <w:tc>
          <w:tcPr>
            <w:tcW w:w="3227" w:type="dxa"/>
            <w:tcMar>
              <w:top w:w="85" w:type="dxa"/>
              <w:left w:w="57" w:type="dxa"/>
              <w:bottom w:w="85" w:type="dxa"/>
              <w:right w:w="57" w:type="dxa"/>
            </w:tcMar>
          </w:tcPr>
          <w:p w:rsidR="00B60846" w:rsidRDefault="008069FF">
            <w:pPr>
              <w:spacing w:after="0"/>
              <w:rPr>
                <w:noProof/>
              </w:rPr>
            </w:pPr>
            <w:r>
              <w:rPr>
                <w:noProof/>
              </w:rPr>
              <w:t>LNG</w:t>
            </w:r>
          </w:p>
        </w:tc>
        <w:tc>
          <w:tcPr>
            <w:tcW w:w="5607" w:type="dxa"/>
            <w:tcMar>
              <w:top w:w="85" w:type="dxa"/>
              <w:left w:w="57" w:type="dxa"/>
              <w:bottom w:w="85" w:type="dxa"/>
              <w:right w:w="57" w:type="dxa"/>
            </w:tcMar>
          </w:tcPr>
          <w:p w:rsidR="00B60846" w:rsidRDefault="008069FF">
            <w:pPr>
              <w:spacing w:after="0"/>
              <w:rPr>
                <w:noProof/>
              </w:rPr>
            </w:pPr>
            <w:r>
              <w:rPr>
                <w:noProof/>
              </w:rPr>
              <w:t>Liquefied natural gas</w:t>
            </w:r>
          </w:p>
        </w:tc>
      </w:tr>
      <w:tr w:rsidR="00B60846">
        <w:tc>
          <w:tcPr>
            <w:tcW w:w="3227" w:type="dxa"/>
            <w:tcMar>
              <w:top w:w="85" w:type="dxa"/>
              <w:left w:w="57" w:type="dxa"/>
              <w:bottom w:w="85" w:type="dxa"/>
              <w:right w:w="57" w:type="dxa"/>
            </w:tcMar>
          </w:tcPr>
          <w:p w:rsidR="00B60846" w:rsidRDefault="008069FF">
            <w:pPr>
              <w:spacing w:after="0"/>
              <w:rPr>
                <w:noProof/>
              </w:rPr>
            </w:pPr>
            <w:r>
              <w:rPr>
                <w:noProof/>
              </w:rPr>
              <w:t>MS</w:t>
            </w:r>
          </w:p>
        </w:tc>
        <w:tc>
          <w:tcPr>
            <w:tcW w:w="5607" w:type="dxa"/>
            <w:tcMar>
              <w:top w:w="85" w:type="dxa"/>
              <w:left w:w="57" w:type="dxa"/>
              <w:bottom w:w="85" w:type="dxa"/>
              <w:right w:w="57" w:type="dxa"/>
            </w:tcMar>
          </w:tcPr>
          <w:p w:rsidR="00B60846" w:rsidRDefault="008069FF">
            <w:pPr>
              <w:spacing w:after="0"/>
              <w:rPr>
                <w:noProof/>
              </w:rPr>
            </w:pPr>
            <w:r>
              <w:rPr>
                <w:noProof/>
              </w:rPr>
              <w:t>Member State</w:t>
            </w:r>
          </w:p>
        </w:tc>
      </w:tr>
      <w:tr w:rsidR="00B60846">
        <w:tc>
          <w:tcPr>
            <w:tcW w:w="3227" w:type="dxa"/>
            <w:tcMar>
              <w:top w:w="85" w:type="dxa"/>
              <w:left w:w="57" w:type="dxa"/>
              <w:bottom w:w="85" w:type="dxa"/>
              <w:right w:w="57" w:type="dxa"/>
            </w:tcMar>
          </w:tcPr>
          <w:p w:rsidR="00B60846" w:rsidRDefault="008069FF">
            <w:pPr>
              <w:spacing w:after="0"/>
              <w:rPr>
                <w:noProof/>
              </w:rPr>
            </w:pPr>
            <w:r>
              <w:rPr>
                <w:noProof/>
              </w:rPr>
              <w:t>OPEX</w:t>
            </w:r>
          </w:p>
        </w:tc>
        <w:tc>
          <w:tcPr>
            <w:tcW w:w="5607" w:type="dxa"/>
            <w:tcMar>
              <w:top w:w="85" w:type="dxa"/>
              <w:left w:w="57" w:type="dxa"/>
              <w:bottom w:w="85" w:type="dxa"/>
              <w:right w:w="57" w:type="dxa"/>
            </w:tcMar>
          </w:tcPr>
          <w:p w:rsidR="00B60846" w:rsidRDefault="008069FF">
            <w:pPr>
              <w:spacing w:after="0"/>
              <w:rPr>
                <w:noProof/>
              </w:rPr>
            </w:pPr>
            <w:r>
              <w:rPr>
                <w:noProof/>
              </w:rPr>
              <w:t>Operating expense</w:t>
            </w:r>
          </w:p>
        </w:tc>
      </w:tr>
      <w:tr w:rsidR="00B60846">
        <w:tc>
          <w:tcPr>
            <w:tcW w:w="3227" w:type="dxa"/>
            <w:tcMar>
              <w:top w:w="85" w:type="dxa"/>
              <w:left w:w="57" w:type="dxa"/>
              <w:bottom w:w="85" w:type="dxa"/>
              <w:right w:w="57" w:type="dxa"/>
            </w:tcMar>
          </w:tcPr>
          <w:p w:rsidR="00B60846" w:rsidRDefault="008069FF">
            <w:pPr>
              <w:spacing w:after="0"/>
              <w:rPr>
                <w:noProof/>
              </w:rPr>
            </w:pPr>
            <w:r>
              <w:rPr>
                <w:noProof/>
              </w:rPr>
              <w:t>P2G</w:t>
            </w:r>
          </w:p>
        </w:tc>
        <w:tc>
          <w:tcPr>
            <w:tcW w:w="5607" w:type="dxa"/>
            <w:tcMar>
              <w:top w:w="85" w:type="dxa"/>
              <w:left w:w="57" w:type="dxa"/>
              <w:bottom w:w="85" w:type="dxa"/>
              <w:right w:w="57" w:type="dxa"/>
            </w:tcMar>
          </w:tcPr>
          <w:p w:rsidR="00B60846" w:rsidRDefault="008069FF">
            <w:pPr>
              <w:spacing w:after="0"/>
              <w:rPr>
                <w:noProof/>
              </w:rPr>
            </w:pPr>
            <w:r>
              <w:rPr>
                <w:noProof/>
              </w:rPr>
              <w:t>Power-to-gas</w:t>
            </w:r>
          </w:p>
        </w:tc>
      </w:tr>
      <w:tr w:rsidR="00B60846">
        <w:tc>
          <w:tcPr>
            <w:tcW w:w="3227" w:type="dxa"/>
            <w:tcMar>
              <w:top w:w="85" w:type="dxa"/>
              <w:left w:w="57" w:type="dxa"/>
              <w:bottom w:w="85" w:type="dxa"/>
              <w:right w:w="57" w:type="dxa"/>
            </w:tcMar>
          </w:tcPr>
          <w:p w:rsidR="00B60846" w:rsidRDefault="008069FF">
            <w:pPr>
              <w:spacing w:after="0"/>
              <w:rPr>
                <w:noProof/>
              </w:rPr>
            </w:pPr>
            <w:r>
              <w:rPr>
                <w:noProof/>
              </w:rPr>
              <w:t>PCI</w:t>
            </w:r>
          </w:p>
        </w:tc>
        <w:tc>
          <w:tcPr>
            <w:tcW w:w="5607" w:type="dxa"/>
            <w:tcMar>
              <w:top w:w="85" w:type="dxa"/>
              <w:left w:w="57" w:type="dxa"/>
              <w:bottom w:w="85" w:type="dxa"/>
              <w:right w:w="57" w:type="dxa"/>
            </w:tcMar>
          </w:tcPr>
          <w:p w:rsidR="00B60846" w:rsidRDefault="008069FF">
            <w:pPr>
              <w:spacing w:after="0"/>
              <w:rPr>
                <w:noProof/>
              </w:rPr>
            </w:pPr>
            <w:r>
              <w:rPr>
                <w:noProof/>
              </w:rPr>
              <w:t>Project of common interest</w:t>
            </w:r>
          </w:p>
        </w:tc>
      </w:tr>
      <w:tr w:rsidR="00B60846">
        <w:tc>
          <w:tcPr>
            <w:tcW w:w="3227" w:type="dxa"/>
            <w:tcMar>
              <w:top w:w="85" w:type="dxa"/>
              <w:left w:w="57" w:type="dxa"/>
              <w:bottom w:w="85" w:type="dxa"/>
              <w:right w:w="57" w:type="dxa"/>
            </w:tcMar>
          </w:tcPr>
          <w:p w:rsidR="00B60846" w:rsidRDefault="008069FF">
            <w:pPr>
              <w:spacing w:after="0"/>
              <w:rPr>
                <w:noProof/>
              </w:rPr>
            </w:pPr>
            <w:r>
              <w:rPr>
                <w:noProof/>
              </w:rPr>
              <w:t>RAB</w:t>
            </w:r>
          </w:p>
        </w:tc>
        <w:tc>
          <w:tcPr>
            <w:tcW w:w="5607" w:type="dxa"/>
            <w:tcMar>
              <w:top w:w="85" w:type="dxa"/>
              <w:left w:w="57" w:type="dxa"/>
              <w:bottom w:w="85" w:type="dxa"/>
              <w:right w:w="57" w:type="dxa"/>
            </w:tcMar>
          </w:tcPr>
          <w:p w:rsidR="00B60846" w:rsidRDefault="008069FF">
            <w:pPr>
              <w:spacing w:after="0"/>
              <w:rPr>
                <w:noProof/>
              </w:rPr>
            </w:pPr>
            <w:r>
              <w:rPr>
                <w:noProof/>
              </w:rPr>
              <w:t>Regulatory Asset Base</w:t>
            </w:r>
          </w:p>
        </w:tc>
      </w:tr>
      <w:tr w:rsidR="00B60846">
        <w:tc>
          <w:tcPr>
            <w:tcW w:w="3227" w:type="dxa"/>
            <w:tcMar>
              <w:top w:w="85" w:type="dxa"/>
              <w:left w:w="57" w:type="dxa"/>
              <w:bottom w:w="85" w:type="dxa"/>
              <w:right w:w="57" w:type="dxa"/>
            </w:tcMar>
          </w:tcPr>
          <w:p w:rsidR="00B60846" w:rsidRDefault="008069FF">
            <w:pPr>
              <w:spacing w:after="0"/>
              <w:rPr>
                <w:noProof/>
              </w:rPr>
            </w:pPr>
            <w:r>
              <w:rPr>
                <w:noProof/>
              </w:rPr>
              <w:t>RES</w:t>
            </w:r>
          </w:p>
        </w:tc>
        <w:tc>
          <w:tcPr>
            <w:tcW w:w="5607" w:type="dxa"/>
            <w:tcMar>
              <w:top w:w="85" w:type="dxa"/>
              <w:left w:w="57" w:type="dxa"/>
              <w:bottom w:w="85" w:type="dxa"/>
              <w:right w:w="57" w:type="dxa"/>
            </w:tcMar>
          </w:tcPr>
          <w:p w:rsidR="00B60846" w:rsidRDefault="008069FF">
            <w:pPr>
              <w:spacing w:after="0"/>
              <w:rPr>
                <w:noProof/>
              </w:rPr>
            </w:pPr>
            <w:r>
              <w:rPr>
                <w:noProof/>
              </w:rPr>
              <w:t>Renewable energy sources</w:t>
            </w:r>
          </w:p>
        </w:tc>
      </w:tr>
      <w:tr w:rsidR="00B60846">
        <w:tc>
          <w:tcPr>
            <w:tcW w:w="3227" w:type="dxa"/>
            <w:tcBorders>
              <w:top w:val="double" w:sz="4" w:space="0" w:color="auto"/>
            </w:tcBorders>
            <w:tcMar>
              <w:top w:w="85" w:type="dxa"/>
              <w:left w:w="57" w:type="dxa"/>
              <w:bottom w:w="85" w:type="dxa"/>
              <w:right w:w="57" w:type="dxa"/>
            </w:tcMar>
          </w:tcPr>
          <w:p w:rsidR="00B60846" w:rsidRDefault="008069FF">
            <w:pPr>
              <w:spacing w:after="0"/>
              <w:rPr>
                <w:noProof/>
              </w:rPr>
            </w:pPr>
            <w:r>
              <w:rPr>
                <w:noProof/>
              </w:rPr>
              <w:t>TSO</w:t>
            </w:r>
          </w:p>
        </w:tc>
        <w:tc>
          <w:tcPr>
            <w:tcW w:w="5607" w:type="dxa"/>
            <w:tcBorders>
              <w:top w:val="double" w:sz="4" w:space="0" w:color="auto"/>
            </w:tcBorders>
            <w:tcMar>
              <w:top w:w="85" w:type="dxa"/>
              <w:left w:w="57" w:type="dxa"/>
              <w:bottom w:w="85" w:type="dxa"/>
              <w:right w:w="57" w:type="dxa"/>
            </w:tcMar>
          </w:tcPr>
          <w:p w:rsidR="00B60846" w:rsidRDefault="008069FF">
            <w:pPr>
              <w:spacing w:after="0"/>
              <w:rPr>
                <w:noProof/>
              </w:rPr>
            </w:pPr>
            <w:r>
              <w:rPr>
                <w:noProof/>
              </w:rPr>
              <w:t>Transmission System Operator</w:t>
            </w:r>
          </w:p>
        </w:tc>
      </w:tr>
      <w:tr w:rsidR="00B60846">
        <w:tc>
          <w:tcPr>
            <w:tcW w:w="3227" w:type="dxa"/>
            <w:tcMar>
              <w:top w:w="85" w:type="dxa"/>
              <w:left w:w="57" w:type="dxa"/>
              <w:bottom w:w="85" w:type="dxa"/>
              <w:right w:w="57" w:type="dxa"/>
            </w:tcMar>
          </w:tcPr>
          <w:p w:rsidR="00B60846" w:rsidRDefault="008069FF">
            <w:pPr>
              <w:spacing w:after="0"/>
              <w:rPr>
                <w:noProof/>
              </w:rPr>
            </w:pPr>
            <w:r>
              <w:rPr>
                <w:noProof/>
              </w:rPr>
              <w:t>TYNDP</w:t>
            </w:r>
          </w:p>
        </w:tc>
        <w:tc>
          <w:tcPr>
            <w:tcW w:w="5607" w:type="dxa"/>
            <w:tcMar>
              <w:top w:w="85" w:type="dxa"/>
              <w:left w:w="57" w:type="dxa"/>
              <w:bottom w:w="85" w:type="dxa"/>
              <w:right w:w="57" w:type="dxa"/>
            </w:tcMar>
          </w:tcPr>
          <w:p w:rsidR="00B60846" w:rsidRDefault="008069FF">
            <w:pPr>
              <w:spacing w:after="0"/>
              <w:rPr>
                <w:noProof/>
              </w:rPr>
            </w:pPr>
            <w:r>
              <w:rPr>
                <w:noProof/>
              </w:rPr>
              <w:t>Ten Year Network Development Plan</w:t>
            </w:r>
          </w:p>
        </w:tc>
      </w:tr>
    </w:tbl>
    <w:p w:rsidR="00B60846" w:rsidRDefault="00B60846">
      <w:pPr>
        <w:pStyle w:val="Text1"/>
        <w:rPr>
          <w:noProof/>
        </w:rPr>
      </w:pPr>
    </w:p>
    <w:p w:rsidR="00B60846" w:rsidRDefault="00B60846">
      <w:pPr>
        <w:rPr>
          <w:noProof/>
        </w:rPr>
      </w:pPr>
    </w:p>
    <w:p w:rsidR="00B60846" w:rsidRDefault="00B60846">
      <w:pPr>
        <w:rPr>
          <w:noProof/>
        </w:rPr>
        <w:sectPr w:rsidR="00B60846">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cols w:space="720"/>
          <w:titlePg/>
        </w:sectPr>
      </w:pPr>
    </w:p>
    <w:p w:rsidR="00B60846" w:rsidRDefault="008069FF">
      <w:pPr>
        <w:pStyle w:val="Heading1"/>
        <w:numPr>
          <w:ilvl w:val="0"/>
          <w:numId w:val="0"/>
        </w:numPr>
        <w:ind w:left="432" w:hanging="432"/>
        <w:rPr>
          <w:noProof/>
        </w:rPr>
      </w:pPr>
      <w:bookmarkStart w:id="1055" w:name="_Toc49351357"/>
      <w:bookmarkStart w:id="1056" w:name="_Toc49357750"/>
      <w:bookmarkStart w:id="1057" w:name="_Toc49359428"/>
      <w:bookmarkStart w:id="1058" w:name="_Toc49359763"/>
      <w:bookmarkStart w:id="1059" w:name="_Toc49508007"/>
      <w:bookmarkStart w:id="1060" w:name="_Toc49508453"/>
      <w:bookmarkStart w:id="1061" w:name="_Toc49512364"/>
      <w:bookmarkStart w:id="1062" w:name="_Toc49514248"/>
      <w:bookmarkStart w:id="1063" w:name="_Toc49516483"/>
      <w:bookmarkStart w:id="1064" w:name="_Toc49518652"/>
      <w:bookmarkStart w:id="1065" w:name="_Toc50028513"/>
      <w:bookmarkStart w:id="1066" w:name="_Toc50057008"/>
      <w:bookmarkStart w:id="1067" w:name="_Toc50063635"/>
      <w:bookmarkStart w:id="1068" w:name="_Toc50366622"/>
      <w:bookmarkStart w:id="1069" w:name="_Toc50452115"/>
      <w:bookmarkStart w:id="1070" w:name="_Toc50573939"/>
      <w:bookmarkStart w:id="1071" w:name="_Toc50581923"/>
      <w:bookmarkStart w:id="1072" w:name="_Toc50582706"/>
      <w:bookmarkStart w:id="1073" w:name="_Toc51168574"/>
      <w:bookmarkStart w:id="1074" w:name="_Toc51169063"/>
      <w:bookmarkStart w:id="1075" w:name="_Toc51231557"/>
      <w:bookmarkStart w:id="1076" w:name="_Toc51235493"/>
      <w:bookmarkStart w:id="1077" w:name="_Toc51237283"/>
      <w:bookmarkStart w:id="1078" w:name="_Toc51238668"/>
      <w:bookmarkStart w:id="1079" w:name="_Toc51239393"/>
      <w:bookmarkStart w:id="1080" w:name="_Toc51788307"/>
      <w:bookmarkStart w:id="1081" w:name="_Toc51791845"/>
      <w:bookmarkStart w:id="1082" w:name="_Toc51793277"/>
      <w:bookmarkStart w:id="1083" w:name="_Toc55496477"/>
      <w:r>
        <w:rPr>
          <w:noProof/>
        </w:rPr>
        <w:t xml:space="preserve">Annex 1: Procedural </w:t>
      </w:r>
      <w:r>
        <w:rPr>
          <w:noProof/>
        </w:rPr>
        <w:t>information</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B60846" w:rsidRDefault="008069FF">
      <w:pPr>
        <w:pStyle w:val="Heading2"/>
        <w:numPr>
          <w:ilvl w:val="1"/>
          <w:numId w:val="0"/>
        </w:numPr>
        <w:ind w:left="576" w:hanging="576"/>
        <w:rPr>
          <w:noProof/>
        </w:rPr>
      </w:pPr>
      <w:bookmarkStart w:id="1084" w:name="_Toc471997754"/>
      <w:bookmarkStart w:id="1085" w:name="_Toc39234306"/>
      <w:bookmarkStart w:id="1086" w:name="_Toc39234449"/>
      <w:bookmarkStart w:id="1087" w:name="_Toc49351358"/>
      <w:bookmarkStart w:id="1088" w:name="_Toc49357751"/>
      <w:bookmarkStart w:id="1089" w:name="_Toc49359429"/>
      <w:bookmarkStart w:id="1090" w:name="_Toc49359764"/>
      <w:bookmarkStart w:id="1091" w:name="_Toc49508008"/>
      <w:bookmarkStart w:id="1092" w:name="_Toc49508454"/>
      <w:bookmarkStart w:id="1093" w:name="_Toc49512365"/>
      <w:bookmarkStart w:id="1094" w:name="_Toc49514249"/>
      <w:bookmarkStart w:id="1095" w:name="_Toc49516484"/>
      <w:bookmarkStart w:id="1096" w:name="_Toc49518653"/>
      <w:bookmarkStart w:id="1097" w:name="_Toc50028514"/>
      <w:bookmarkStart w:id="1098" w:name="_Toc50057009"/>
      <w:bookmarkStart w:id="1099" w:name="_Toc50063636"/>
      <w:bookmarkStart w:id="1100" w:name="_Toc50366623"/>
      <w:bookmarkStart w:id="1101" w:name="_Toc50452116"/>
      <w:bookmarkStart w:id="1102" w:name="_Toc50573940"/>
      <w:bookmarkStart w:id="1103" w:name="_Toc50581924"/>
      <w:bookmarkStart w:id="1104" w:name="_Toc50582707"/>
      <w:bookmarkStart w:id="1105" w:name="_Toc51168575"/>
      <w:bookmarkStart w:id="1106" w:name="_Toc51169064"/>
      <w:bookmarkStart w:id="1107" w:name="_Toc51231558"/>
      <w:bookmarkStart w:id="1108" w:name="_Toc51235494"/>
      <w:bookmarkStart w:id="1109" w:name="_Toc51237284"/>
      <w:bookmarkStart w:id="1110" w:name="_Toc51238669"/>
      <w:bookmarkStart w:id="1111" w:name="_Toc51239394"/>
      <w:bookmarkStart w:id="1112" w:name="_Toc51245177"/>
      <w:bookmarkStart w:id="1113" w:name="_Toc51268817"/>
      <w:bookmarkStart w:id="1114" w:name="_Toc51268924"/>
      <w:bookmarkStart w:id="1115" w:name="_Toc51350407"/>
      <w:bookmarkStart w:id="1116" w:name="_Toc51760938"/>
      <w:bookmarkStart w:id="1117" w:name="_Toc51784865"/>
      <w:bookmarkStart w:id="1118" w:name="_Toc51788308"/>
      <w:bookmarkStart w:id="1119" w:name="_Toc51791846"/>
      <w:bookmarkStart w:id="1120" w:name="_Toc51793278"/>
      <w:bookmarkStart w:id="1121" w:name="_Toc51879092"/>
      <w:bookmarkStart w:id="1122" w:name="_Toc55155669"/>
      <w:bookmarkStart w:id="1123" w:name="_Toc55290976"/>
      <w:bookmarkStart w:id="1124" w:name="_Toc55296666"/>
      <w:bookmarkStart w:id="1125" w:name="_Toc55496478"/>
      <w:r>
        <w:rPr>
          <w:noProof/>
        </w:rPr>
        <w:t>Lead DG, D</w:t>
      </w:r>
      <w:r>
        <w:rPr>
          <w:i/>
          <w:iCs/>
          <w:noProof/>
        </w:rPr>
        <w:t>e</w:t>
      </w:r>
      <w:r>
        <w:rPr>
          <w:noProof/>
        </w:rPr>
        <w:t>cide Planning/CWP references</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rsidR="00B60846" w:rsidRDefault="008069FF">
      <w:pPr>
        <w:pStyle w:val="Text2"/>
        <w:ind w:left="0"/>
        <w:rPr>
          <w:noProof/>
        </w:rPr>
      </w:pPr>
      <w:r>
        <w:rPr>
          <w:noProof/>
        </w:rPr>
        <w:t xml:space="preserve">The Directorate-General (DG) for Energy was leading the preparation of this initiative and the work on the Impact Assessment in the European Commission. The planning entry was approved in Decide Planning </w:t>
      </w:r>
      <w:r>
        <w:rPr>
          <w:noProof/>
        </w:rPr>
        <w:t>under the reference PLAN/2020/6566. It is included in the adjusted Commission Work Programme 2020 COM(2020) 440 final</w:t>
      </w:r>
      <w:r>
        <w:rPr>
          <w:rStyle w:val="FootnoteReference"/>
          <w:noProof/>
        </w:rPr>
        <w:footnoteReference w:id="137"/>
      </w:r>
      <w:r>
        <w:rPr>
          <w:noProof/>
        </w:rPr>
        <w:t>under the policy objective A European Green Deal.</w:t>
      </w:r>
    </w:p>
    <w:p w:rsidR="00B60846" w:rsidRDefault="008069FF">
      <w:pPr>
        <w:pStyle w:val="Text2"/>
        <w:ind w:left="0"/>
        <w:rPr>
          <w:b/>
          <w:noProof/>
        </w:rPr>
      </w:pPr>
      <w:r>
        <w:rPr>
          <w:b/>
          <w:bCs/>
          <w:noProof/>
        </w:rPr>
        <w:t xml:space="preserve">Organisation and timing </w:t>
      </w:r>
    </w:p>
    <w:p w:rsidR="00B60846" w:rsidRDefault="008069FF">
      <w:pPr>
        <w:pStyle w:val="Text2"/>
        <w:ind w:left="0"/>
        <w:rPr>
          <w:noProof/>
        </w:rPr>
      </w:pPr>
      <w:r>
        <w:rPr>
          <w:noProof/>
        </w:rPr>
        <w:t>The planned adoption date (Q4 2020) included in the Commission Work Programme adopted on 29 January 2020, remained unchanged in the revised version adopted on 27 May 2020 following the COVID-19 crisis.  An inter-service steering group (ISG), was establishe</w:t>
      </w:r>
      <w:r>
        <w:rPr>
          <w:noProof/>
        </w:rPr>
        <w:t>d for preparing this initiative composed of the following Commission services: Secretariat General (SG), CLIMA, CNECT, GROW, RTD, NEAR, REGIO, ENV, JRC, MOVE, DEVCO, COMP, SJ. The ISG met five times in the period from January until adoption in December 202</w:t>
      </w:r>
      <w:r>
        <w:rPr>
          <w:noProof/>
        </w:rPr>
        <w:t xml:space="preserve">0.  </w:t>
      </w:r>
    </w:p>
    <w:tbl>
      <w:tblPr>
        <w:tblStyle w:val="TableGrid1"/>
        <w:tblW w:w="0" w:type="auto"/>
        <w:tblLook w:val="04A0" w:firstRow="1" w:lastRow="0" w:firstColumn="1" w:lastColumn="0" w:noHBand="0" w:noVBand="1"/>
      </w:tblPr>
      <w:tblGrid>
        <w:gridCol w:w="5920"/>
        <w:gridCol w:w="2835"/>
      </w:tblGrid>
      <w:tr w:rsidR="00B60846">
        <w:tc>
          <w:tcPr>
            <w:tcW w:w="5920" w:type="dxa"/>
            <w:tcBorders>
              <w:bottom w:val="single" w:sz="4" w:space="0" w:color="auto"/>
            </w:tcBorders>
          </w:tcPr>
          <w:p w:rsidR="00B60846" w:rsidRDefault="008069FF">
            <w:pPr>
              <w:spacing w:after="60"/>
              <w:rPr>
                <w:b/>
                <w:bCs/>
                <w:noProof/>
              </w:rPr>
            </w:pPr>
            <w:r>
              <w:rPr>
                <w:b/>
                <w:bCs/>
                <w:noProof/>
              </w:rPr>
              <w:t xml:space="preserve">Milestones </w:t>
            </w:r>
          </w:p>
        </w:tc>
        <w:tc>
          <w:tcPr>
            <w:tcW w:w="2835" w:type="dxa"/>
            <w:tcBorders>
              <w:bottom w:val="single" w:sz="4" w:space="0" w:color="auto"/>
            </w:tcBorders>
          </w:tcPr>
          <w:p w:rsidR="00B60846" w:rsidRDefault="008069FF">
            <w:pPr>
              <w:spacing w:after="60"/>
              <w:ind w:left="11"/>
              <w:rPr>
                <w:b/>
                <w:bCs/>
                <w:noProof/>
              </w:rPr>
            </w:pPr>
            <w:r>
              <w:rPr>
                <w:b/>
                <w:bCs/>
                <w:noProof/>
              </w:rPr>
              <w:t>Dates</w:t>
            </w:r>
          </w:p>
        </w:tc>
      </w:tr>
      <w:tr w:rsidR="00B60846">
        <w:tc>
          <w:tcPr>
            <w:tcW w:w="5920" w:type="dxa"/>
          </w:tcPr>
          <w:p w:rsidR="00B60846" w:rsidRDefault="008069FF">
            <w:pPr>
              <w:spacing w:after="60"/>
              <w:rPr>
                <w:noProof/>
              </w:rPr>
            </w:pPr>
            <w:r>
              <w:rPr>
                <w:noProof/>
              </w:rPr>
              <w:t xml:space="preserve">Publication of the inception impact assessment </w:t>
            </w:r>
          </w:p>
        </w:tc>
        <w:tc>
          <w:tcPr>
            <w:tcW w:w="2835" w:type="dxa"/>
          </w:tcPr>
          <w:p w:rsidR="00B60846" w:rsidRDefault="008069FF">
            <w:pPr>
              <w:spacing w:after="60"/>
              <w:ind w:left="11"/>
              <w:rPr>
                <w:noProof/>
              </w:rPr>
            </w:pPr>
            <w:r>
              <w:rPr>
                <w:noProof/>
              </w:rPr>
              <w:t>11 May 2020</w:t>
            </w:r>
          </w:p>
        </w:tc>
      </w:tr>
      <w:tr w:rsidR="00B60846">
        <w:tc>
          <w:tcPr>
            <w:tcW w:w="5920" w:type="dxa"/>
          </w:tcPr>
          <w:p w:rsidR="00B60846" w:rsidRDefault="008069FF">
            <w:pPr>
              <w:spacing w:after="60"/>
              <w:rPr>
                <w:noProof/>
              </w:rPr>
            </w:pPr>
            <w:r>
              <w:rPr>
                <w:noProof/>
              </w:rPr>
              <w:t>Feedback period on inception impact assessment</w:t>
            </w:r>
          </w:p>
        </w:tc>
        <w:tc>
          <w:tcPr>
            <w:tcW w:w="2835" w:type="dxa"/>
          </w:tcPr>
          <w:p w:rsidR="00B60846" w:rsidRDefault="008069FF">
            <w:pPr>
              <w:spacing w:after="60"/>
              <w:ind w:left="11"/>
              <w:rPr>
                <w:noProof/>
              </w:rPr>
            </w:pPr>
            <w:r>
              <w:rPr>
                <w:noProof/>
              </w:rPr>
              <w:t>11 March – 8 June 2020</w:t>
            </w:r>
          </w:p>
        </w:tc>
      </w:tr>
      <w:tr w:rsidR="00B60846">
        <w:tc>
          <w:tcPr>
            <w:tcW w:w="5920" w:type="dxa"/>
          </w:tcPr>
          <w:p w:rsidR="00B60846" w:rsidRDefault="008069FF">
            <w:pPr>
              <w:spacing w:after="60"/>
              <w:rPr>
                <w:noProof/>
              </w:rPr>
            </w:pPr>
            <w:r>
              <w:rPr>
                <w:noProof/>
              </w:rPr>
              <w:t xml:space="preserve">Open public consultation and targeted consultation </w:t>
            </w:r>
          </w:p>
        </w:tc>
        <w:tc>
          <w:tcPr>
            <w:tcW w:w="2835" w:type="dxa"/>
          </w:tcPr>
          <w:p w:rsidR="00B60846" w:rsidRDefault="008069FF">
            <w:pPr>
              <w:spacing w:after="60"/>
              <w:ind w:left="11"/>
              <w:rPr>
                <w:noProof/>
              </w:rPr>
            </w:pPr>
            <w:r>
              <w:rPr>
                <w:rStyle w:val="ecl-u-type-capitalize"/>
                <w:noProof/>
              </w:rPr>
              <w:t xml:space="preserve">18 May - 13 July 2020 </w:t>
            </w:r>
          </w:p>
        </w:tc>
      </w:tr>
      <w:tr w:rsidR="00B60846">
        <w:tc>
          <w:tcPr>
            <w:tcW w:w="5920" w:type="dxa"/>
          </w:tcPr>
          <w:p w:rsidR="00B60846" w:rsidRDefault="008069FF">
            <w:pPr>
              <w:spacing w:after="60"/>
              <w:rPr>
                <w:noProof/>
              </w:rPr>
            </w:pPr>
            <w:r>
              <w:rPr>
                <w:noProof/>
              </w:rPr>
              <w:t>Online webinars</w:t>
            </w:r>
          </w:p>
        </w:tc>
        <w:tc>
          <w:tcPr>
            <w:tcW w:w="2835" w:type="dxa"/>
          </w:tcPr>
          <w:p w:rsidR="00B60846" w:rsidRDefault="008069FF">
            <w:pPr>
              <w:spacing w:after="60"/>
              <w:ind w:left="11"/>
              <w:rPr>
                <w:noProof/>
              </w:rPr>
            </w:pPr>
            <w:r>
              <w:rPr>
                <w:noProof/>
              </w:rPr>
              <w:t xml:space="preserve">June </w:t>
            </w:r>
            <w:r>
              <w:rPr>
                <w:noProof/>
              </w:rPr>
              <w:t>2020</w:t>
            </w:r>
          </w:p>
        </w:tc>
      </w:tr>
      <w:tr w:rsidR="00B60846">
        <w:tc>
          <w:tcPr>
            <w:tcW w:w="5920" w:type="dxa"/>
          </w:tcPr>
          <w:p w:rsidR="00B60846" w:rsidRDefault="008069FF">
            <w:pPr>
              <w:spacing w:after="60"/>
              <w:rPr>
                <w:noProof/>
              </w:rPr>
            </w:pPr>
            <w:r>
              <w:rPr>
                <w:noProof/>
              </w:rPr>
              <w:t>Upstream meeting with Regulatory Scrutiny Board</w:t>
            </w:r>
          </w:p>
        </w:tc>
        <w:tc>
          <w:tcPr>
            <w:tcW w:w="2835" w:type="dxa"/>
          </w:tcPr>
          <w:p w:rsidR="00B60846" w:rsidRDefault="008069FF">
            <w:pPr>
              <w:spacing w:after="60"/>
              <w:ind w:left="11"/>
              <w:rPr>
                <w:noProof/>
              </w:rPr>
            </w:pPr>
            <w:r>
              <w:rPr>
                <w:noProof/>
              </w:rPr>
              <w:t>14 July 2020</w:t>
            </w:r>
          </w:p>
        </w:tc>
      </w:tr>
      <w:tr w:rsidR="00B60846">
        <w:tc>
          <w:tcPr>
            <w:tcW w:w="5920" w:type="dxa"/>
          </w:tcPr>
          <w:p w:rsidR="00B60846" w:rsidRDefault="008069FF">
            <w:pPr>
              <w:spacing w:after="60"/>
              <w:rPr>
                <w:noProof/>
              </w:rPr>
            </w:pPr>
            <w:r>
              <w:rPr>
                <w:noProof/>
              </w:rPr>
              <w:t>Submission to Regulatory Scrutiny Board</w:t>
            </w:r>
          </w:p>
        </w:tc>
        <w:tc>
          <w:tcPr>
            <w:tcW w:w="2835" w:type="dxa"/>
          </w:tcPr>
          <w:p w:rsidR="00B60846" w:rsidRDefault="008069FF">
            <w:pPr>
              <w:spacing w:after="60"/>
              <w:ind w:left="11"/>
              <w:rPr>
                <w:noProof/>
                <w:lang w:val="pt-PT"/>
              </w:rPr>
            </w:pPr>
            <w:r>
              <w:rPr>
                <w:noProof/>
                <w:lang w:val="pt-PT"/>
              </w:rPr>
              <w:t>25 September 2020</w:t>
            </w:r>
          </w:p>
        </w:tc>
      </w:tr>
      <w:tr w:rsidR="00B60846">
        <w:tc>
          <w:tcPr>
            <w:tcW w:w="5920" w:type="dxa"/>
          </w:tcPr>
          <w:p w:rsidR="00B60846" w:rsidRDefault="008069FF">
            <w:pPr>
              <w:spacing w:after="60"/>
              <w:rPr>
                <w:noProof/>
              </w:rPr>
            </w:pPr>
            <w:r>
              <w:rPr>
                <w:noProof/>
              </w:rPr>
              <w:t>Regulatory Scrutiny Board</w:t>
            </w:r>
          </w:p>
        </w:tc>
        <w:tc>
          <w:tcPr>
            <w:tcW w:w="2835" w:type="dxa"/>
          </w:tcPr>
          <w:p w:rsidR="00B60846" w:rsidRDefault="008069FF">
            <w:pPr>
              <w:spacing w:after="60"/>
              <w:ind w:left="11"/>
              <w:rPr>
                <w:noProof/>
              </w:rPr>
            </w:pPr>
            <w:r>
              <w:rPr>
                <w:noProof/>
              </w:rPr>
              <w:t>21 October 2020</w:t>
            </w:r>
          </w:p>
        </w:tc>
      </w:tr>
      <w:tr w:rsidR="00B60846">
        <w:tc>
          <w:tcPr>
            <w:tcW w:w="5920" w:type="dxa"/>
          </w:tcPr>
          <w:p w:rsidR="00B60846" w:rsidRDefault="008069FF">
            <w:pPr>
              <w:spacing w:after="60"/>
              <w:rPr>
                <w:noProof/>
              </w:rPr>
            </w:pPr>
            <w:r>
              <w:rPr>
                <w:noProof/>
              </w:rPr>
              <w:t>Resubmission to Regulatory Scrutiny Board</w:t>
            </w:r>
          </w:p>
        </w:tc>
        <w:tc>
          <w:tcPr>
            <w:tcW w:w="2835" w:type="dxa"/>
          </w:tcPr>
          <w:p w:rsidR="00B60846" w:rsidRDefault="008069FF">
            <w:pPr>
              <w:spacing w:after="60"/>
              <w:ind w:left="11"/>
              <w:rPr>
                <w:noProof/>
              </w:rPr>
            </w:pPr>
            <w:r>
              <w:rPr>
                <w:noProof/>
              </w:rPr>
              <w:t>9 November 2020</w:t>
            </w:r>
          </w:p>
        </w:tc>
      </w:tr>
    </w:tbl>
    <w:p w:rsidR="00B60846" w:rsidRDefault="00B60846">
      <w:pPr>
        <w:pStyle w:val="Text2"/>
        <w:ind w:left="0"/>
        <w:rPr>
          <w:noProof/>
        </w:rPr>
      </w:pPr>
    </w:p>
    <w:p w:rsidR="00B60846" w:rsidRDefault="008069FF">
      <w:pPr>
        <w:pStyle w:val="Heading2"/>
        <w:numPr>
          <w:ilvl w:val="1"/>
          <w:numId w:val="0"/>
        </w:numPr>
        <w:ind w:left="576" w:hanging="576"/>
        <w:rPr>
          <w:noProof/>
        </w:rPr>
      </w:pPr>
      <w:bookmarkStart w:id="1126" w:name="_Toc471997757"/>
      <w:bookmarkStart w:id="1127" w:name="_Toc39234308"/>
      <w:bookmarkStart w:id="1128" w:name="_Toc39234451"/>
      <w:bookmarkStart w:id="1129" w:name="_Toc49351360"/>
      <w:bookmarkStart w:id="1130" w:name="_Toc49357753"/>
      <w:bookmarkStart w:id="1131" w:name="_Toc49359431"/>
      <w:bookmarkStart w:id="1132" w:name="_Toc49359766"/>
      <w:bookmarkStart w:id="1133" w:name="_Toc49508010"/>
      <w:bookmarkStart w:id="1134" w:name="_Toc49508456"/>
      <w:bookmarkStart w:id="1135" w:name="_Toc49512367"/>
      <w:bookmarkStart w:id="1136" w:name="_Toc49514251"/>
      <w:bookmarkStart w:id="1137" w:name="_Toc49516486"/>
      <w:bookmarkStart w:id="1138" w:name="_Toc49518655"/>
      <w:bookmarkStart w:id="1139" w:name="_Toc50028516"/>
      <w:bookmarkStart w:id="1140" w:name="_Toc50057011"/>
      <w:bookmarkStart w:id="1141" w:name="_Toc50063638"/>
      <w:bookmarkStart w:id="1142" w:name="_Toc50366625"/>
      <w:bookmarkStart w:id="1143" w:name="_Toc50452118"/>
      <w:bookmarkStart w:id="1144" w:name="_Toc50573942"/>
      <w:bookmarkStart w:id="1145" w:name="_Toc50581926"/>
      <w:bookmarkStart w:id="1146" w:name="_Toc50582709"/>
      <w:bookmarkStart w:id="1147" w:name="_Toc51168577"/>
      <w:bookmarkStart w:id="1148" w:name="_Toc51169066"/>
      <w:bookmarkStart w:id="1149" w:name="_Toc51231560"/>
      <w:bookmarkStart w:id="1150" w:name="_Toc51235496"/>
      <w:bookmarkStart w:id="1151" w:name="_Toc51237286"/>
      <w:bookmarkStart w:id="1152" w:name="_Toc51238671"/>
      <w:bookmarkStart w:id="1153" w:name="_Toc51239396"/>
      <w:bookmarkStart w:id="1154" w:name="_Toc51245179"/>
      <w:bookmarkStart w:id="1155" w:name="_Toc51268819"/>
      <w:bookmarkStart w:id="1156" w:name="_Toc51268926"/>
      <w:bookmarkStart w:id="1157" w:name="_Toc51350409"/>
      <w:bookmarkStart w:id="1158" w:name="_Toc51760939"/>
      <w:bookmarkStart w:id="1159" w:name="_Toc51784866"/>
      <w:bookmarkStart w:id="1160" w:name="_Toc51788309"/>
      <w:bookmarkStart w:id="1161" w:name="_Toc51791847"/>
      <w:bookmarkStart w:id="1162" w:name="_Toc51793279"/>
      <w:bookmarkStart w:id="1163" w:name="_Toc51879093"/>
      <w:bookmarkStart w:id="1164" w:name="_Toc55155670"/>
      <w:bookmarkStart w:id="1165" w:name="_Toc55290977"/>
      <w:bookmarkStart w:id="1166" w:name="_Toc55296667"/>
      <w:bookmarkStart w:id="1167" w:name="_Toc55496479"/>
      <w:r>
        <w:rPr>
          <w:noProof/>
        </w:rPr>
        <w:t>Consultation of the RSB</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rsidR="00B60846" w:rsidRDefault="008069FF">
      <w:pPr>
        <w:pStyle w:val="Text2"/>
        <w:ind w:left="0"/>
        <w:rPr>
          <w:noProof/>
        </w:rPr>
      </w:pPr>
      <w:r>
        <w:rPr>
          <w:noProof/>
        </w:rPr>
        <w:t xml:space="preserve">The Impact Assessment report was first submitted to the Regulatory Scrutiny Board (RSB) on 25 September 2020 and discussed with the Board on 21 October 2020. The RSB first delivered a negative opinion on 23 October 2020 and after examining the resubmitted </w:t>
      </w:r>
      <w:r>
        <w:rPr>
          <w:noProof/>
        </w:rPr>
        <w:t xml:space="preserve">version (submitted on 9 November 2020) delivered a positive opinion with reservations on 1 December 2020. The below tables summarise how the revised Impact Assessment report addresses the requested improvements. </w:t>
      </w:r>
    </w:p>
    <w:p w:rsidR="00B60846" w:rsidRDefault="008069FF">
      <w:pPr>
        <w:pStyle w:val="Text2"/>
        <w:ind w:left="0"/>
        <w:rPr>
          <w:noProof/>
        </w:rPr>
      </w:pPr>
      <w:r>
        <w:rPr>
          <w:noProof/>
        </w:rPr>
        <w:t xml:space="preserve"> a) First RSB opinion</w:t>
      </w:r>
    </w:p>
    <w:tbl>
      <w:tblPr>
        <w:tblStyle w:val="TableGrid"/>
        <w:tblW w:w="0" w:type="auto"/>
        <w:tblLook w:val="04A0" w:firstRow="1" w:lastRow="0" w:firstColumn="1" w:lastColumn="0" w:noHBand="0" w:noVBand="1"/>
      </w:tblPr>
      <w:tblGrid>
        <w:gridCol w:w="4127"/>
        <w:gridCol w:w="4707"/>
      </w:tblGrid>
      <w:tr w:rsidR="00B60846">
        <w:tc>
          <w:tcPr>
            <w:tcW w:w="6487" w:type="dxa"/>
          </w:tcPr>
          <w:p w:rsidR="00B60846" w:rsidRDefault="008069FF">
            <w:pPr>
              <w:rPr>
                <w:b/>
                <w:noProof/>
                <w:lang w:val="en-IE"/>
              </w:rPr>
            </w:pPr>
            <w:r>
              <w:rPr>
                <w:b/>
                <w:noProof/>
                <w:lang w:val="en-IE"/>
              </w:rPr>
              <w:t>RSB requested improve</w:t>
            </w:r>
            <w:r>
              <w:rPr>
                <w:b/>
                <w:noProof/>
                <w:lang w:val="en-IE"/>
              </w:rPr>
              <w:t>ments</w:t>
            </w:r>
          </w:p>
        </w:tc>
        <w:tc>
          <w:tcPr>
            <w:tcW w:w="6946" w:type="dxa"/>
          </w:tcPr>
          <w:p w:rsidR="00B60846" w:rsidRDefault="008069FF">
            <w:pPr>
              <w:rPr>
                <w:b/>
                <w:noProof/>
                <w:lang w:val="en-IE"/>
              </w:rPr>
            </w:pPr>
            <w:r>
              <w:rPr>
                <w:b/>
                <w:noProof/>
                <w:lang w:val="en-IE"/>
              </w:rPr>
              <w:t>Changes in the revised report:</w:t>
            </w:r>
          </w:p>
        </w:tc>
      </w:tr>
      <w:tr w:rsidR="00B60846">
        <w:tc>
          <w:tcPr>
            <w:tcW w:w="6487" w:type="dxa"/>
          </w:tcPr>
          <w:p w:rsidR="00B60846" w:rsidRDefault="008069FF">
            <w:pPr>
              <w:rPr>
                <w:noProof/>
              </w:rPr>
            </w:pPr>
            <w:r>
              <w:rPr>
                <w:noProof/>
                <w:lang w:val="en-IE"/>
              </w:rPr>
              <w:t xml:space="preserve">(1) The report should clarify the context of the revision. It should present the origins of the TEN-E framework, its current components (thematic areas, priority corridors, regional </w:t>
            </w:r>
            <w:r>
              <w:rPr>
                <w:noProof/>
              </w:rPr>
              <w:t>groupings, PCI selection criteria et</w:t>
            </w:r>
            <w:r>
              <w:rPr>
                <w:noProof/>
              </w:rPr>
              <w:t>c.) and financing. It should more clearly set out the current governance system for trans-European network plans.</w:t>
            </w:r>
          </w:p>
          <w:p w:rsidR="00B60846" w:rsidRDefault="00B60846">
            <w:pPr>
              <w:rPr>
                <w:noProof/>
                <w:lang w:val="en-IE"/>
              </w:rPr>
            </w:pPr>
          </w:p>
        </w:tc>
        <w:tc>
          <w:tcPr>
            <w:tcW w:w="6946" w:type="dxa"/>
          </w:tcPr>
          <w:p w:rsidR="00B60846" w:rsidRDefault="008069FF">
            <w:pPr>
              <w:rPr>
                <w:noProof/>
                <w:lang w:val="en-IE"/>
              </w:rPr>
            </w:pPr>
            <w:r>
              <w:rPr>
                <w:noProof/>
                <w:lang w:val="en-IE"/>
              </w:rPr>
              <w:t>Section 1 of the report has been thoroughly revised to clarify upfront the background and key elements of the current TEN-E Regulation. In ad</w:t>
            </w:r>
            <w:r>
              <w:rPr>
                <w:noProof/>
                <w:lang w:val="en-IE"/>
              </w:rPr>
              <w:t>dition, more details including illustrations on the PCI selection process as well as the TYNDP process have been added in section 3 “Implementation/State of play” of Annex 5 (Evaluation report). A new Annex 6 has been added to provide a more detailed overv</w:t>
            </w:r>
            <w:r>
              <w:rPr>
                <w:noProof/>
                <w:lang w:val="en-IE"/>
              </w:rPr>
              <w:t xml:space="preserve">iew on the status of PCIs and the relationship with CEF. </w:t>
            </w:r>
          </w:p>
        </w:tc>
      </w:tr>
      <w:tr w:rsidR="00B60846">
        <w:tc>
          <w:tcPr>
            <w:tcW w:w="6487" w:type="dxa"/>
          </w:tcPr>
          <w:p w:rsidR="00B60846" w:rsidRDefault="008069FF">
            <w:pPr>
              <w:autoSpaceDE w:val="0"/>
              <w:autoSpaceDN w:val="0"/>
              <w:adjustRightInd w:val="0"/>
              <w:rPr>
                <w:noProof/>
              </w:rPr>
            </w:pPr>
            <w:r>
              <w:rPr>
                <w:noProof/>
              </w:rPr>
              <w:t>(2) Drawing on the evaluation, the problem analysis should present what has worked well under the existing Regulation and where there are shortcomings. It should detail which institutional issues o</w:t>
            </w:r>
            <w:r>
              <w:rPr>
                <w:noProof/>
              </w:rPr>
              <w:t>f the current framework lead to non-alignment with European policy objectives and excessive time requirements for decision-making. It should explain which elements will remain unchanged in the revised Regulation and which will be up for review.</w:t>
            </w:r>
          </w:p>
          <w:p w:rsidR="00B60846" w:rsidRDefault="00B60846">
            <w:pPr>
              <w:rPr>
                <w:noProof/>
                <w:lang w:val="en-IE"/>
              </w:rPr>
            </w:pPr>
          </w:p>
        </w:tc>
        <w:tc>
          <w:tcPr>
            <w:tcW w:w="6946" w:type="dxa"/>
          </w:tcPr>
          <w:p w:rsidR="00B60846" w:rsidRDefault="008069FF">
            <w:pPr>
              <w:tabs>
                <w:tab w:val="clear" w:pos="2302"/>
              </w:tabs>
              <w:spacing w:after="0"/>
              <w:jc w:val="left"/>
              <w:rPr>
                <w:noProof/>
                <w:lang w:val="en-IE"/>
              </w:rPr>
            </w:pPr>
            <w:r>
              <w:rPr>
                <w:noProof/>
                <w:lang w:val="en-IE"/>
              </w:rPr>
              <w:t xml:space="preserve">The key </w:t>
            </w:r>
            <w:r>
              <w:rPr>
                <w:noProof/>
                <w:lang w:val="en-IE"/>
              </w:rPr>
              <w:t>conclusions of the evaluation on the successes and shortcomings of the current TEN-E Regulation have been added at the beginning of section 2 and they have been systematically picked up the problem definition. The new sub-section 2.4 clarifies what element</w:t>
            </w:r>
            <w:r>
              <w:rPr>
                <w:noProof/>
                <w:lang w:val="en-IE"/>
              </w:rPr>
              <w:t>s will remain unchanged and which elements are subject for review.</w:t>
            </w:r>
          </w:p>
        </w:tc>
      </w:tr>
      <w:tr w:rsidR="00B60846">
        <w:tc>
          <w:tcPr>
            <w:tcW w:w="6487" w:type="dxa"/>
          </w:tcPr>
          <w:p w:rsidR="00B60846" w:rsidRDefault="008069FF">
            <w:pPr>
              <w:autoSpaceDE w:val="0"/>
              <w:autoSpaceDN w:val="0"/>
              <w:adjustRightInd w:val="0"/>
              <w:rPr>
                <w:noProof/>
              </w:rPr>
            </w:pPr>
            <w:r>
              <w:rPr>
                <w:noProof/>
              </w:rPr>
              <w:t>(3) The report should elaborate on the new policy needs emerging from the Green Deal. It should clearly position how the TEN-E framework fits into this context. It should explain the linka</w:t>
            </w:r>
            <w:r>
              <w:rPr>
                <w:noProof/>
              </w:rPr>
              <w:t>ges to other related policy initiatives (adopted or being developed), such as the energy efficiency and renewable energy directives and the green taxonomy for investments. The report should discuss the estimated regulatory and investment needs to establish</w:t>
            </w:r>
            <w:r>
              <w:rPr>
                <w:noProof/>
              </w:rPr>
              <w:t xml:space="preserve"> the necessary energy infrastructure to reach the 2030/2050 climate targets, and the  contribution from TEN-E.</w:t>
            </w:r>
          </w:p>
        </w:tc>
        <w:tc>
          <w:tcPr>
            <w:tcW w:w="6946" w:type="dxa"/>
          </w:tcPr>
          <w:p w:rsidR="00B60846" w:rsidRDefault="008069FF">
            <w:pPr>
              <w:tabs>
                <w:tab w:val="clear" w:pos="2302"/>
              </w:tabs>
              <w:spacing w:after="0"/>
              <w:jc w:val="left"/>
              <w:rPr>
                <w:noProof/>
                <w:lang w:val="en-IE"/>
              </w:rPr>
            </w:pPr>
            <w:r>
              <w:rPr>
                <w:noProof/>
                <w:lang w:val="en-IE"/>
              </w:rPr>
              <w:t xml:space="preserve">The problem definition has been revised and restructured to better explain how the TEN-E framework fits into the new policy context of the Green </w:t>
            </w:r>
            <w:r>
              <w:rPr>
                <w:noProof/>
                <w:lang w:val="en-IE"/>
              </w:rPr>
              <w:t>Deal (section 2), language on regulatory and investments needs has been strengthened and completed with additional references  (section 2.1). The baseline has been revised to better explain the linkages to other related policy initiatives (adopted or being</w:t>
            </w:r>
            <w:r>
              <w:rPr>
                <w:noProof/>
                <w:lang w:val="en-IE"/>
              </w:rPr>
              <w:t xml:space="preserve"> developed), such as the energy efficiency and renewable energy directives and the green taxonomy for investments and how these affect the identified problems (sections 2.1 and 2.3).</w:t>
            </w:r>
          </w:p>
        </w:tc>
      </w:tr>
      <w:tr w:rsidR="00B60846">
        <w:tc>
          <w:tcPr>
            <w:tcW w:w="6487" w:type="dxa"/>
          </w:tcPr>
          <w:p w:rsidR="00B60846" w:rsidRDefault="008069FF">
            <w:pPr>
              <w:autoSpaceDE w:val="0"/>
              <w:autoSpaceDN w:val="0"/>
              <w:adjustRightInd w:val="0"/>
              <w:rPr>
                <w:noProof/>
                <w:lang w:val="en-IE"/>
              </w:rPr>
            </w:pPr>
            <w:r>
              <w:rPr>
                <w:noProof/>
              </w:rPr>
              <w:t xml:space="preserve">(4) The report should clarify what will be the measures of success of </w:t>
            </w:r>
            <w:r>
              <w:rPr>
                <w:noProof/>
              </w:rPr>
              <w:t>the revised Regulation in contributing to the Green Deal and reducing delays.</w:t>
            </w:r>
          </w:p>
        </w:tc>
        <w:tc>
          <w:tcPr>
            <w:tcW w:w="6946" w:type="dxa"/>
          </w:tcPr>
          <w:p w:rsidR="00B60846" w:rsidRDefault="008069FF">
            <w:pPr>
              <w:tabs>
                <w:tab w:val="clear" w:pos="2302"/>
              </w:tabs>
              <w:spacing w:after="0"/>
              <w:jc w:val="left"/>
              <w:rPr>
                <w:noProof/>
                <w:lang w:val="en-IE"/>
              </w:rPr>
            </w:pPr>
            <w:r>
              <w:rPr>
                <w:noProof/>
                <w:lang w:val="en-IE"/>
              </w:rPr>
              <w:t>Specific success indicators have been added to the indicators (section 9.2).</w:t>
            </w:r>
          </w:p>
        </w:tc>
      </w:tr>
      <w:tr w:rsidR="00B60846">
        <w:tc>
          <w:tcPr>
            <w:tcW w:w="6487" w:type="dxa"/>
          </w:tcPr>
          <w:p w:rsidR="00B60846" w:rsidRDefault="008069FF">
            <w:pPr>
              <w:autoSpaceDE w:val="0"/>
              <w:autoSpaceDN w:val="0"/>
              <w:adjustRightInd w:val="0"/>
              <w:rPr>
                <w:noProof/>
                <w:lang w:val="en-IE"/>
              </w:rPr>
            </w:pPr>
            <w:r>
              <w:rPr>
                <w:noProof/>
              </w:rPr>
              <w:t>(5) The report should clarify how the revision intends to ensure technology neutrality. It should sp</w:t>
            </w:r>
            <w:r>
              <w:rPr>
                <w:noProof/>
              </w:rPr>
              <w:t>ecify how the new planning framework will be able to accommodate changes in objectives and technologies. It should assess to what extent the sectoral combinations of options under “scope” are future proof, given that they would be fixed in the Regulation.</w:t>
            </w:r>
          </w:p>
        </w:tc>
        <w:tc>
          <w:tcPr>
            <w:tcW w:w="6946" w:type="dxa"/>
          </w:tcPr>
          <w:p w:rsidR="00B60846" w:rsidRDefault="008069FF">
            <w:pPr>
              <w:tabs>
                <w:tab w:val="clear" w:pos="2302"/>
              </w:tabs>
              <w:spacing w:after="0"/>
              <w:jc w:val="left"/>
              <w:rPr>
                <w:noProof/>
                <w:lang w:val="en-IE"/>
              </w:rPr>
            </w:pPr>
            <w:r>
              <w:rPr>
                <w:noProof/>
                <w:lang w:val="en-IE"/>
              </w:rPr>
              <w:t>The issues of technology neutrality and “future proof” of the initiative have been explicitly addressed in comparison of the options (section 7) in terms of the scope and the governance, both the planning framework and the PCI selection process including t</w:t>
            </w:r>
            <w:r>
              <w:rPr>
                <w:noProof/>
                <w:lang w:val="en-IE"/>
              </w:rPr>
              <w:t>he assessment methodologies. It has been highlighted to what extent certain options would be in conflict with making the revsied TEN-E Regulation future proof.</w:t>
            </w:r>
          </w:p>
        </w:tc>
      </w:tr>
      <w:tr w:rsidR="00B60846">
        <w:tc>
          <w:tcPr>
            <w:tcW w:w="6487" w:type="dxa"/>
          </w:tcPr>
          <w:p w:rsidR="00B60846" w:rsidRDefault="008069FF">
            <w:pPr>
              <w:autoSpaceDE w:val="0"/>
              <w:autoSpaceDN w:val="0"/>
              <w:adjustRightInd w:val="0"/>
              <w:rPr>
                <w:noProof/>
                <w:lang w:val="en-IE"/>
              </w:rPr>
            </w:pPr>
            <w:r>
              <w:rPr>
                <w:noProof/>
              </w:rPr>
              <w:t>(6) The options should link better with the identified problems and objectives. The report shou</w:t>
            </w:r>
            <w:r>
              <w:rPr>
                <w:noProof/>
              </w:rPr>
              <w:t>ld substantiate why it does not consider a more fundamental revision of the TEN-E approach, to improve the alignment with political objectives and timeliness of the planning process. The report should explain how the introduction of a mandatory sustainabil</w:t>
            </w:r>
            <w:r>
              <w:rPr>
                <w:noProof/>
              </w:rPr>
              <w:t>ity criterion – next to other selection criteria – would ensure that the projects with the highest contribution to sustainability would be selected. The report should better justify why it relegates the discussion of some options to an annex.</w:t>
            </w:r>
          </w:p>
        </w:tc>
        <w:tc>
          <w:tcPr>
            <w:tcW w:w="6946" w:type="dxa"/>
          </w:tcPr>
          <w:p w:rsidR="00B60846" w:rsidRDefault="008069FF">
            <w:pPr>
              <w:tabs>
                <w:tab w:val="clear" w:pos="2302"/>
              </w:tabs>
              <w:spacing w:after="0"/>
              <w:jc w:val="left"/>
              <w:rPr>
                <w:noProof/>
                <w:lang w:val="en-IE"/>
              </w:rPr>
            </w:pPr>
            <w:r>
              <w:rPr>
                <w:noProof/>
                <w:lang w:val="en-IE"/>
              </w:rPr>
              <w:t>In addition t</w:t>
            </w:r>
            <w:r>
              <w:rPr>
                <w:noProof/>
                <w:lang w:val="en-IE"/>
              </w:rPr>
              <w:t>o the added clarifications on the TEN-E framework (see point 1) as well as the revised problem definition (see point 2), an intervention logic diagram (Figure 4) has been added to clarify how the objectives and options relate to the problems and underlying</w:t>
            </w:r>
            <w:r>
              <w:rPr>
                <w:noProof/>
                <w:lang w:val="en-IE"/>
              </w:rPr>
              <w:t xml:space="preserve"> drivers. </w:t>
            </w:r>
          </w:p>
          <w:p w:rsidR="00B60846" w:rsidRDefault="00B60846">
            <w:pPr>
              <w:tabs>
                <w:tab w:val="clear" w:pos="2302"/>
              </w:tabs>
              <w:spacing w:after="0"/>
              <w:jc w:val="left"/>
              <w:rPr>
                <w:noProof/>
                <w:lang w:val="en-IE"/>
              </w:rPr>
            </w:pPr>
          </w:p>
          <w:p w:rsidR="00B60846" w:rsidRDefault="008069FF">
            <w:pPr>
              <w:tabs>
                <w:tab w:val="clear" w:pos="2302"/>
              </w:tabs>
              <w:spacing w:after="0"/>
              <w:jc w:val="left"/>
              <w:rPr>
                <w:noProof/>
                <w:lang w:val="en-IE"/>
              </w:rPr>
            </w:pPr>
            <w:r>
              <w:rPr>
                <w:noProof/>
                <w:lang w:val="en-IE"/>
              </w:rPr>
              <w:t xml:space="preserve">The introduction of a mandatory sustainability criterion has been explained in more detail (section 5.2.2.2 and new Annex 8). </w:t>
            </w:r>
          </w:p>
          <w:p w:rsidR="00B60846" w:rsidRDefault="00B60846">
            <w:pPr>
              <w:tabs>
                <w:tab w:val="clear" w:pos="2302"/>
              </w:tabs>
              <w:spacing w:after="0"/>
              <w:jc w:val="left"/>
              <w:rPr>
                <w:noProof/>
                <w:lang w:val="en-IE"/>
              </w:rPr>
            </w:pPr>
          </w:p>
          <w:p w:rsidR="00B60846" w:rsidRDefault="008069FF">
            <w:pPr>
              <w:tabs>
                <w:tab w:val="clear" w:pos="2302"/>
              </w:tabs>
              <w:spacing w:after="0"/>
              <w:jc w:val="left"/>
              <w:rPr>
                <w:noProof/>
                <w:lang w:val="en-IE"/>
              </w:rPr>
            </w:pPr>
            <w:r>
              <w:rPr>
                <w:noProof/>
                <w:lang w:val="en-IE"/>
              </w:rPr>
              <w:t>The options relegated to an Annex have been revised to focus on those options that are of technical nature. This has</w:t>
            </w:r>
            <w:r>
              <w:rPr>
                <w:noProof/>
                <w:lang w:val="en-IE"/>
              </w:rPr>
              <w:t xml:space="preserve"> been clarified in the report.</w:t>
            </w:r>
          </w:p>
        </w:tc>
      </w:tr>
      <w:tr w:rsidR="00B60846">
        <w:tc>
          <w:tcPr>
            <w:tcW w:w="6487" w:type="dxa"/>
          </w:tcPr>
          <w:p w:rsidR="00B60846" w:rsidRDefault="008069FF">
            <w:pPr>
              <w:rPr>
                <w:noProof/>
                <w:lang w:val="en-IE"/>
              </w:rPr>
            </w:pPr>
            <w:r>
              <w:rPr>
                <w:noProof/>
              </w:rPr>
              <w:t>(7) The report should better justify why the preferred option is the best response to the identified problems. It should explain how the inclusion of the updated criteria can improve the selection of projects of common inter</w:t>
            </w:r>
            <w:r>
              <w:rPr>
                <w:noProof/>
              </w:rPr>
              <w:t>est, if the governance structure continues to be decentralised (with the European Network of Transmission System Operators continuing to initiate and lead the award decisions). It should clarify the role of the Agency for the Cooperation of Energy Regulato</w:t>
            </w:r>
            <w:r>
              <w:rPr>
                <w:noProof/>
              </w:rPr>
              <w:t>rs in this respect. It should make clear that the proposed solution for eliminating the delays applies only to some Member States. The report should present cost estimates for the proposed changes in the governance framework.</w:t>
            </w:r>
          </w:p>
        </w:tc>
        <w:tc>
          <w:tcPr>
            <w:tcW w:w="6946" w:type="dxa"/>
          </w:tcPr>
          <w:p w:rsidR="00B60846" w:rsidRDefault="008069FF">
            <w:pPr>
              <w:tabs>
                <w:tab w:val="clear" w:pos="2302"/>
              </w:tabs>
              <w:spacing w:after="0"/>
              <w:jc w:val="left"/>
              <w:rPr>
                <w:noProof/>
                <w:lang w:val="en-IE"/>
              </w:rPr>
            </w:pPr>
            <w:r>
              <w:rPr>
                <w:noProof/>
                <w:lang w:val="en-IE"/>
              </w:rPr>
              <w:t>The report has been strengthen</w:t>
            </w:r>
            <w:r>
              <w:rPr>
                <w:noProof/>
                <w:lang w:val="en-IE"/>
              </w:rPr>
              <w:t xml:space="preserve">ed to better explain why the package of preferred options are considered best suited to address the identified problems (section 7 and 8, new Table 4) and highlights possible alternatives. </w:t>
            </w:r>
          </w:p>
          <w:p w:rsidR="00B60846" w:rsidRDefault="00B60846">
            <w:pPr>
              <w:tabs>
                <w:tab w:val="clear" w:pos="2302"/>
              </w:tabs>
              <w:spacing w:after="0"/>
              <w:jc w:val="left"/>
              <w:rPr>
                <w:noProof/>
                <w:lang w:val="en-IE"/>
              </w:rPr>
            </w:pPr>
          </w:p>
          <w:p w:rsidR="00B60846" w:rsidRDefault="008069FF">
            <w:pPr>
              <w:tabs>
                <w:tab w:val="clear" w:pos="2302"/>
              </w:tabs>
              <w:spacing w:after="0"/>
              <w:jc w:val="left"/>
              <w:rPr>
                <w:noProof/>
                <w:lang w:val="en-IE"/>
              </w:rPr>
            </w:pPr>
            <w:r>
              <w:rPr>
                <w:noProof/>
                <w:lang w:val="en-IE"/>
              </w:rPr>
              <w:t>The role of ACER and the Commission has been clarified (section 5</w:t>
            </w:r>
            <w:r>
              <w:rPr>
                <w:noProof/>
                <w:lang w:val="en-IE"/>
              </w:rPr>
              <w:t xml:space="preserve">.2.2). It has been clarified that option on accelerated court procedures would apply to some Member States only (section 6.3.1). </w:t>
            </w:r>
          </w:p>
          <w:p w:rsidR="00B60846" w:rsidRDefault="00B60846">
            <w:pPr>
              <w:tabs>
                <w:tab w:val="clear" w:pos="2302"/>
              </w:tabs>
              <w:spacing w:after="0"/>
              <w:jc w:val="left"/>
              <w:rPr>
                <w:noProof/>
                <w:lang w:val="en-IE"/>
              </w:rPr>
            </w:pPr>
          </w:p>
          <w:p w:rsidR="00B60846" w:rsidRDefault="008069FF">
            <w:pPr>
              <w:tabs>
                <w:tab w:val="clear" w:pos="2302"/>
              </w:tabs>
              <w:spacing w:after="0"/>
              <w:jc w:val="left"/>
              <w:rPr>
                <w:noProof/>
                <w:lang w:val="en-IE"/>
              </w:rPr>
            </w:pPr>
            <w:r>
              <w:rPr>
                <w:noProof/>
                <w:lang w:val="en-IE"/>
              </w:rPr>
              <w:t>The assessment of impacts in terms of administrative burden has been strengthened and cost estimates added (section 6.2).</w:t>
            </w:r>
          </w:p>
        </w:tc>
      </w:tr>
    </w:tbl>
    <w:p w:rsidR="00B60846" w:rsidRDefault="00B60846">
      <w:pPr>
        <w:pStyle w:val="Text2"/>
        <w:ind w:left="0"/>
        <w:rPr>
          <w:noProof/>
        </w:rPr>
      </w:pPr>
    </w:p>
    <w:p w:rsidR="00B60846" w:rsidRDefault="008069FF">
      <w:pPr>
        <w:pStyle w:val="Text2"/>
        <w:ind w:left="0"/>
        <w:rPr>
          <w:noProof/>
        </w:rPr>
      </w:pPr>
      <w:r>
        <w:rPr>
          <w:noProof/>
        </w:rPr>
        <w:t>b) Second RSB opinion</w:t>
      </w:r>
    </w:p>
    <w:tbl>
      <w:tblPr>
        <w:tblStyle w:val="TableGrid"/>
        <w:tblW w:w="0" w:type="auto"/>
        <w:tblLook w:val="04A0" w:firstRow="1" w:lastRow="0" w:firstColumn="1" w:lastColumn="0" w:noHBand="0" w:noVBand="1"/>
      </w:tblPr>
      <w:tblGrid>
        <w:gridCol w:w="4284"/>
        <w:gridCol w:w="4550"/>
      </w:tblGrid>
      <w:tr w:rsidR="00B60846">
        <w:tc>
          <w:tcPr>
            <w:tcW w:w="6487" w:type="dxa"/>
          </w:tcPr>
          <w:p w:rsidR="00B60846" w:rsidRDefault="008069FF">
            <w:pPr>
              <w:rPr>
                <w:b/>
                <w:noProof/>
                <w:lang w:val="en-IE"/>
              </w:rPr>
            </w:pPr>
            <w:r>
              <w:rPr>
                <w:b/>
                <w:noProof/>
                <w:lang w:val="en-IE"/>
              </w:rPr>
              <w:t>RSB requested improvements</w:t>
            </w:r>
          </w:p>
        </w:tc>
        <w:tc>
          <w:tcPr>
            <w:tcW w:w="6946" w:type="dxa"/>
          </w:tcPr>
          <w:p w:rsidR="00B60846" w:rsidRDefault="008069FF">
            <w:pPr>
              <w:rPr>
                <w:b/>
                <w:noProof/>
                <w:lang w:val="en-IE"/>
              </w:rPr>
            </w:pPr>
            <w:r>
              <w:rPr>
                <w:b/>
                <w:noProof/>
                <w:lang w:val="en-IE"/>
              </w:rPr>
              <w:t>Changes in the revised report:</w:t>
            </w:r>
          </w:p>
        </w:tc>
      </w:tr>
      <w:tr w:rsidR="00B60846">
        <w:tc>
          <w:tcPr>
            <w:tcW w:w="6487" w:type="dxa"/>
          </w:tcPr>
          <w:p w:rsidR="00B60846" w:rsidRDefault="008069FF">
            <w:pPr>
              <w:rPr>
                <w:noProof/>
                <w:lang w:val="en-IE"/>
              </w:rPr>
            </w:pPr>
            <w:r>
              <w:rPr>
                <w:noProof/>
              </w:rPr>
              <w:t xml:space="preserve">(1) The report should provide a better justification for creating a separate system for assessing the sustainability of candidate projects of common interest. It is not clear </w:t>
            </w:r>
            <w:r>
              <w:rPr>
                <w:noProof/>
              </w:rPr>
              <w:t xml:space="preserve">why the TEN-E sustainability assessment requires specific selection criteria or how they would differ from those of the taxonomy Regulation. While the report acknowledges that the details of the sustainability methodology would be developed later with the </w:t>
            </w:r>
            <w:r>
              <w:rPr>
                <w:noProof/>
              </w:rPr>
              <w:t>ENTSOs and ACER, the report should at least provide the minimum requirements to align the PCI selection with EU policy objectives.</w:t>
            </w:r>
          </w:p>
        </w:tc>
        <w:tc>
          <w:tcPr>
            <w:tcW w:w="6946" w:type="dxa"/>
          </w:tcPr>
          <w:p w:rsidR="00B60846" w:rsidRDefault="008069FF">
            <w:pPr>
              <w:rPr>
                <w:noProof/>
                <w:lang w:val="en-IE"/>
              </w:rPr>
            </w:pPr>
            <w:r>
              <w:rPr>
                <w:noProof/>
                <w:lang w:val="en-IE"/>
              </w:rPr>
              <w:t>The text has been revised (sections 7) to further clarify the different scope and purpose of the TEN-E Regulation and the Tax</w:t>
            </w:r>
            <w:r>
              <w:rPr>
                <w:noProof/>
                <w:lang w:val="en-IE"/>
              </w:rPr>
              <w:t>onomy Regulation. It explains why specific selection criteria are needed in the TEN-E Regulation in order to meet its objectives. It also further clarifies (section 8) how the full alignment with the Green Deal objectives as key objective of the revision i</w:t>
            </w:r>
            <w:r>
              <w:rPr>
                <w:noProof/>
                <w:lang w:val="en-IE"/>
              </w:rPr>
              <w:t>s achieved.</w:t>
            </w:r>
          </w:p>
          <w:p w:rsidR="00B60846" w:rsidRDefault="008069FF">
            <w:pPr>
              <w:rPr>
                <w:noProof/>
                <w:lang w:val="en-IE"/>
              </w:rPr>
            </w:pPr>
            <w:r>
              <w:rPr>
                <w:noProof/>
                <w:lang w:val="en-IE"/>
              </w:rPr>
              <w:t>The revised report (section 6.2.2) explains that the mandatory sustainability assessment constitutes as such a minimum requirement but is only one element to align the PCI selection with the EU policy objectives (sections 6.2.2 and 8).</w:t>
            </w:r>
          </w:p>
        </w:tc>
      </w:tr>
      <w:tr w:rsidR="00B60846">
        <w:tc>
          <w:tcPr>
            <w:tcW w:w="6487" w:type="dxa"/>
          </w:tcPr>
          <w:p w:rsidR="00B60846" w:rsidRDefault="008069FF">
            <w:pPr>
              <w:rPr>
                <w:noProof/>
              </w:rPr>
            </w:pPr>
            <w:r>
              <w:rPr>
                <w:noProof/>
              </w:rPr>
              <w:t>(2) The</w:t>
            </w:r>
            <w:r>
              <w:rPr>
                <w:noProof/>
              </w:rPr>
              <w:t xml:space="preserve">  report  should  be  more  specific  on  how it will  ensure  that  the  mandatory  sustainability criterion will take  precedence over other criteria in the  project selection process, to ensure alignment with the Green Deal. It should also clarify why i</w:t>
            </w:r>
            <w:r>
              <w:rPr>
                <w:noProof/>
              </w:rPr>
              <w:t>t proposes not to apply the sustainability criterion to electricity projects. Although these automatically fulfil the taxonomy requirements for climate mitigation, they should also do no significant harm to other environmental and social objectives.</w:t>
            </w:r>
          </w:p>
        </w:tc>
        <w:tc>
          <w:tcPr>
            <w:tcW w:w="6946" w:type="dxa"/>
          </w:tcPr>
          <w:p w:rsidR="00B60846" w:rsidRDefault="008069FF">
            <w:pPr>
              <w:rPr>
                <w:noProof/>
                <w:lang w:val="en-IE"/>
              </w:rPr>
            </w:pPr>
            <w:r>
              <w:rPr>
                <w:noProof/>
                <w:lang w:val="en-IE"/>
              </w:rPr>
              <w:t>Text w</w:t>
            </w:r>
            <w:r>
              <w:rPr>
                <w:noProof/>
                <w:lang w:val="en-IE"/>
              </w:rPr>
              <w:t>as added (section 8) to clarify that the combined impacts of the proposed changes, i.e. the adjusted scope of the TEN-E Regulation, integrated offshore development plans, as well as strengthened governance with a mandatory sustainability assessment for all</w:t>
            </w:r>
            <w:r>
              <w:rPr>
                <w:noProof/>
                <w:lang w:val="en-IE"/>
              </w:rPr>
              <w:t xml:space="preserve"> candidate projects will align the PCI selection with EU policy objectives including the Green Deal.</w:t>
            </w:r>
          </w:p>
          <w:p w:rsidR="00B60846" w:rsidRDefault="008069FF">
            <w:pPr>
              <w:rPr>
                <w:noProof/>
                <w:lang w:val="en-IE"/>
              </w:rPr>
            </w:pPr>
            <w:r>
              <w:rPr>
                <w:noProof/>
                <w:lang w:val="en-IE"/>
              </w:rPr>
              <w:t xml:space="preserve">The revised report (section 6.2.2) explains that sustainability as mandatory selection criterion would be applied to all candidate projects. </w:t>
            </w:r>
          </w:p>
          <w:p w:rsidR="00B60846" w:rsidRDefault="008069FF">
            <w:pPr>
              <w:rPr>
                <w:noProof/>
                <w:lang w:val="en-IE"/>
              </w:rPr>
            </w:pPr>
            <w:r>
              <w:rPr>
                <w:noProof/>
                <w:lang w:val="en-IE"/>
              </w:rPr>
              <w:t>Text was adde</w:t>
            </w:r>
            <w:r>
              <w:rPr>
                <w:noProof/>
                <w:lang w:val="en-IE"/>
              </w:rPr>
              <w:t>d (Section 7) to clarify how the assessed options would ensure that projects do no significant harm to the environment.</w:t>
            </w:r>
          </w:p>
        </w:tc>
      </w:tr>
      <w:tr w:rsidR="00B60846">
        <w:tc>
          <w:tcPr>
            <w:tcW w:w="6487" w:type="dxa"/>
          </w:tcPr>
          <w:p w:rsidR="00B60846" w:rsidRDefault="008069FF">
            <w:pPr>
              <w:rPr>
                <w:noProof/>
              </w:rPr>
            </w:pPr>
            <w:r>
              <w:rPr>
                <w:noProof/>
              </w:rPr>
              <w:t>(3) The report should better substantiate why the revised Regulation should keep the list of infrastructure categories. It should consi</w:t>
            </w:r>
            <w:r>
              <w:rPr>
                <w:noProof/>
              </w:rPr>
              <w:t>der how it can make the initiative more future-proof. It should also explain why it does not directly use the taxonomy Regulation to ensure the alignment of the list with the Green Deal.</w:t>
            </w:r>
          </w:p>
        </w:tc>
        <w:tc>
          <w:tcPr>
            <w:tcW w:w="6946" w:type="dxa"/>
          </w:tcPr>
          <w:p w:rsidR="00B60846" w:rsidRDefault="008069FF">
            <w:pPr>
              <w:rPr>
                <w:noProof/>
                <w:lang w:val="en-IE"/>
              </w:rPr>
            </w:pPr>
            <w:r>
              <w:rPr>
                <w:noProof/>
                <w:lang w:val="en-IE"/>
              </w:rPr>
              <w:t xml:space="preserve">Text was added (section 8) to explain why the definition of eligible </w:t>
            </w:r>
            <w:r>
              <w:rPr>
                <w:noProof/>
                <w:lang w:val="en-IE"/>
              </w:rPr>
              <w:t>infrastructure categories are required and what the consequences would be, if this was not done.</w:t>
            </w:r>
          </w:p>
          <w:p w:rsidR="00B60846" w:rsidRDefault="008069FF">
            <w:pPr>
              <w:rPr>
                <w:noProof/>
                <w:lang w:val="en-IE"/>
              </w:rPr>
            </w:pPr>
            <w:r>
              <w:rPr>
                <w:noProof/>
                <w:lang w:val="en-IE"/>
              </w:rPr>
              <w:t>The text has been revised (section 7) to further clarify the different scope and purpose of the TEN-E Regulation and the Taxonomy Regulation and why the approa</w:t>
            </w:r>
            <w:r>
              <w:rPr>
                <w:noProof/>
                <w:lang w:val="en-IE"/>
              </w:rPr>
              <w:t>ch under the Taxonomy would not be sufficient for the PCI selection process (see also point 1).</w:t>
            </w:r>
          </w:p>
        </w:tc>
      </w:tr>
      <w:tr w:rsidR="00B60846">
        <w:tc>
          <w:tcPr>
            <w:tcW w:w="6487" w:type="dxa"/>
          </w:tcPr>
          <w:p w:rsidR="00B60846" w:rsidRDefault="008069FF">
            <w:pPr>
              <w:rPr>
                <w:noProof/>
              </w:rPr>
            </w:pPr>
            <w:r>
              <w:rPr>
                <w:noProof/>
              </w:rPr>
              <w:t xml:space="preserve">(4) The evaluation concludes that the delays in acquiring the permits for PCIs are largely influenced by national laws and practices. The report should be </w:t>
            </w:r>
            <w:r>
              <w:rPr>
                <w:noProof/>
              </w:rPr>
              <w:t>clearer about the role of the EU versus national  levels  in  addressing  these  delays.  In  this  context,  it  should  better explain the inclusion and the likely effectiveness of the policy option on ‘use of urgent court procedures’, as it would only a</w:t>
            </w:r>
            <w:r>
              <w:rPr>
                <w:noProof/>
              </w:rPr>
              <w:t>pply to Member States that have such procedures in place (less than half).</w:t>
            </w:r>
          </w:p>
        </w:tc>
        <w:tc>
          <w:tcPr>
            <w:tcW w:w="6946" w:type="dxa"/>
          </w:tcPr>
          <w:p w:rsidR="00B60846" w:rsidRDefault="008069FF">
            <w:pPr>
              <w:rPr>
                <w:noProof/>
                <w:lang w:val="en-IE"/>
              </w:rPr>
            </w:pPr>
            <w:r>
              <w:rPr>
                <w:noProof/>
                <w:lang w:val="en-IE"/>
              </w:rPr>
              <w:t>The revised text (sections 2 and 5.2.3) clarifies that the evaluation concludes that national implementation and enforcement is a key issue to address permitting delays. It also bet</w:t>
            </w:r>
            <w:r>
              <w:rPr>
                <w:noProof/>
                <w:lang w:val="en-IE"/>
              </w:rPr>
              <w:t>ter explains (sections 6.3 and 7) the effectiveness of the policy option on ‘use of urgent court procedures’.</w:t>
            </w:r>
          </w:p>
        </w:tc>
      </w:tr>
    </w:tbl>
    <w:p w:rsidR="00B60846" w:rsidRDefault="00B60846">
      <w:pPr>
        <w:pStyle w:val="Text2"/>
        <w:ind w:left="0"/>
        <w:rPr>
          <w:b/>
          <w:noProof/>
        </w:rPr>
      </w:pPr>
      <w:bookmarkStart w:id="1168" w:name="_Toc471997758"/>
      <w:bookmarkStart w:id="1169" w:name="_Toc39234309"/>
      <w:bookmarkStart w:id="1170" w:name="_Toc39234452"/>
      <w:bookmarkStart w:id="1171" w:name="_Toc49351361"/>
      <w:bookmarkStart w:id="1172" w:name="_Toc49357754"/>
      <w:bookmarkStart w:id="1173" w:name="_Toc49359432"/>
      <w:bookmarkStart w:id="1174" w:name="_Toc49359767"/>
      <w:bookmarkStart w:id="1175" w:name="_Toc49508011"/>
      <w:bookmarkStart w:id="1176" w:name="_Toc49508457"/>
      <w:bookmarkStart w:id="1177" w:name="_Toc49512368"/>
      <w:bookmarkStart w:id="1178" w:name="_Toc49514252"/>
      <w:bookmarkStart w:id="1179" w:name="_Toc49516487"/>
      <w:bookmarkStart w:id="1180" w:name="_Toc49518656"/>
      <w:bookmarkStart w:id="1181" w:name="_Toc50028517"/>
      <w:bookmarkStart w:id="1182" w:name="_Toc50057012"/>
      <w:bookmarkStart w:id="1183" w:name="_Toc50063639"/>
      <w:bookmarkStart w:id="1184" w:name="_Toc50366626"/>
      <w:bookmarkStart w:id="1185" w:name="_Toc50452119"/>
      <w:bookmarkStart w:id="1186" w:name="_Toc50573943"/>
      <w:bookmarkStart w:id="1187" w:name="_Toc50581927"/>
      <w:bookmarkStart w:id="1188" w:name="_Toc50582710"/>
      <w:bookmarkStart w:id="1189" w:name="_Toc51168578"/>
      <w:bookmarkStart w:id="1190" w:name="_Toc51169067"/>
      <w:bookmarkStart w:id="1191" w:name="_Toc51231561"/>
      <w:bookmarkStart w:id="1192" w:name="_Toc51235497"/>
      <w:bookmarkStart w:id="1193" w:name="_Toc51238672"/>
      <w:bookmarkStart w:id="1194" w:name="_Toc51239397"/>
    </w:p>
    <w:p w:rsidR="00B60846" w:rsidRDefault="008069FF">
      <w:pPr>
        <w:pStyle w:val="Text2"/>
        <w:ind w:left="0"/>
        <w:rPr>
          <w:b/>
          <w:noProof/>
        </w:rPr>
      </w:pPr>
      <w:r>
        <w:rPr>
          <w:b/>
          <w:bCs/>
          <w:noProof/>
        </w:rPr>
        <w:t>Evidence, sources and quality</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B60846" w:rsidRDefault="008069FF">
      <w:pPr>
        <w:pStyle w:val="Text2"/>
        <w:ind w:left="0"/>
        <w:rPr>
          <w:noProof/>
        </w:rPr>
      </w:pPr>
      <w:bookmarkStart w:id="1195" w:name="_Ref492906096"/>
      <w:bookmarkEnd w:id="1195"/>
      <w:r>
        <w:rPr>
          <w:noProof/>
        </w:rPr>
        <w:t>The impact assessment draws on evidence from the evaluation of the Regulation 347/2013 on guidelines for the trans</w:t>
      </w:r>
      <w:r>
        <w:rPr>
          <w:noProof/>
        </w:rPr>
        <w:t>-European energy networks, from the stakeholder input to the extensive consultations carried out in this respect, as well as from the results of a series of topical studies on key elements of the TEN-E Regulation, which will be presented below.</w:t>
      </w:r>
    </w:p>
    <w:p w:rsidR="00B60846" w:rsidRDefault="008069FF">
      <w:pPr>
        <w:pStyle w:val="FootnoteText"/>
        <w:rPr>
          <w:noProof/>
          <w:sz w:val="24"/>
          <w:szCs w:val="24"/>
        </w:rPr>
      </w:pPr>
      <w:r>
        <w:rPr>
          <w:noProof/>
          <w:sz w:val="24"/>
          <w:szCs w:val="24"/>
        </w:rPr>
        <w:t xml:space="preserve">The impact </w:t>
      </w:r>
      <w:r>
        <w:rPr>
          <w:noProof/>
          <w:sz w:val="24"/>
          <w:szCs w:val="24"/>
        </w:rPr>
        <w:t>assessment references the outcomes of a mid-term evaluation of the TEN-E Regulation, as well as evaluations and assessments carried out in the framework of other Commission initiatives, such as:</w:t>
      </w:r>
    </w:p>
    <w:p w:rsidR="00B60846" w:rsidRDefault="008069FF">
      <w:pPr>
        <w:pStyle w:val="FootnoteText"/>
        <w:numPr>
          <w:ilvl w:val="0"/>
          <w:numId w:val="37"/>
        </w:numPr>
        <w:rPr>
          <w:noProof/>
          <w:sz w:val="24"/>
          <w:szCs w:val="24"/>
        </w:rPr>
      </w:pPr>
      <w:r>
        <w:rPr>
          <w:noProof/>
          <w:sz w:val="24"/>
          <w:szCs w:val="24"/>
        </w:rPr>
        <w:t xml:space="preserve">Stepping up Europe’s 2030 climate ambition, Commission staff </w:t>
      </w:r>
      <w:r>
        <w:rPr>
          <w:noProof/>
          <w:sz w:val="24"/>
          <w:szCs w:val="24"/>
        </w:rPr>
        <w:t>working document Impact Assessment, SWD(2020) 176 final;</w:t>
      </w:r>
    </w:p>
    <w:p w:rsidR="00B60846" w:rsidRDefault="008069FF">
      <w:pPr>
        <w:pStyle w:val="FootnoteText"/>
        <w:numPr>
          <w:ilvl w:val="0"/>
          <w:numId w:val="37"/>
        </w:numPr>
        <w:rPr>
          <w:noProof/>
          <w:sz w:val="24"/>
          <w:szCs w:val="24"/>
        </w:rPr>
      </w:pPr>
      <w:r>
        <w:rPr>
          <w:noProof/>
          <w:sz w:val="24"/>
          <w:szCs w:val="24"/>
        </w:rPr>
        <w:t xml:space="preserve">A hydrogen strategy for a climate-neutral Europe, COM(2020) 301 final; </w:t>
      </w:r>
    </w:p>
    <w:p w:rsidR="00B60846" w:rsidRDefault="008069FF">
      <w:pPr>
        <w:pStyle w:val="FootnoteText"/>
        <w:numPr>
          <w:ilvl w:val="0"/>
          <w:numId w:val="37"/>
        </w:numPr>
        <w:rPr>
          <w:noProof/>
          <w:sz w:val="24"/>
          <w:szCs w:val="24"/>
        </w:rPr>
      </w:pPr>
      <w:r>
        <w:rPr>
          <w:noProof/>
          <w:sz w:val="24"/>
          <w:szCs w:val="24"/>
        </w:rPr>
        <w:t>Powering a climate-neutral economy: An EU Strategy for Energy System Integration, COM(2020) 299 final;</w:t>
      </w:r>
    </w:p>
    <w:p w:rsidR="00B60846" w:rsidRDefault="008069FF">
      <w:pPr>
        <w:pStyle w:val="FootnoteText"/>
        <w:numPr>
          <w:ilvl w:val="0"/>
          <w:numId w:val="37"/>
        </w:numPr>
        <w:rPr>
          <w:noProof/>
          <w:sz w:val="24"/>
          <w:szCs w:val="24"/>
        </w:rPr>
      </w:pPr>
      <w:r>
        <w:rPr>
          <w:noProof/>
          <w:sz w:val="24"/>
          <w:szCs w:val="24"/>
        </w:rPr>
        <w:t>EU Technical Expert Grou</w:t>
      </w:r>
      <w:r>
        <w:rPr>
          <w:noProof/>
          <w:sz w:val="24"/>
          <w:szCs w:val="24"/>
        </w:rPr>
        <w:t>p on Sustainable Finance: Taxonomy, Technical Report (2020);</w:t>
      </w:r>
    </w:p>
    <w:p w:rsidR="00B60846" w:rsidRDefault="008069FF">
      <w:pPr>
        <w:pStyle w:val="FootnoteText"/>
        <w:numPr>
          <w:ilvl w:val="0"/>
          <w:numId w:val="37"/>
        </w:numPr>
        <w:rPr>
          <w:noProof/>
          <w:sz w:val="24"/>
          <w:szCs w:val="24"/>
        </w:rPr>
      </w:pPr>
      <w:r>
        <w:rPr>
          <w:noProof/>
          <w:sz w:val="24"/>
          <w:szCs w:val="24"/>
        </w:rPr>
        <w:t>Commission Expert Group  on electricity interconnection targets, Third report of the Public engagement and acceptance in the planning and implementation  of European electricity interconnectors (</w:t>
      </w:r>
      <w:r>
        <w:rPr>
          <w:noProof/>
          <w:sz w:val="24"/>
          <w:szCs w:val="24"/>
        </w:rPr>
        <w:t>2019);</w:t>
      </w:r>
    </w:p>
    <w:p w:rsidR="00B60846" w:rsidRDefault="008069FF">
      <w:pPr>
        <w:pStyle w:val="FootnoteText"/>
        <w:numPr>
          <w:ilvl w:val="0"/>
          <w:numId w:val="37"/>
        </w:numPr>
        <w:rPr>
          <w:noProof/>
          <w:sz w:val="24"/>
          <w:szCs w:val="24"/>
        </w:rPr>
      </w:pPr>
      <w:r>
        <w:rPr>
          <w:noProof/>
          <w:sz w:val="24"/>
          <w:szCs w:val="24"/>
        </w:rPr>
        <w:t>A Clean Planet for all - A European long-term strategic vision for a prosperous, modern, competitive and climate neutral economy, Commission Communication COM(2018) 773;</w:t>
      </w:r>
    </w:p>
    <w:p w:rsidR="00B60846" w:rsidRDefault="00B60846">
      <w:pPr>
        <w:pStyle w:val="FootnoteText"/>
        <w:ind w:left="2295"/>
        <w:rPr>
          <w:noProof/>
          <w:szCs w:val="24"/>
        </w:rPr>
      </w:pPr>
    </w:p>
    <w:p w:rsidR="00B60846" w:rsidRDefault="008069FF">
      <w:pPr>
        <w:rPr>
          <w:noProof/>
          <w:szCs w:val="24"/>
        </w:rPr>
      </w:pPr>
      <w:r>
        <w:rPr>
          <w:noProof/>
        </w:rPr>
        <w:t>Formal conclusions adopted in the framework of the Copenhagen Forum in 2018 an</w:t>
      </w:r>
      <w:r>
        <w:rPr>
          <w:noProof/>
        </w:rPr>
        <w:t xml:space="preserve">d 2019 were also considered in the analysis. </w:t>
      </w:r>
      <w:r>
        <w:rPr>
          <w:noProof/>
          <w:lang w:val="en-IE"/>
        </w:rPr>
        <w:t xml:space="preserve">The Copenhagen Forum gathers annually </w:t>
      </w:r>
      <w:r>
        <w:rPr>
          <w:noProof/>
        </w:rPr>
        <w:t>representatives of the EU institutions, transmission system operators, project promoters, regulators, energy companies, NGOs and civil society and the financing community to</w:t>
      </w:r>
      <w:r>
        <w:rPr>
          <w:noProof/>
        </w:rPr>
        <w:t xml:space="preserve"> discuss the challenges of developing Europe’s energy infrastructure.</w:t>
      </w:r>
    </w:p>
    <w:p w:rsidR="00B60846" w:rsidRDefault="008069FF">
      <w:pPr>
        <w:pStyle w:val="FootnoteText"/>
        <w:rPr>
          <w:noProof/>
          <w:sz w:val="24"/>
          <w:szCs w:val="24"/>
        </w:rPr>
      </w:pPr>
      <w:r>
        <w:rPr>
          <w:noProof/>
          <w:sz w:val="24"/>
          <w:szCs w:val="24"/>
          <w:lang w:val="en-IE"/>
        </w:rPr>
        <w:t xml:space="preserve">ACER’s annual consolidated monitoring reports on the progress of electricity and gas PCIs, </w:t>
      </w:r>
      <w:r>
        <w:rPr>
          <w:noProof/>
          <w:sz w:val="24"/>
          <w:szCs w:val="24"/>
        </w:rPr>
        <w:t>incremental capacity projects and virtual interconnection points as well other updates on the c</w:t>
      </w:r>
      <w:r>
        <w:rPr>
          <w:noProof/>
          <w:sz w:val="24"/>
          <w:szCs w:val="24"/>
        </w:rPr>
        <w:t xml:space="preserve">ross-border cost allocation decisions, project-specific risk-based incentives were equally considered. </w:t>
      </w:r>
    </w:p>
    <w:p w:rsidR="00B60846" w:rsidRDefault="00B60846">
      <w:pPr>
        <w:pStyle w:val="FootnoteText"/>
        <w:rPr>
          <w:noProof/>
          <w:sz w:val="24"/>
          <w:szCs w:val="24"/>
        </w:rPr>
      </w:pPr>
    </w:p>
    <w:p w:rsidR="00B60846" w:rsidRDefault="008069FF">
      <w:pPr>
        <w:rPr>
          <w:noProof/>
          <w:szCs w:val="24"/>
        </w:rPr>
      </w:pPr>
      <w:r>
        <w:rPr>
          <w:noProof/>
        </w:rPr>
        <w:t>Further information was gathered through several support studies previously commissioned to external contractors to support the development of policy o</w:t>
      </w:r>
      <w:r>
        <w:rPr>
          <w:noProof/>
        </w:rPr>
        <w:t>ptions and assessment on:</w:t>
      </w:r>
    </w:p>
    <w:p w:rsidR="00B60846" w:rsidRDefault="008069FF">
      <w:pPr>
        <w:rPr>
          <w:i/>
          <w:noProof/>
        </w:rPr>
      </w:pPr>
      <w:r>
        <w:rPr>
          <w:i/>
          <w:iCs/>
          <w:noProof/>
        </w:rPr>
        <w:t>Investment needs in infrastructure and costs of delays</w:t>
      </w:r>
    </w:p>
    <w:p w:rsidR="00B60846" w:rsidRDefault="008069FF">
      <w:pPr>
        <w:pStyle w:val="FootnoteText"/>
        <w:numPr>
          <w:ilvl w:val="0"/>
          <w:numId w:val="31"/>
        </w:numPr>
        <w:rPr>
          <w:noProof/>
          <w:sz w:val="24"/>
          <w:szCs w:val="24"/>
        </w:rPr>
      </w:pPr>
      <w:r>
        <w:rPr>
          <w:noProof/>
          <w:sz w:val="24"/>
          <w:szCs w:val="24"/>
        </w:rPr>
        <w:t>Ecofys (2017): Investments needs in trans-European infrastructure up to 2030 and beyond Eurelectric (2019)</w:t>
      </w:r>
    </w:p>
    <w:p w:rsidR="00B60846" w:rsidRDefault="008069FF">
      <w:pPr>
        <w:pStyle w:val="FootnoteText"/>
        <w:numPr>
          <w:ilvl w:val="0"/>
          <w:numId w:val="31"/>
        </w:numPr>
        <w:rPr>
          <w:noProof/>
          <w:sz w:val="24"/>
          <w:szCs w:val="24"/>
        </w:rPr>
      </w:pPr>
      <w:r>
        <w:rPr>
          <w:noProof/>
          <w:sz w:val="24"/>
          <w:szCs w:val="24"/>
        </w:rPr>
        <w:t xml:space="preserve">Eurelectric (2019), The Value of the Grid </w:t>
      </w:r>
    </w:p>
    <w:p w:rsidR="00B60846" w:rsidRDefault="008069FF">
      <w:pPr>
        <w:pStyle w:val="FootnoteText"/>
        <w:numPr>
          <w:ilvl w:val="0"/>
          <w:numId w:val="31"/>
        </w:numPr>
        <w:rPr>
          <w:noProof/>
          <w:sz w:val="24"/>
          <w:szCs w:val="24"/>
        </w:rPr>
      </w:pPr>
      <w:r>
        <w:rPr>
          <w:noProof/>
          <w:sz w:val="24"/>
          <w:szCs w:val="24"/>
        </w:rPr>
        <w:t xml:space="preserve">Renewable Grid </w:t>
      </w:r>
      <w:r>
        <w:rPr>
          <w:noProof/>
          <w:sz w:val="24"/>
          <w:szCs w:val="24"/>
        </w:rPr>
        <w:t>Initiative/ ENTSOE (2019): Working Paper on Value of timely implementation of “better projects”</w:t>
      </w:r>
    </w:p>
    <w:p w:rsidR="00B60846" w:rsidRDefault="00B60846">
      <w:pPr>
        <w:rPr>
          <w:i/>
          <w:iCs/>
          <w:noProof/>
        </w:rPr>
      </w:pPr>
    </w:p>
    <w:p w:rsidR="00B60846" w:rsidRDefault="008069FF">
      <w:pPr>
        <w:rPr>
          <w:i/>
          <w:noProof/>
        </w:rPr>
      </w:pPr>
      <w:r>
        <w:rPr>
          <w:i/>
          <w:iCs/>
          <w:noProof/>
        </w:rPr>
        <w:t xml:space="preserve">Market and technical data on different technologies </w:t>
      </w:r>
    </w:p>
    <w:p w:rsidR="00B60846" w:rsidRDefault="008069FF">
      <w:pPr>
        <w:pStyle w:val="FootnoteText"/>
        <w:numPr>
          <w:ilvl w:val="0"/>
          <w:numId w:val="32"/>
        </w:numPr>
        <w:rPr>
          <w:noProof/>
          <w:sz w:val="24"/>
          <w:szCs w:val="24"/>
        </w:rPr>
      </w:pPr>
      <w:r>
        <w:rPr>
          <w:noProof/>
          <w:sz w:val="24"/>
          <w:szCs w:val="24"/>
        </w:rPr>
        <w:t>Trinomics (2020): Study on Opportunities arising from the inclusion of Hydrogen Energy Technologies in the</w:t>
      </w:r>
      <w:r>
        <w:rPr>
          <w:noProof/>
          <w:sz w:val="24"/>
          <w:szCs w:val="24"/>
        </w:rPr>
        <w:t xml:space="preserve"> National Energy &amp; Climate Plans</w:t>
      </w:r>
    </w:p>
    <w:p w:rsidR="00B60846" w:rsidRDefault="008069FF">
      <w:pPr>
        <w:pStyle w:val="FootnoteText"/>
        <w:numPr>
          <w:ilvl w:val="0"/>
          <w:numId w:val="32"/>
        </w:numPr>
        <w:rPr>
          <w:noProof/>
          <w:sz w:val="24"/>
          <w:szCs w:val="24"/>
        </w:rPr>
      </w:pPr>
      <w:r>
        <w:rPr>
          <w:noProof/>
          <w:sz w:val="24"/>
          <w:szCs w:val="24"/>
        </w:rPr>
        <w:t>Tractebel (2020): Hydrogen generation in Europe</w:t>
      </w:r>
    </w:p>
    <w:p w:rsidR="00B60846" w:rsidRDefault="008069FF">
      <w:pPr>
        <w:pStyle w:val="ListParagraph"/>
        <w:numPr>
          <w:ilvl w:val="0"/>
          <w:numId w:val="32"/>
        </w:numPr>
        <w:spacing w:after="0"/>
        <w:rPr>
          <w:noProof/>
        </w:rPr>
      </w:pPr>
      <w:r>
        <w:rPr>
          <w:noProof/>
        </w:rPr>
        <w:t xml:space="preserve">Trinomics (2019): Impact of the use of the biomethane and hydrogen potential on trans-European infrastructure </w:t>
      </w:r>
    </w:p>
    <w:p w:rsidR="00B60846" w:rsidRDefault="008069FF">
      <w:pPr>
        <w:pStyle w:val="ListParagraph"/>
        <w:numPr>
          <w:ilvl w:val="0"/>
          <w:numId w:val="32"/>
        </w:numPr>
        <w:spacing w:after="0"/>
        <w:rPr>
          <w:noProof/>
        </w:rPr>
      </w:pPr>
      <w:r>
        <w:rPr>
          <w:noProof/>
        </w:rPr>
        <w:t>International Energy Agency (2019): The Future of Hydrogen</w:t>
      </w:r>
    </w:p>
    <w:p w:rsidR="00B60846" w:rsidRDefault="008069FF">
      <w:pPr>
        <w:pStyle w:val="ListParagraph"/>
        <w:numPr>
          <w:ilvl w:val="0"/>
          <w:numId w:val="32"/>
        </w:numPr>
        <w:spacing w:after="0"/>
        <w:rPr>
          <w:noProof/>
        </w:rPr>
      </w:pPr>
      <w:r>
        <w:rPr>
          <w:noProof/>
        </w:rPr>
        <w:t>Artel</w:t>
      </w:r>
      <w:r>
        <w:rPr>
          <w:noProof/>
        </w:rPr>
        <w:t xml:space="preserve">ys/Trinomics/Enerdata (2020): Study on energy storage – Contribution to the security of the electricity supply in Europe </w:t>
      </w:r>
    </w:p>
    <w:p w:rsidR="00B60846" w:rsidRDefault="008069FF">
      <w:pPr>
        <w:pStyle w:val="ListParagraph"/>
        <w:numPr>
          <w:ilvl w:val="0"/>
          <w:numId w:val="32"/>
        </w:numPr>
        <w:spacing w:after="0"/>
        <w:rPr>
          <w:noProof/>
        </w:rPr>
      </w:pPr>
      <w:r>
        <w:rPr>
          <w:noProof/>
        </w:rPr>
        <w:t xml:space="preserve">International Energy Agency (2020): Energy Storage Study </w:t>
      </w:r>
    </w:p>
    <w:p w:rsidR="00B60846" w:rsidRDefault="008069FF">
      <w:pPr>
        <w:pStyle w:val="ListParagraph"/>
        <w:numPr>
          <w:ilvl w:val="0"/>
          <w:numId w:val="32"/>
        </w:numPr>
        <w:spacing w:after="0"/>
        <w:rPr>
          <w:rFonts w:ascii="Arial" w:eastAsiaTheme="minorEastAsia" w:hAnsi="Arial" w:cs="Arial"/>
          <w:noProof/>
          <w:color w:val="000000"/>
        </w:rPr>
      </w:pPr>
      <w:r>
        <w:rPr>
          <w:noProof/>
        </w:rPr>
        <w:t>EY/ REKK (2018): Quo vadis EU gas market regulatory framework –Study on a Ga</w:t>
      </w:r>
      <w:r>
        <w:rPr>
          <w:noProof/>
        </w:rPr>
        <w:t>s Market Design for Europe</w:t>
      </w:r>
      <w:r>
        <w:rPr>
          <w:rFonts w:eastAsiaTheme="minorEastAsia"/>
          <w:noProof/>
          <w:color w:val="000000"/>
        </w:rPr>
        <w:t xml:space="preserve"> </w:t>
      </w:r>
    </w:p>
    <w:p w:rsidR="00B60846" w:rsidRDefault="00B60846">
      <w:pPr>
        <w:pStyle w:val="FootnoteText"/>
        <w:rPr>
          <w:i/>
          <w:noProof/>
          <w:sz w:val="24"/>
          <w:szCs w:val="24"/>
        </w:rPr>
      </w:pPr>
    </w:p>
    <w:p w:rsidR="00B60846" w:rsidRDefault="008069FF">
      <w:pPr>
        <w:pStyle w:val="FootnoteText"/>
        <w:rPr>
          <w:i/>
          <w:noProof/>
          <w:sz w:val="24"/>
          <w:szCs w:val="24"/>
        </w:rPr>
      </w:pPr>
      <w:r>
        <w:rPr>
          <w:i/>
          <w:iCs/>
          <w:noProof/>
          <w:sz w:val="24"/>
          <w:szCs w:val="24"/>
        </w:rPr>
        <w:t>Digitalisation and innovation aspects</w:t>
      </w:r>
    </w:p>
    <w:p w:rsidR="00B60846" w:rsidRDefault="00B60846">
      <w:pPr>
        <w:pStyle w:val="FootnoteText"/>
        <w:rPr>
          <w:i/>
          <w:noProof/>
          <w:sz w:val="24"/>
          <w:szCs w:val="24"/>
        </w:rPr>
      </w:pPr>
    </w:p>
    <w:p w:rsidR="00B60846" w:rsidRDefault="008069FF">
      <w:pPr>
        <w:pStyle w:val="FootnoteText"/>
        <w:numPr>
          <w:ilvl w:val="0"/>
          <w:numId w:val="33"/>
        </w:numPr>
        <w:rPr>
          <w:noProof/>
          <w:sz w:val="24"/>
          <w:szCs w:val="24"/>
        </w:rPr>
      </w:pPr>
      <w:r>
        <w:rPr>
          <w:noProof/>
          <w:sz w:val="24"/>
          <w:szCs w:val="24"/>
        </w:rPr>
        <w:t>Ecorys (2019): Do currrent regulatory frameworks in the EU support innovation and security of supply in electricity and gas grids?</w:t>
      </w:r>
    </w:p>
    <w:p w:rsidR="00B60846" w:rsidRDefault="008069FF">
      <w:pPr>
        <w:pStyle w:val="FootnoteText"/>
        <w:numPr>
          <w:ilvl w:val="0"/>
          <w:numId w:val="33"/>
        </w:numPr>
        <w:rPr>
          <w:noProof/>
          <w:sz w:val="24"/>
          <w:szCs w:val="24"/>
        </w:rPr>
      </w:pPr>
      <w:r>
        <w:rPr>
          <w:noProof/>
          <w:sz w:val="24"/>
          <w:szCs w:val="24"/>
        </w:rPr>
        <w:t xml:space="preserve">International Energy Agency (2017): Digitalisation and </w:t>
      </w:r>
      <w:r>
        <w:rPr>
          <w:noProof/>
          <w:sz w:val="24"/>
          <w:szCs w:val="24"/>
        </w:rPr>
        <w:t>Energy, OECD</w:t>
      </w:r>
    </w:p>
    <w:p w:rsidR="00B60846" w:rsidRDefault="008069FF">
      <w:pPr>
        <w:pStyle w:val="ListParagraph"/>
        <w:numPr>
          <w:ilvl w:val="0"/>
          <w:numId w:val="33"/>
        </w:numPr>
        <w:rPr>
          <w:i/>
          <w:noProof/>
        </w:rPr>
      </w:pPr>
      <w:r>
        <w:rPr>
          <w:noProof/>
        </w:rPr>
        <w:t>ETIP/SNET (2018): Digitalisation of the energy system and customer participation Description and recommendations of Technologies, Use Cases and Cybersecurity</w:t>
      </w:r>
    </w:p>
    <w:p w:rsidR="00B60846" w:rsidRDefault="008069FF">
      <w:pPr>
        <w:pStyle w:val="FootnoteText"/>
        <w:rPr>
          <w:i/>
          <w:noProof/>
          <w:sz w:val="24"/>
          <w:szCs w:val="24"/>
        </w:rPr>
      </w:pPr>
      <w:r>
        <w:rPr>
          <w:i/>
          <w:iCs/>
          <w:noProof/>
          <w:sz w:val="24"/>
          <w:szCs w:val="24"/>
        </w:rPr>
        <w:t>Sustainability</w:t>
      </w:r>
    </w:p>
    <w:p w:rsidR="00B60846" w:rsidRDefault="00B60846">
      <w:pPr>
        <w:pStyle w:val="FootnoteText"/>
        <w:rPr>
          <w:i/>
          <w:noProof/>
          <w:sz w:val="24"/>
          <w:szCs w:val="24"/>
        </w:rPr>
      </w:pPr>
    </w:p>
    <w:p w:rsidR="00B60846" w:rsidRDefault="008069FF">
      <w:pPr>
        <w:pStyle w:val="FootnoteText"/>
        <w:numPr>
          <w:ilvl w:val="0"/>
          <w:numId w:val="36"/>
        </w:numPr>
        <w:rPr>
          <w:noProof/>
          <w:sz w:val="24"/>
          <w:szCs w:val="24"/>
        </w:rPr>
      </w:pPr>
      <w:r>
        <w:rPr>
          <w:noProof/>
          <w:sz w:val="24"/>
          <w:szCs w:val="24"/>
        </w:rPr>
        <w:t>Artelys/ Trinomics (2020): Measuring the contribution of gas infrastr</w:t>
      </w:r>
      <w:r>
        <w:rPr>
          <w:noProof/>
          <w:sz w:val="24"/>
          <w:szCs w:val="24"/>
        </w:rPr>
        <w:t>ucture projects to sustainability as defined in the TEN-E Regulation [to be published]</w:t>
      </w:r>
    </w:p>
    <w:p w:rsidR="00B60846" w:rsidRDefault="00B60846">
      <w:pPr>
        <w:pStyle w:val="FootnoteText"/>
        <w:rPr>
          <w:i/>
          <w:noProof/>
          <w:sz w:val="24"/>
          <w:szCs w:val="24"/>
        </w:rPr>
      </w:pPr>
    </w:p>
    <w:p w:rsidR="00B60846" w:rsidRDefault="008069FF">
      <w:pPr>
        <w:pStyle w:val="FootnoteText"/>
        <w:rPr>
          <w:i/>
          <w:noProof/>
          <w:sz w:val="24"/>
          <w:szCs w:val="24"/>
        </w:rPr>
      </w:pPr>
      <w:r>
        <w:rPr>
          <w:i/>
          <w:iCs/>
          <w:noProof/>
          <w:sz w:val="24"/>
          <w:szCs w:val="24"/>
        </w:rPr>
        <w:t>Offshore grid development</w:t>
      </w:r>
    </w:p>
    <w:p w:rsidR="00B60846" w:rsidRDefault="00B60846">
      <w:pPr>
        <w:pStyle w:val="FootnoteText"/>
        <w:rPr>
          <w:i/>
          <w:noProof/>
          <w:sz w:val="24"/>
          <w:szCs w:val="24"/>
        </w:rPr>
      </w:pPr>
    </w:p>
    <w:p w:rsidR="00B60846" w:rsidRDefault="008069FF">
      <w:pPr>
        <w:pStyle w:val="FootnoteText"/>
        <w:numPr>
          <w:ilvl w:val="0"/>
          <w:numId w:val="34"/>
        </w:numPr>
        <w:rPr>
          <w:noProof/>
          <w:sz w:val="24"/>
          <w:szCs w:val="24"/>
        </w:rPr>
      </w:pPr>
      <w:r>
        <w:rPr>
          <w:noProof/>
          <w:sz w:val="24"/>
          <w:szCs w:val="24"/>
        </w:rPr>
        <w:t>Navigant/SWECO (2020): Study on the offshore grid potential in the Mediterranean region [to be published]</w:t>
      </w:r>
    </w:p>
    <w:p w:rsidR="00B60846" w:rsidRDefault="008069FF">
      <w:pPr>
        <w:pStyle w:val="ListParagraph"/>
        <w:numPr>
          <w:ilvl w:val="0"/>
          <w:numId w:val="34"/>
        </w:numPr>
        <w:spacing w:after="0"/>
        <w:rPr>
          <w:noProof/>
        </w:rPr>
      </w:pPr>
      <w:r>
        <w:rPr>
          <w:noProof/>
        </w:rPr>
        <w:t xml:space="preserve">Roland Berger GmbH (2019): How to reduce costs and space of offshore development: North Seas offshore energy clusters study </w:t>
      </w:r>
    </w:p>
    <w:p w:rsidR="00B60846" w:rsidRDefault="008069FF">
      <w:pPr>
        <w:pStyle w:val="ListParagraph"/>
        <w:numPr>
          <w:ilvl w:val="0"/>
          <w:numId w:val="34"/>
        </w:numPr>
        <w:spacing w:after="0"/>
        <w:rPr>
          <w:noProof/>
        </w:rPr>
      </w:pPr>
      <w:r>
        <w:rPr>
          <w:noProof/>
        </w:rPr>
        <w:t xml:space="preserve">COWI (2019): </w:t>
      </w:r>
      <w:r>
        <w:rPr>
          <w:noProof/>
          <w:lang w:val="en-IE"/>
        </w:rPr>
        <w:t>Study on Baltic offshore wind energy cooperation under BEMIP</w:t>
      </w:r>
    </w:p>
    <w:p w:rsidR="00B60846" w:rsidRDefault="00B60846">
      <w:pPr>
        <w:pStyle w:val="FootnoteText"/>
        <w:rPr>
          <w:i/>
          <w:noProof/>
          <w:sz w:val="24"/>
          <w:szCs w:val="24"/>
        </w:rPr>
      </w:pPr>
    </w:p>
    <w:p w:rsidR="00B60846" w:rsidRDefault="008069FF">
      <w:pPr>
        <w:pStyle w:val="FootnoteText"/>
        <w:rPr>
          <w:i/>
          <w:noProof/>
          <w:sz w:val="24"/>
          <w:szCs w:val="24"/>
        </w:rPr>
      </w:pPr>
      <w:r>
        <w:rPr>
          <w:i/>
          <w:iCs/>
          <w:noProof/>
          <w:sz w:val="24"/>
          <w:szCs w:val="24"/>
        </w:rPr>
        <w:t>Public acceptance and delays in projects implementation</w:t>
      </w:r>
    </w:p>
    <w:p w:rsidR="00B60846" w:rsidRDefault="00B60846">
      <w:pPr>
        <w:pStyle w:val="FootnoteText"/>
        <w:rPr>
          <w:i/>
          <w:noProof/>
          <w:sz w:val="24"/>
          <w:szCs w:val="24"/>
        </w:rPr>
      </w:pPr>
    </w:p>
    <w:p w:rsidR="00B60846" w:rsidRDefault="008069FF">
      <w:pPr>
        <w:pStyle w:val="FootnoteText"/>
        <w:numPr>
          <w:ilvl w:val="0"/>
          <w:numId w:val="35"/>
        </w:numPr>
        <w:rPr>
          <w:noProof/>
          <w:sz w:val="24"/>
          <w:szCs w:val="24"/>
        </w:rPr>
      </w:pPr>
      <w:r>
        <w:rPr>
          <w:noProof/>
          <w:sz w:val="24"/>
          <w:szCs w:val="24"/>
        </w:rPr>
        <w:t xml:space="preserve">Scope et al. (2020) Innovative actions and strategies to boost public awareness, trust and acceptance of trans-European energy infrastructure projects </w:t>
      </w:r>
    </w:p>
    <w:p w:rsidR="00B60846" w:rsidRDefault="008069FF">
      <w:pPr>
        <w:rPr>
          <w:noProof/>
        </w:rPr>
      </w:pPr>
      <w:r>
        <w:rPr>
          <w:noProof/>
        </w:rPr>
        <w:br w:type="page"/>
      </w:r>
    </w:p>
    <w:p w:rsidR="00B60846" w:rsidRDefault="008069FF">
      <w:pPr>
        <w:pStyle w:val="Heading1"/>
        <w:numPr>
          <w:ilvl w:val="0"/>
          <w:numId w:val="0"/>
        </w:numPr>
        <w:ind w:left="432" w:hanging="432"/>
        <w:rPr>
          <w:noProof/>
        </w:rPr>
      </w:pPr>
      <w:bookmarkStart w:id="1196" w:name="_Toc51168579"/>
      <w:bookmarkStart w:id="1197" w:name="_Toc51169068"/>
      <w:bookmarkStart w:id="1198" w:name="_Toc51231562"/>
      <w:bookmarkStart w:id="1199" w:name="_Toc51235498"/>
      <w:bookmarkStart w:id="1200" w:name="_Toc51237287"/>
      <w:bookmarkStart w:id="1201" w:name="_Toc51238673"/>
      <w:bookmarkStart w:id="1202" w:name="_Toc51239398"/>
      <w:bookmarkStart w:id="1203" w:name="_Toc51788310"/>
      <w:bookmarkStart w:id="1204" w:name="_Toc51791848"/>
      <w:bookmarkStart w:id="1205" w:name="_Toc51793280"/>
      <w:bookmarkStart w:id="1206" w:name="_Toc55496480"/>
      <w:bookmarkStart w:id="1207" w:name="_Toc49351362"/>
      <w:bookmarkStart w:id="1208" w:name="_Toc49357755"/>
      <w:bookmarkStart w:id="1209" w:name="_Toc49359433"/>
      <w:bookmarkStart w:id="1210" w:name="_Toc49359768"/>
      <w:bookmarkStart w:id="1211" w:name="_Toc49508012"/>
      <w:bookmarkStart w:id="1212" w:name="_Toc49508458"/>
      <w:bookmarkStart w:id="1213" w:name="_Toc49512369"/>
      <w:bookmarkStart w:id="1214" w:name="_Toc49514253"/>
      <w:bookmarkStart w:id="1215" w:name="_Toc49516488"/>
      <w:bookmarkStart w:id="1216" w:name="_Toc49518657"/>
      <w:bookmarkStart w:id="1217" w:name="_Toc50028518"/>
      <w:bookmarkStart w:id="1218" w:name="_Toc50057013"/>
      <w:bookmarkStart w:id="1219" w:name="_Toc50063640"/>
      <w:bookmarkStart w:id="1220" w:name="_Toc50366627"/>
      <w:bookmarkStart w:id="1221" w:name="_Toc50452120"/>
      <w:bookmarkStart w:id="1222" w:name="_Toc50573944"/>
      <w:bookmarkStart w:id="1223" w:name="_Toc50581928"/>
      <w:bookmarkStart w:id="1224" w:name="_Toc50582711"/>
      <w:r>
        <w:rPr>
          <w:noProof/>
        </w:rPr>
        <w:t>Annex 2: Stakeholder consultation</w:t>
      </w:r>
      <w:bookmarkEnd w:id="1196"/>
      <w:bookmarkEnd w:id="1197"/>
      <w:bookmarkEnd w:id="1198"/>
      <w:bookmarkEnd w:id="1199"/>
      <w:bookmarkEnd w:id="1200"/>
      <w:bookmarkEnd w:id="1201"/>
      <w:bookmarkEnd w:id="1202"/>
      <w:bookmarkEnd w:id="1203"/>
      <w:bookmarkEnd w:id="1204"/>
      <w:bookmarkEnd w:id="1205"/>
      <w:bookmarkEnd w:id="1206"/>
      <w:r>
        <w:rPr>
          <w:noProof/>
        </w:rPr>
        <w:t xml:space="preserve"> </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rsidR="00B60846" w:rsidRDefault="008069FF">
      <w:pPr>
        <w:pStyle w:val="DefaultText"/>
        <w:jc w:val="both"/>
        <w:rPr>
          <w:noProof/>
        </w:rPr>
      </w:pPr>
      <w:r>
        <w:rPr>
          <w:rFonts w:eastAsia="Times New Roman"/>
          <w:noProof/>
          <w:lang w:eastAsia="en-US"/>
        </w:rPr>
        <w:t xml:space="preserve">In line with the Better Regulation Guidelines and Toolbox notably </w:t>
      </w:r>
      <w:r>
        <w:rPr>
          <w:rFonts w:eastAsia="Times New Roman"/>
          <w:noProof/>
          <w:lang w:eastAsia="en-US"/>
        </w:rPr>
        <w:t xml:space="preserve">for “back-to-back evaluations and impact assessments”, </w:t>
      </w:r>
      <w:r>
        <w:rPr>
          <w:noProof/>
        </w:rPr>
        <w:t xml:space="preserve">the Commission carried out a comprehensive consultation based on a </w:t>
      </w:r>
      <w:r>
        <w:rPr>
          <w:rFonts w:eastAsia="Times New Roman"/>
          <w:noProof/>
          <w:lang w:eastAsia="en-US"/>
        </w:rPr>
        <w:t xml:space="preserve">consultation strategy </w:t>
      </w:r>
      <w:r>
        <w:rPr>
          <w:noProof/>
        </w:rPr>
        <w:t xml:space="preserve">that </w:t>
      </w:r>
      <w:r>
        <w:rPr>
          <w:rFonts w:eastAsia="Times New Roman"/>
          <w:noProof/>
          <w:lang w:eastAsia="en-US"/>
        </w:rPr>
        <w:t>include</w:t>
      </w:r>
      <w:r>
        <w:rPr>
          <w:noProof/>
        </w:rPr>
        <w:t>d</w:t>
      </w:r>
      <w:r>
        <w:rPr>
          <w:rFonts w:eastAsia="Times New Roman"/>
          <w:noProof/>
          <w:lang w:eastAsia="en-US"/>
        </w:rPr>
        <w:t xml:space="preserve"> a range of consultation methods and tools that combine</w:t>
      </w:r>
      <w:r>
        <w:rPr>
          <w:noProof/>
        </w:rPr>
        <w:t>d both backward and forward-looking elements</w:t>
      </w:r>
      <w:r>
        <w:rPr>
          <w:noProof/>
        </w:rPr>
        <w:t xml:space="preserve">. The strategy was designed in line with the intervention logic, placing the focus on relevance, effectiveness, efficiency, coherence, and EU value-added of the TEN-E Regulation. </w:t>
      </w:r>
    </w:p>
    <w:p w:rsidR="00B60846" w:rsidRDefault="00B60846">
      <w:pPr>
        <w:pStyle w:val="DefaultText"/>
        <w:jc w:val="both"/>
        <w:rPr>
          <w:noProof/>
        </w:rPr>
      </w:pPr>
    </w:p>
    <w:p w:rsidR="00B60846" w:rsidRDefault="008069FF">
      <w:pPr>
        <w:rPr>
          <w:noProof/>
        </w:rPr>
      </w:pPr>
      <w:r>
        <w:rPr>
          <w:noProof/>
        </w:rPr>
        <w:t>The consultation strategy aimed to ensure that all relevant evidence were t</w:t>
      </w:r>
      <w:r>
        <w:rPr>
          <w:noProof/>
        </w:rPr>
        <w:t>aken into account, including data about costs, about societal impact, and about the potential benefits of the initiative.</w:t>
      </w:r>
    </w:p>
    <w:p w:rsidR="00B60846" w:rsidRDefault="008069FF">
      <w:pPr>
        <w:rPr>
          <w:noProof/>
        </w:rPr>
      </w:pPr>
      <w:r>
        <w:rPr>
          <w:noProof/>
        </w:rPr>
        <w:t>In line with the Better Regulation guidelines, the goal of the stakeholder consultation was:</w:t>
      </w:r>
    </w:p>
    <w:p w:rsidR="00B60846" w:rsidRDefault="008069FF">
      <w:pPr>
        <w:pStyle w:val="ListParagraph"/>
        <w:numPr>
          <w:ilvl w:val="0"/>
          <w:numId w:val="11"/>
        </w:numPr>
        <w:rPr>
          <w:noProof/>
        </w:rPr>
      </w:pPr>
      <w:r>
        <w:rPr>
          <w:noProof/>
        </w:rPr>
        <w:t>To collect views, experience and concrete</w:t>
      </w:r>
      <w:r>
        <w:rPr>
          <w:noProof/>
        </w:rPr>
        <w:t xml:space="preserve"> examples from stakeholders that will illustrate particular opportunities, challenges and impacts resulting from the implementation of the TEN-E Regulation with the view to fill any potential information/data gaps, and facilitate the analysis of the differ</w:t>
      </w:r>
      <w:r>
        <w:rPr>
          <w:noProof/>
        </w:rPr>
        <w:t xml:space="preserve">ent evaluation criteria; </w:t>
      </w:r>
    </w:p>
    <w:p w:rsidR="00B60846" w:rsidRDefault="008069FF">
      <w:pPr>
        <w:pStyle w:val="ListParagraph"/>
        <w:numPr>
          <w:ilvl w:val="0"/>
          <w:numId w:val="10"/>
        </w:numPr>
        <w:rPr>
          <w:noProof/>
        </w:rPr>
      </w:pPr>
      <w:r>
        <w:rPr>
          <w:noProof/>
        </w:rPr>
        <w:t xml:space="preserve">To solicit opinions on the extent to which the TEN-E Regulation is meeting its objectives. </w:t>
      </w:r>
    </w:p>
    <w:p w:rsidR="00B60846" w:rsidRDefault="008069FF">
      <w:pPr>
        <w:pStyle w:val="DefaultText"/>
        <w:jc w:val="both"/>
        <w:rPr>
          <w:noProof/>
        </w:rPr>
      </w:pPr>
      <w:r>
        <w:rPr>
          <w:noProof/>
        </w:rPr>
        <w:t>As a crucial part of the data collection strategy for the evaluation and the forward-looking elements in the impact assessment, a stakehol</w:t>
      </w:r>
      <w:r>
        <w:rPr>
          <w:noProof/>
        </w:rPr>
        <w:t xml:space="preserve">der mapping exercise has been carried out in order to identify and group the main stakeholders that are involved in and affected by TEN-E Regulation. The consultation targeted stakeholders inside the EU, both at national and European level. In force since </w:t>
      </w:r>
      <w:r>
        <w:rPr>
          <w:noProof/>
        </w:rPr>
        <w:t>2013, the current TEN-E Regulation has built an established and well-defined group of stakeholders. However, the exercise has been fine-tuned to tailor the identification of those stakeholders that are less known or active taking also into account new tech</w:t>
      </w:r>
      <w:r>
        <w:rPr>
          <w:noProof/>
        </w:rPr>
        <w:t xml:space="preserve">nological developments or contextual changes that may have triggered increase interest amongst certain stakeholders on the TEN-E Regulation and its revision. </w:t>
      </w:r>
    </w:p>
    <w:p w:rsidR="00B60846" w:rsidRDefault="00B60846">
      <w:pPr>
        <w:pStyle w:val="DefaultText"/>
        <w:jc w:val="both"/>
        <w:rPr>
          <w:noProof/>
        </w:rPr>
      </w:pPr>
    </w:p>
    <w:p w:rsidR="00B60846" w:rsidRDefault="008069FF">
      <w:pPr>
        <w:pStyle w:val="DefaultText"/>
        <w:jc w:val="both"/>
        <w:rPr>
          <w:noProof/>
        </w:rPr>
      </w:pPr>
      <w:r>
        <w:rPr>
          <w:noProof/>
        </w:rPr>
        <w:t>The stakeholders identified have different roles, intervene at different stages and have various</w:t>
      </w:r>
      <w:r>
        <w:rPr>
          <w:noProof/>
        </w:rPr>
        <w:t xml:space="preserve"> levels of interest. Their input has therefore been taken into account into different parts of the evaluation and the preparation of the Impact Assessment. Table 1 outlines the stakeholder categories and includes a brief explanation of the role and relevan</w:t>
      </w:r>
      <w:r>
        <w:rPr>
          <w:noProof/>
        </w:rPr>
        <w:t xml:space="preserve">ce of each group to the consultation. The list ensures a good coverage of all parties affected by the Regulation. </w:t>
      </w:r>
    </w:p>
    <w:p w:rsidR="00B60846" w:rsidRDefault="00B60846">
      <w:pPr>
        <w:pStyle w:val="DefaultText"/>
        <w:jc w:val="both"/>
        <w:rPr>
          <w:noProof/>
        </w:rPr>
      </w:pPr>
    </w:p>
    <w:p w:rsidR="00B60846" w:rsidRDefault="008069FF">
      <w:pPr>
        <w:pStyle w:val="Caption"/>
        <w:rPr>
          <w:noProof/>
        </w:rPr>
      </w:pPr>
      <w:bookmarkStart w:id="1225" w:name="_Ref51165198"/>
      <w:r>
        <w:rPr>
          <w:noProof/>
        </w:rPr>
        <w:t xml:space="preserve">Table </w:t>
      </w:r>
      <w:bookmarkEnd w:id="1225"/>
      <w:r>
        <w:rPr>
          <w:noProof/>
        </w:rPr>
        <w:t>1: Types of stakeholder and their main role and source of relevance in the TEN-E framework</w:t>
      </w:r>
    </w:p>
    <w:tbl>
      <w:tblPr>
        <w:tblStyle w:val="table-style-blauw-100-outline"/>
        <w:tblW w:w="8923" w:type="dxa"/>
        <w:tblLook w:val="04A0" w:firstRow="1" w:lastRow="0" w:firstColumn="1" w:lastColumn="0" w:noHBand="0" w:noVBand="1"/>
      </w:tblPr>
      <w:tblGrid>
        <w:gridCol w:w="2119"/>
        <w:gridCol w:w="6804"/>
      </w:tblGrid>
      <w:tr w:rsidR="00B60846" w:rsidTr="00B60846">
        <w:trPr>
          <w:cnfStyle w:val="100000000000" w:firstRow="1" w:lastRow="0" w:firstColumn="0" w:lastColumn="0" w:oddVBand="0" w:evenVBand="0" w:oddHBand="0" w:evenHBand="0" w:firstRowFirstColumn="0" w:firstRowLastColumn="0" w:lastRowFirstColumn="0" w:lastRowLastColumn="0"/>
          <w:cantSplit/>
          <w:trHeight w:val="510"/>
        </w:trPr>
        <w:tc>
          <w:tcPr>
            <w:tcW w:w="2119" w:type="dxa"/>
          </w:tcPr>
          <w:p w:rsidR="00B60846" w:rsidRDefault="008069FF">
            <w:pPr>
              <w:pStyle w:val="table-text"/>
              <w:rPr>
                <w:noProof/>
                <w:sz w:val="24"/>
              </w:rPr>
            </w:pPr>
            <w:r>
              <w:rPr>
                <w:noProof/>
                <w:sz w:val="24"/>
              </w:rPr>
              <w:t>Type of stakeholder</w:t>
            </w:r>
          </w:p>
        </w:tc>
        <w:tc>
          <w:tcPr>
            <w:tcW w:w="6804" w:type="dxa"/>
          </w:tcPr>
          <w:p w:rsidR="00B60846" w:rsidRDefault="008069FF">
            <w:pPr>
              <w:pStyle w:val="table-text"/>
              <w:rPr>
                <w:noProof/>
                <w:sz w:val="24"/>
                <w:lang w:val="en-US"/>
              </w:rPr>
            </w:pPr>
            <w:r>
              <w:rPr>
                <w:noProof/>
                <w:sz w:val="24"/>
                <w:lang w:val="en-US"/>
              </w:rPr>
              <w:t>Main role and source of</w:t>
            </w:r>
            <w:r>
              <w:rPr>
                <w:noProof/>
                <w:sz w:val="24"/>
                <w:lang w:val="en-US"/>
              </w:rPr>
              <w:t xml:space="preserve"> relevance in the TEN-E policy area</w:t>
            </w:r>
          </w:p>
        </w:tc>
      </w:tr>
      <w:tr w:rsidR="00B60846" w:rsidTr="00B60846">
        <w:trPr>
          <w:cnfStyle w:val="000000100000" w:firstRow="0" w:lastRow="0" w:firstColumn="0" w:lastColumn="0" w:oddVBand="0" w:evenVBand="0" w:oddHBand="1" w:evenHBand="0" w:firstRowFirstColumn="0" w:firstRowLastColumn="0" w:lastRowFirstColumn="0" w:lastRowLastColumn="0"/>
          <w:trHeight w:val="142"/>
        </w:trPr>
        <w:tc>
          <w:tcPr>
            <w:tcW w:w="2119" w:type="dxa"/>
          </w:tcPr>
          <w:p w:rsidR="00B60846" w:rsidRDefault="008069FF">
            <w:pPr>
              <w:pStyle w:val="table-text"/>
              <w:rPr>
                <w:noProof/>
                <w:sz w:val="24"/>
              </w:rPr>
            </w:pPr>
            <w:r>
              <w:rPr>
                <w:noProof/>
                <w:sz w:val="24"/>
              </w:rPr>
              <w:t>EU consumers and EU citizens</w:t>
            </w:r>
          </w:p>
        </w:tc>
        <w:tc>
          <w:tcPr>
            <w:tcW w:w="6804" w:type="dxa"/>
          </w:tcPr>
          <w:p w:rsidR="00B60846" w:rsidRDefault="008069FF">
            <w:pPr>
              <w:pStyle w:val="table-text"/>
              <w:jc w:val="both"/>
              <w:rPr>
                <w:noProof/>
                <w:sz w:val="24"/>
                <w:lang w:val="en-US"/>
              </w:rPr>
            </w:pPr>
            <w:r>
              <w:rPr>
                <w:noProof/>
                <w:sz w:val="24"/>
                <w:lang w:val="en-US"/>
              </w:rPr>
              <w:t>EU consumers (both citizens and organized civil society) are key stakeholders for the success of the energy transition and the enabling role of the energy infrastructure policy. Aside from the information on direct benefits and costs resulting from the act</w:t>
            </w:r>
            <w:r>
              <w:rPr>
                <w:noProof/>
                <w:sz w:val="24"/>
                <w:lang w:val="en-US"/>
              </w:rPr>
              <w:t>ual implementation of an infrastructure project, citizens and consumers can offer insight on the burden of the overall functioning of the market and specific expectations regarding the implementation of projects and final energy price for electricity and g</w:t>
            </w:r>
            <w:r>
              <w:rPr>
                <w:noProof/>
                <w:sz w:val="24"/>
                <w:lang w:val="en-US"/>
              </w:rPr>
              <w:t xml:space="preserve">as. </w:t>
            </w:r>
          </w:p>
        </w:tc>
      </w:tr>
      <w:tr w:rsidR="00B60846" w:rsidTr="00B60846">
        <w:trPr>
          <w:cnfStyle w:val="000000010000" w:firstRow="0" w:lastRow="0" w:firstColumn="0" w:lastColumn="0" w:oddVBand="0" w:evenVBand="0" w:oddHBand="0" w:evenHBand="1" w:firstRowFirstColumn="0" w:firstRowLastColumn="0" w:lastRowFirstColumn="0" w:lastRowLastColumn="0"/>
          <w:trHeight w:val="142"/>
        </w:trPr>
        <w:tc>
          <w:tcPr>
            <w:tcW w:w="2119" w:type="dxa"/>
          </w:tcPr>
          <w:p w:rsidR="00B60846" w:rsidRDefault="008069FF">
            <w:pPr>
              <w:pStyle w:val="table-text"/>
              <w:rPr>
                <w:noProof/>
                <w:sz w:val="24"/>
              </w:rPr>
            </w:pPr>
            <w:r>
              <w:rPr>
                <w:noProof/>
                <w:sz w:val="24"/>
              </w:rPr>
              <w:t>Non-governmental organisations</w:t>
            </w:r>
          </w:p>
        </w:tc>
        <w:tc>
          <w:tcPr>
            <w:tcW w:w="6804" w:type="dxa"/>
          </w:tcPr>
          <w:p w:rsidR="00B60846" w:rsidRDefault="008069FF">
            <w:pPr>
              <w:pStyle w:val="table-text"/>
              <w:jc w:val="both"/>
              <w:rPr>
                <w:noProof/>
                <w:sz w:val="24"/>
                <w:lang w:val="en-US"/>
              </w:rPr>
            </w:pPr>
            <w:r>
              <w:rPr>
                <w:noProof/>
                <w:sz w:val="24"/>
                <w:lang w:val="en-US"/>
              </w:rPr>
              <w:t xml:space="preserve">NGOs are relevant representative bodies that, within the context of the TEN-E Regulation, generally provide additional views on environmental values and targets. Contact with NGOs will provide a better understanding of </w:t>
            </w:r>
            <w:r>
              <w:rPr>
                <w:noProof/>
                <w:sz w:val="24"/>
                <w:lang w:val="en-US"/>
              </w:rPr>
              <w:t>the environmental impacts and relevance of the different policy scenarios.</w:t>
            </w:r>
          </w:p>
        </w:tc>
      </w:tr>
      <w:tr w:rsidR="00B60846" w:rsidTr="00B60846">
        <w:trPr>
          <w:cnfStyle w:val="000000100000" w:firstRow="0" w:lastRow="0" w:firstColumn="0" w:lastColumn="0" w:oddVBand="0" w:evenVBand="0" w:oddHBand="1" w:evenHBand="0" w:firstRowFirstColumn="0" w:firstRowLastColumn="0" w:lastRowFirstColumn="0" w:lastRowLastColumn="0"/>
          <w:trHeight w:val="142"/>
        </w:trPr>
        <w:tc>
          <w:tcPr>
            <w:tcW w:w="2119" w:type="dxa"/>
          </w:tcPr>
          <w:p w:rsidR="00B60846" w:rsidRDefault="008069FF">
            <w:pPr>
              <w:pStyle w:val="table-text"/>
              <w:rPr>
                <w:noProof/>
                <w:sz w:val="24"/>
                <w:lang w:val="en-US"/>
              </w:rPr>
            </w:pPr>
            <w:r>
              <w:rPr>
                <w:noProof/>
                <w:sz w:val="24"/>
                <w:lang w:val="en-US"/>
              </w:rPr>
              <w:t>Services in the European Commission and agencies</w:t>
            </w:r>
          </w:p>
          <w:p w:rsidR="00B60846" w:rsidRDefault="00B60846">
            <w:pPr>
              <w:pStyle w:val="table-text"/>
              <w:rPr>
                <w:noProof/>
                <w:sz w:val="24"/>
                <w:lang w:val="en-US"/>
              </w:rPr>
            </w:pPr>
          </w:p>
        </w:tc>
        <w:tc>
          <w:tcPr>
            <w:tcW w:w="6804" w:type="dxa"/>
          </w:tcPr>
          <w:p w:rsidR="00B60846" w:rsidRDefault="008069FF">
            <w:pPr>
              <w:pStyle w:val="table-text"/>
              <w:rPr>
                <w:noProof/>
                <w:sz w:val="24"/>
                <w:lang w:val="en-US"/>
              </w:rPr>
            </w:pPr>
            <w:r>
              <w:rPr>
                <w:noProof/>
                <w:sz w:val="24"/>
                <w:lang w:val="en-US"/>
              </w:rPr>
              <w:t>DG ENER, DG ENV, DG CLIMA, DG CNECT and DG REGIO as well as INEA are main points of contacts for policy initiatives directly relev</w:t>
            </w:r>
            <w:r>
              <w:rPr>
                <w:noProof/>
                <w:sz w:val="24"/>
                <w:lang w:val="en-US"/>
              </w:rPr>
              <w:t>ant for the implementation of the TEN-E Regulation.</w:t>
            </w:r>
          </w:p>
        </w:tc>
      </w:tr>
      <w:tr w:rsidR="00B60846" w:rsidTr="00B60846">
        <w:trPr>
          <w:cnfStyle w:val="000000010000" w:firstRow="0" w:lastRow="0" w:firstColumn="0" w:lastColumn="0" w:oddVBand="0" w:evenVBand="0" w:oddHBand="0" w:evenHBand="1" w:firstRowFirstColumn="0" w:firstRowLastColumn="0" w:lastRowFirstColumn="0" w:lastRowLastColumn="0"/>
          <w:trHeight w:val="142"/>
        </w:trPr>
        <w:tc>
          <w:tcPr>
            <w:tcW w:w="2119" w:type="dxa"/>
          </w:tcPr>
          <w:p w:rsidR="00B60846" w:rsidRDefault="008069FF">
            <w:pPr>
              <w:pStyle w:val="table-text"/>
              <w:rPr>
                <w:noProof/>
                <w:sz w:val="24"/>
              </w:rPr>
            </w:pPr>
            <w:r>
              <w:rPr>
                <w:noProof/>
                <w:sz w:val="24"/>
              </w:rPr>
              <w:t>European Parliament</w:t>
            </w:r>
          </w:p>
        </w:tc>
        <w:tc>
          <w:tcPr>
            <w:tcW w:w="6804" w:type="dxa"/>
          </w:tcPr>
          <w:p w:rsidR="00B60846" w:rsidRDefault="008069FF">
            <w:pPr>
              <w:pStyle w:val="table-text"/>
              <w:jc w:val="both"/>
              <w:rPr>
                <w:noProof/>
                <w:sz w:val="24"/>
                <w:lang w:val="en-US"/>
              </w:rPr>
            </w:pPr>
            <w:r>
              <w:rPr>
                <w:noProof/>
                <w:sz w:val="24"/>
                <w:lang w:val="en-US"/>
              </w:rPr>
              <w:t>In line with Inter-institutional agreements and commitments made by the Commission to this end, the Parliament will be closely informed of the stages of the revision of the TEN-E Regu</w:t>
            </w:r>
            <w:r>
              <w:rPr>
                <w:noProof/>
                <w:sz w:val="24"/>
                <w:lang w:val="en-US"/>
              </w:rPr>
              <w:t>lation.</w:t>
            </w:r>
          </w:p>
        </w:tc>
      </w:tr>
      <w:tr w:rsidR="00B60846" w:rsidTr="00B60846">
        <w:trPr>
          <w:cnfStyle w:val="000000100000" w:firstRow="0" w:lastRow="0" w:firstColumn="0" w:lastColumn="0" w:oddVBand="0" w:evenVBand="0" w:oddHBand="1" w:evenHBand="0" w:firstRowFirstColumn="0" w:firstRowLastColumn="0" w:lastRowFirstColumn="0" w:lastRowLastColumn="0"/>
          <w:trHeight w:val="142"/>
        </w:trPr>
        <w:tc>
          <w:tcPr>
            <w:tcW w:w="2119" w:type="dxa"/>
          </w:tcPr>
          <w:p w:rsidR="00B60846" w:rsidRDefault="008069FF">
            <w:pPr>
              <w:pStyle w:val="table-text"/>
              <w:rPr>
                <w:noProof/>
                <w:sz w:val="24"/>
              </w:rPr>
            </w:pPr>
            <w:r>
              <w:rPr>
                <w:noProof/>
                <w:sz w:val="24"/>
              </w:rPr>
              <w:t>European Union Regulators</w:t>
            </w:r>
          </w:p>
        </w:tc>
        <w:tc>
          <w:tcPr>
            <w:tcW w:w="6804" w:type="dxa"/>
          </w:tcPr>
          <w:p w:rsidR="00B60846" w:rsidRDefault="008069FF">
            <w:pPr>
              <w:pStyle w:val="table-text"/>
              <w:jc w:val="both"/>
              <w:rPr>
                <w:noProof/>
                <w:sz w:val="24"/>
                <w:lang w:val="en-US"/>
              </w:rPr>
            </w:pPr>
            <w:r>
              <w:rPr>
                <w:noProof/>
                <w:sz w:val="24"/>
                <w:lang w:val="en-US"/>
              </w:rPr>
              <w:t xml:space="preserve">The Agency for the Cooperation of Energy Regulators (ACER) is responsible and/or involved in various tasks under the TEN-E Regulation. </w:t>
            </w:r>
          </w:p>
        </w:tc>
      </w:tr>
      <w:tr w:rsidR="00B60846" w:rsidTr="00B60846">
        <w:trPr>
          <w:cnfStyle w:val="000000010000" w:firstRow="0" w:lastRow="0" w:firstColumn="0" w:lastColumn="0" w:oddVBand="0" w:evenVBand="0" w:oddHBand="0" w:evenHBand="1" w:firstRowFirstColumn="0" w:firstRowLastColumn="0" w:lastRowFirstColumn="0" w:lastRowLastColumn="0"/>
          <w:trHeight w:val="142"/>
        </w:trPr>
        <w:tc>
          <w:tcPr>
            <w:tcW w:w="2119" w:type="dxa"/>
          </w:tcPr>
          <w:p w:rsidR="00B60846" w:rsidRDefault="008069FF">
            <w:pPr>
              <w:pStyle w:val="table-text"/>
              <w:rPr>
                <w:noProof/>
                <w:sz w:val="24"/>
              </w:rPr>
            </w:pPr>
            <w:r>
              <w:rPr>
                <w:noProof/>
                <w:sz w:val="24"/>
              </w:rPr>
              <w:t>National Regulatory Authorities</w:t>
            </w:r>
          </w:p>
        </w:tc>
        <w:tc>
          <w:tcPr>
            <w:tcW w:w="6804" w:type="dxa"/>
          </w:tcPr>
          <w:p w:rsidR="00B60846" w:rsidRDefault="008069FF">
            <w:pPr>
              <w:pStyle w:val="table-text"/>
              <w:jc w:val="both"/>
              <w:rPr>
                <w:noProof/>
                <w:sz w:val="24"/>
                <w:lang w:val="en-US"/>
              </w:rPr>
            </w:pPr>
            <w:r>
              <w:rPr>
                <w:noProof/>
                <w:sz w:val="24"/>
                <w:lang w:val="en-US"/>
              </w:rPr>
              <w:t xml:space="preserve">National regulators (NRAs) are authorised official </w:t>
            </w:r>
            <w:r>
              <w:rPr>
                <w:noProof/>
                <w:sz w:val="24"/>
                <w:lang w:val="en-US"/>
              </w:rPr>
              <w:t xml:space="preserve">public bodies established in most EU Member States with a common aim to exercise regulatory power on specific policy areas. Today, the European Union has energy rules set at the European level, but in practice it has 27 national regulatory frameworks. The </w:t>
            </w:r>
            <w:r>
              <w:rPr>
                <w:noProof/>
                <w:sz w:val="24"/>
                <w:lang w:val="en-US"/>
              </w:rPr>
              <w:t>relevant NRAs of each country are found in the Board of regulators of ACER. NRAs are significant stakeholders in the establishment of the Energy Union and for the implementation of the TEN-E Regulation.</w:t>
            </w:r>
          </w:p>
        </w:tc>
      </w:tr>
      <w:tr w:rsidR="00B60846" w:rsidTr="00B60846">
        <w:trPr>
          <w:cnfStyle w:val="000000100000" w:firstRow="0" w:lastRow="0" w:firstColumn="0" w:lastColumn="0" w:oddVBand="0" w:evenVBand="0" w:oddHBand="1" w:evenHBand="0" w:firstRowFirstColumn="0" w:firstRowLastColumn="0" w:lastRowFirstColumn="0" w:lastRowLastColumn="0"/>
          <w:trHeight w:val="260"/>
        </w:trPr>
        <w:tc>
          <w:tcPr>
            <w:tcW w:w="2119" w:type="dxa"/>
          </w:tcPr>
          <w:p w:rsidR="00B60846" w:rsidRDefault="008069FF">
            <w:pPr>
              <w:pStyle w:val="table-text"/>
              <w:rPr>
                <w:noProof/>
                <w:sz w:val="24"/>
                <w:lang w:val="en-US"/>
              </w:rPr>
            </w:pPr>
            <w:r>
              <w:rPr>
                <w:noProof/>
                <w:sz w:val="24"/>
                <w:lang w:val="en-US"/>
              </w:rPr>
              <w:t>National Competent Authorities and their local and r</w:t>
            </w:r>
            <w:r>
              <w:rPr>
                <w:noProof/>
                <w:sz w:val="24"/>
                <w:lang w:val="en-US"/>
              </w:rPr>
              <w:t>egional representatives (i.e. Ministries and outermost regions)</w:t>
            </w:r>
          </w:p>
        </w:tc>
        <w:tc>
          <w:tcPr>
            <w:tcW w:w="6804" w:type="dxa"/>
          </w:tcPr>
          <w:p w:rsidR="00B60846" w:rsidRDefault="008069FF">
            <w:pPr>
              <w:pStyle w:val="table-text"/>
              <w:jc w:val="both"/>
              <w:rPr>
                <w:noProof/>
                <w:sz w:val="24"/>
                <w:lang w:val="en-US"/>
              </w:rPr>
            </w:pPr>
            <w:r>
              <w:rPr>
                <w:noProof/>
                <w:sz w:val="24"/>
                <w:lang w:val="en-US"/>
              </w:rPr>
              <w:t>The Ministries and outermost regions are the institutions and agencies competent for enforcing EU regulations. In each Member State, there is at least one Ministry responsible for implementing</w:t>
            </w:r>
            <w:r>
              <w:rPr>
                <w:noProof/>
                <w:sz w:val="24"/>
                <w:lang w:val="en-US"/>
              </w:rPr>
              <w:t xml:space="preserve"> and enforcing the TEN-E Regulation. </w:t>
            </w:r>
          </w:p>
        </w:tc>
      </w:tr>
      <w:tr w:rsidR="00B60846" w:rsidTr="00B60846">
        <w:trPr>
          <w:cnfStyle w:val="000000010000" w:firstRow="0" w:lastRow="0" w:firstColumn="0" w:lastColumn="0" w:oddVBand="0" w:evenVBand="0" w:oddHBand="0" w:evenHBand="1" w:firstRowFirstColumn="0" w:firstRowLastColumn="0" w:lastRowFirstColumn="0" w:lastRowLastColumn="0"/>
          <w:trHeight w:val="260"/>
        </w:trPr>
        <w:tc>
          <w:tcPr>
            <w:tcW w:w="2119" w:type="dxa"/>
          </w:tcPr>
          <w:p w:rsidR="00B60846" w:rsidRDefault="008069FF">
            <w:pPr>
              <w:pStyle w:val="table-text"/>
              <w:rPr>
                <w:noProof/>
                <w:sz w:val="24"/>
                <w:lang w:val="en-US"/>
              </w:rPr>
            </w:pPr>
            <w:r>
              <w:rPr>
                <w:noProof/>
                <w:sz w:val="24"/>
                <w:lang w:val="en-US"/>
              </w:rPr>
              <w:t>European TSO (ENTSO-E and ENTSO-G)/DSO branch organisations</w:t>
            </w:r>
          </w:p>
        </w:tc>
        <w:tc>
          <w:tcPr>
            <w:tcW w:w="6804" w:type="dxa"/>
          </w:tcPr>
          <w:p w:rsidR="00B60846" w:rsidRDefault="008069FF">
            <w:pPr>
              <w:pStyle w:val="table-text"/>
              <w:jc w:val="both"/>
              <w:rPr>
                <w:noProof/>
                <w:sz w:val="24"/>
                <w:lang w:val="en-US"/>
              </w:rPr>
            </w:pPr>
            <w:r>
              <w:rPr>
                <w:noProof/>
                <w:sz w:val="24"/>
                <w:lang w:val="en-US"/>
              </w:rPr>
              <w:t>National TSOs and DSOs are represented by branch organisations at European level, such as ENTSO-E (Electricity), ENSO-G (Gas) and DSO Organisations (E.DSO fo</w:t>
            </w:r>
            <w:r>
              <w:rPr>
                <w:noProof/>
                <w:sz w:val="24"/>
                <w:lang w:val="en-US"/>
              </w:rPr>
              <w:t>r Smart Grids, Eurelectric, CEDEC, GEODE, Eurogas). These branch organisations will help gaining valuable insights concerning the implications and desires for the TEN-E Regulation and evaluation.</w:t>
            </w:r>
          </w:p>
        </w:tc>
      </w:tr>
      <w:tr w:rsidR="00B60846" w:rsidTr="00B60846">
        <w:trPr>
          <w:cnfStyle w:val="000000100000" w:firstRow="0" w:lastRow="0" w:firstColumn="0" w:lastColumn="0" w:oddVBand="0" w:evenVBand="0" w:oddHBand="1" w:evenHBand="0" w:firstRowFirstColumn="0" w:firstRowLastColumn="0" w:lastRowFirstColumn="0" w:lastRowLastColumn="0"/>
          <w:trHeight w:val="260"/>
        </w:trPr>
        <w:tc>
          <w:tcPr>
            <w:tcW w:w="2119" w:type="dxa"/>
          </w:tcPr>
          <w:p w:rsidR="00B60846" w:rsidRDefault="008069FF">
            <w:pPr>
              <w:pStyle w:val="table-text"/>
              <w:rPr>
                <w:noProof/>
                <w:sz w:val="24"/>
                <w:lang w:val="en-US"/>
              </w:rPr>
            </w:pPr>
            <w:r>
              <w:rPr>
                <w:noProof/>
                <w:sz w:val="24"/>
                <w:lang w:val="en-US"/>
              </w:rPr>
              <w:t>Project promoters, including Transmission System Operators</w:t>
            </w:r>
          </w:p>
        </w:tc>
        <w:tc>
          <w:tcPr>
            <w:tcW w:w="6804" w:type="dxa"/>
          </w:tcPr>
          <w:p w:rsidR="00B60846" w:rsidRDefault="008069FF">
            <w:pPr>
              <w:pStyle w:val="table-text"/>
              <w:rPr>
                <w:noProof/>
                <w:sz w:val="24"/>
                <w:lang w:val="en-US"/>
              </w:rPr>
            </w:pPr>
            <w:r>
              <w:rPr>
                <w:noProof/>
                <w:sz w:val="24"/>
                <w:lang w:val="en-US"/>
              </w:rPr>
              <w:t xml:space="preserve">National companies operating electricity and gas networks and project promoters are responsible for the implementation of PCIs. </w:t>
            </w:r>
          </w:p>
          <w:p w:rsidR="00B60846" w:rsidRDefault="00B60846">
            <w:pPr>
              <w:pStyle w:val="table-text"/>
              <w:rPr>
                <w:noProof/>
                <w:sz w:val="24"/>
                <w:lang w:val="en-US"/>
              </w:rPr>
            </w:pPr>
          </w:p>
        </w:tc>
      </w:tr>
      <w:tr w:rsidR="00B60846" w:rsidTr="00B60846">
        <w:trPr>
          <w:cnfStyle w:val="000000010000" w:firstRow="0" w:lastRow="0" w:firstColumn="0" w:lastColumn="0" w:oddVBand="0" w:evenVBand="0" w:oddHBand="0" w:evenHBand="1" w:firstRowFirstColumn="0" w:firstRowLastColumn="0" w:lastRowFirstColumn="0" w:lastRowLastColumn="0"/>
          <w:trHeight w:val="260"/>
        </w:trPr>
        <w:tc>
          <w:tcPr>
            <w:tcW w:w="2119" w:type="dxa"/>
          </w:tcPr>
          <w:p w:rsidR="00B60846" w:rsidRDefault="008069FF">
            <w:pPr>
              <w:pStyle w:val="table-text"/>
              <w:rPr>
                <w:noProof/>
                <w:sz w:val="24"/>
              </w:rPr>
            </w:pPr>
            <w:r>
              <w:rPr>
                <w:noProof/>
                <w:sz w:val="24"/>
              </w:rPr>
              <w:t>Energy producers / Industry</w:t>
            </w:r>
          </w:p>
        </w:tc>
        <w:tc>
          <w:tcPr>
            <w:tcW w:w="6804" w:type="dxa"/>
          </w:tcPr>
          <w:p w:rsidR="00B60846" w:rsidRDefault="008069FF">
            <w:pPr>
              <w:pStyle w:val="table-text"/>
              <w:rPr>
                <w:noProof/>
                <w:sz w:val="24"/>
                <w:lang w:val="en-US"/>
              </w:rPr>
            </w:pPr>
            <w:r>
              <w:rPr>
                <w:noProof/>
                <w:sz w:val="24"/>
                <w:lang w:val="en-US"/>
              </w:rPr>
              <w:t xml:space="preserve">Other important parties that are affected by the TEN-E Regulation are energy producers and </w:t>
            </w:r>
            <w:r>
              <w:rPr>
                <w:noProof/>
                <w:sz w:val="24"/>
                <w:lang w:val="en-US"/>
              </w:rPr>
              <w:t>(large) industry parties, including ICT companies as well as the offshore renewable energy sector. This also includes industry and its associations representing the hydrogen and CCSU sectors.</w:t>
            </w:r>
          </w:p>
        </w:tc>
      </w:tr>
      <w:tr w:rsidR="00B60846" w:rsidTr="00B60846">
        <w:trPr>
          <w:cnfStyle w:val="000000100000" w:firstRow="0" w:lastRow="0" w:firstColumn="0" w:lastColumn="0" w:oddVBand="0" w:evenVBand="0" w:oddHBand="1" w:evenHBand="0" w:firstRowFirstColumn="0" w:firstRowLastColumn="0" w:lastRowFirstColumn="0" w:lastRowLastColumn="0"/>
          <w:trHeight w:val="142"/>
        </w:trPr>
        <w:tc>
          <w:tcPr>
            <w:tcW w:w="2119" w:type="dxa"/>
          </w:tcPr>
          <w:p w:rsidR="00B60846" w:rsidRDefault="008069FF">
            <w:pPr>
              <w:pStyle w:val="table-text"/>
              <w:rPr>
                <w:noProof/>
                <w:sz w:val="24"/>
              </w:rPr>
            </w:pPr>
            <w:r>
              <w:rPr>
                <w:noProof/>
                <w:sz w:val="24"/>
              </w:rPr>
              <w:t>Academics and thematic experts</w:t>
            </w:r>
          </w:p>
        </w:tc>
        <w:tc>
          <w:tcPr>
            <w:tcW w:w="6804" w:type="dxa"/>
          </w:tcPr>
          <w:p w:rsidR="00B60846" w:rsidRDefault="008069FF">
            <w:pPr>
              <w:pStyle w:val="table-text"/>
              <w:rPr>
                <w:noProof/>
                <w:sz w:val="24"/>
                <w:lang w:val="en-US"/>
              </w:rPr>
            </w:pPr>
            <w:r>
              <w:rPr>
                <w:noProof/>
                <w:sz w:val="24"/>
                <w:lang w:val="en-US"/>
              </w:rPr>
              <w:t>Key contacts for a better unders</w:t>
            </w:r>
            <w:r>
              <w:rPr>
                <w:noProof/>
                <w:sz w:val="24"/>
                <w:lang w:val="en-US"/>
              </w:rPr>
              <w:t>tanding of the interconnected European energy grid and assessing the different policy scenarios. This group also includes legal experts, which are relevant contacts for data collection in order to prevent the different policy scenarios and get a better und</w:t>
            </w:r>
            <w:r>
              <w:rPr>
                <w:noProof/>
                <w:sz w:val="24"/>
                <w:lang w:val="en-US"/>
              </w:rPr>
              <w:t xml:space="preserve">erstanding of the legal framework of the Energy Union scheme. </w:t>
            </w:r>
          </w:p>
        </w:tc>
      </w:tr>
    </w:tbl>
    <w:p w:rsidR="00B60846" w:rsidRDefault="00B60846">
      <w:pPr>
        <w:rPr>
          <w:noProof/>
        </w:rPr>
      </w:pPr>
    </w:p>
    <w:p w:rsidR="00B60846" w:rsidRDefault="008069FF">
      <w:pPr>
        <w:pStyle w:val="DefaultText"/>
        <w:jc w:val="both"/>
        <w:rPr>
          <w:noProof/>
        </w:rPr>
      </w:pPr>
      <w:r>
        <w:rPr>
          <w:noProof/>
        </w:rPr>
        <w:t xml:space="preserve">The consultation strategy included a combination of consultation methods (i.e. open/targeted) and tools to provide well-reasoned responses and generate the information and evidence necessary </w:t>
      </w:r>
      <w:r>
        <w:rPr>
          <w:noProof/>
        </w:rPr>
        <w:t xml:space="preserve">to respond to the evaluation questions and inform forward-looking elements in the policy preparation. </w:t>
      </w:r>
    </w:p>
    <w:p w:rsidR="00B60846" w:rsidRDefault="00B60846">
      <w:pPr>
        <w:pStyle w:val="DefaultText"/>
        <w:jc w:val="both"/>
        <w:rPr>
          <w:noProof/>
        </w:rPr>
      </w:pPr>
    </w:p>
    <w:p w:rsidR="00B60846" w:rsidRDefault="008069FF">
      <w:pPr>
        <w:pStyle w:val="DefaultText"/>
        <w:jc w:val="both"/>
        <w:rPr>
          <w:noProof/>
        </w:rPr>
      </w:pPr>
      <w:r>
        <w:rPr>
          <w:noProof/>
        </w:rPr>
        <w:t>In particular, several consultation tools were employed to generate a wealth of information and collect views on several aspects of the TEN-E Regulation</w:t>
      </w:r>
      <w:r>
        <w:rPr>
          <w:noProof/>
        </w:rPr>
        <w:t xml:space="preserve">, its implementation, enforcement, and effects. These include: </w:t>
      </w:r>
    </w:p>
    <w:p w:rsidR="00B60846" w:rsidRDefault="008069FF">
      <w:pPr>
        <w:pStyle w:val="list-bullet-color"/>
        <w:numPr>
          <w:ilvl w:val="0"/>
          <w:numId w:val="9"/>
        </w:numPr>
        <w:jc w:val="both"/>
        <w:rPr>
          <w:noProof/>
        </w:rPr>
      </w:pPr>
      <w:r>
        <w:rPr>
          <w:noProof/>
        </w:rPr>
        <w:t>Online Public Consultation;</w:t>
      </w:r>
    </w:p>
    <w:p w:rsidR="00B60846" w:rsidRDefault="008069FF">
      <w:pPr>
        <w:pStyle w:val="list-bullet-color"/>
        <w:numPr>
          <w:ilvl w:val="0"/>
          <w:numId w:val="9"/>
        </w:numPr>
        <w:jc w:val="both"/>
        <w:rPr>
          <w:noProof/>
        </w:rPr>
      </w:pPr>
      <w:r>
        <w:rPr>
          <w:noProof/>
        </w:rPr>
        <w:t>Targeted online survey;</w:t>
      </w:r>
    </w:p>
    <w:p w:rsidR="00B60846" w:rsidRDefault="008069FF">
      <w:pPr>
        <w:pStyle w:val="list-bullet-color"/>
        <w:numPr>
          <w:ilvl w:val="0"/>
          <w:numId w:val="9"/>
        </w:numPr>
        <w:jc w:val="both"/>
        <w:rPr>
          <w:noProof/>
        </w:rPr>
      </w:pPr>
      <w:r>
        <w:rPr>
          <w:noProof/>
        </w:rPr>
        <w:t>In-depth interviews;</w:t>
      </w:r>
    </w:p>
    <w:p w:rsidR="00B60846" w:rsidRDefault="008069FF">
      <w:pPr>
        <w:pStyle w:val="list-bullet-color"/>
        <w:numPr>
          <w:ilvl w:val="0"/>
          <w:numId w:val="9"/>
        </w:numPr>
        <w:jc w:val="both"/>
        <w:rPr>
          <w:noProof/>
        </w:rPr>
      </w:pPr>
      <w:r>
        <w:rPr>
          <w:noProof/>
        </w:rPr>
        <w:t>(Four) online stakeholder webinars.</w:t>
      </w:r>
    </w:p>
    <w:p w:rsidR="00B60846" w:rsidRDefault="00B60846">
      <w:pPr>
        <w:pStyle w:val="DefaultText"/>
        <w:rPr>
          <w:noProof/>
          <w:szCs w:val="18"/>
        </w:rPr>
      </w:pPr>
    </w:p>
    <w:p w:rsidR="00B60846" w:rsidRDefault="008069FF">
      <w:pPr>
        <w:pStyle w:val="Caption"/>
        <w:jc w:val="both"/>
        <w:rPr>
          <w:b w:val="0"/>
          <w:noProof/>
          <w:sz w:val="24"/>
          <w:szCs w:val="24"/>
        </w:rPr>
      </w:pPr>
      <w:r>
        <w:rPr>
          <w:b w:val="0"/>
          <w:noProof/>
          <w:sz w:val="24"/>
          <w:szCs w:val="24"/>
        </w:rPr>
        <w:t xml:space="preserve">A clear delineation has be established between the various consultation tools to best address the target groups and avoid stakeholder fatigue. </w:t>
      </w:r>
    </w:p>
    <w:p w:rsidR="00B60846" w:rsidRDefault="008069FF">
      <w:pPr>
        <w:rPr>
          <w:rFonts w:eastAsia="Arial"/>
          <w:noProof/>
        </w:rPr>
      </w:pPr>
      <w:r>
        <w:rPr>
          <w:noProof/>
        </w:rPr>
        <w:t xml:space="preserve">An </w:t>
      </w:r>
      <w:r>
        <w:rPr>
          <w:b/>
          <w:bCs/>
          <w:noProof/>
        </w:rPr>
        <w:t>online public consultation (OPC)</w:t>
      </w:r>
      <w:r>
        <w:rPr>
          <w:noProof/>
        </w:rPr>
        <w:t xml:space="preserve"> open from 18 May to 13 July 2020 (midnight Brussels time) provided the oppor</w:t>
      </w:r>
      <w:r>
        <w:rPr>
          <w:noProof/>
        </w:rPr>
        <w:t>tunity to anyone interested in the evaluation and revision of the TEN-E Regulation to contribute. EU Survey was used to manage the OPC. The questionnaire was available in 23 of the official languages of the EU. It was addressed to mainly to citizens and or</w:t>
      </w:r>
      <w:r>
        <w:rPr>
          <w:noProof/>
        </w:rPr>
        <w:t>ganisations (e.g. NGOs, local government, local communities, companies and industry associations) that have no specialist knowledge of the TEN-E Regulation. This was reflected in the number, structure and wording of the questionnaire. The questions were li</w:t>
      </w:r>
      <w:r>
        <w:rPr>
          <w:noProof/>
        </w:rPr>
        <w:t xml:space="preserve">mited, simple, easy to answer, and included sufficient contextual information to guide the contributor. Moreover, the questionnaire for the open public consultation did not cover all evaluation criteria, but rather non-technical elements on which citizens </w:t>
      </w:r>
      <w:r>
        <w:rPr>
          <w:noProof/>
        </w:rPr>
        <w:t xml:space="preserve">and the general public can share their views. The questions in the open public consultation aimed to identify the relevance of the TEN-E regulation in terms of its </w:t>
      </w:r>
      <w:r>
        <w:rPr>
          <w:rFonts w:eastAsia="Arial"/>
          <w:noProof/>
          <w:lang w:eastAsia="nl-NL"/>
        </w:rPr>
        <w:t>objectives, infrastructure categories, and the PCI features the general public deemed most i</w:t>
      </w:r>
      <w:r>
        <w:rPr>
          <w:rFonts w:eastAsia="Arial"/>
          <w:noProof/>
          <w:lang w:eastAsia="nl-NL"/>
        </w:rPr>
        <w:t xml:space="preserve">mportant.  </w:t>
      </w:r>
      <w:r>
        <w:rPr>
          <w:noProof/>
        </w:rPr>
        <w:t>Contributors with specialist knowledge of the TEN-E Regulation (e.g. as a professional for a national competent / regulatory authority, TSO, DSO, company project promoter, energy producer, NGO with specific knowledge on the subject) were invited</w:t>
      </w:r>
      <w:r>
        <w:rPr>
          <w:noProof/>
        </w:rPr>
        <w:t xml:space="preserve"> to fill in a targeted survey. The online public consultation was be accessible on the Commission's Have your say website</w:t>
      </w:r>
      <w:r>
        <w:rPr>
          <w:rStyle w:val="FootnoteReference"/>
          <w:noProof/>
        </w:rPr>
        <w:footnoteReference w:id="138"/>
      </w:r>
      <w:r>
        <w:rPr>
          <w:noProof/>
        </w:rPr>
        <w:t>, including links to background documents and to relevant webpages, such as the ones dedicated to the TEN-E policy and the European Gr</w:t>
      </w:r>
      <w:r>
        <w:rPr>
          <w:noProof/>
        </w:rPr>
        <w:t xml:space="preserve">een Deal. </w:t>
      </w:r>
    </w:p>
    <w:p w:rsidR="00B60846" w:rsidRDefault="008069FF">
      <w:pPr>
        <w:pStyle w:val="DefaultText"/>
        <w:jc w:val="both"/>
        <w:rPr>
          <w:noProof/>
        </w:rPr>
      </w:pPr>
      <w:r>
        <w:rPr>
          <w:noProof/>
        </w:rPr>
        <w:t>The open public consultation was shortened from the usual 12 weeks to 8 weeks. An evaluation roadmap of the current TEN-E Regulation was launched already in June 2019, setting the context and scope of the evaluation. The nearly 30 replies from t</w:t>
      </w:r>
      <w:r>
        <w:rPr>
          <w:noProof/>
        </w:rPr>
        <w:t>he main stakeholder groups, as well as regular contacts with stakeholders indicated that stakeholders are informed and ready to engage in Commission’s on-going work in this area. An inception impact assessment was equally launched ahead of the OPC on 11 Ma</w:t>
      </w:r>
      <w:r>
        <w:rPr>
          <w:noProof/>
        </w:rPr>
        <w:t>y facilitating all interested parties to respond to the public consultation. The availability of the questionnaire in all official EU languages and the inclusiveness of the consultation tools ensured open access of all parties to the consultation whilst se</w:t>
      </w:r>
      <w:r>
        <w:rPr>
          <w:noProof/>
        </w:rPr>
        <w:t>cured evidence collection through the targeted consultations (targeted survey, webinars, interviews).</w:t>
      </w:r>
    </w:p>
    <w:p w:rsidR="00B60846" w:rsidRDefault="00B60846">
      <w:pPr>
        <w:pStyle w:val="DefaultText"/>
        <w:jc w:val="both"/>
        <w:rPr>
          <w:noProof/>
        </w:rPr>
      </w:pPr>
    </w:p>
    <w:p w:rsidR="00B60846" w:rsidRDefault="008069FF">
      <w:pPr>
        <w:pStyle w:val="DefaultText"/>
        <w:jc w:val="both"/>
        <w:rPr>
          <w:noProof/>
        </w:rPr>
      </w:pPr>
      <w:r>
        <w:rPr>
          <w:noProof/>
        </w:rPr>
        <w:t>The overall number of responses to the OPC questionnaire is 103. In addition, 169 emails were received via a functional mailbox for the consultation. Mos</w:t>
      </w:r>
      <w:r>
        <w:rPr>
          <w:noProof/>
        </w:rPr>
        <w:t>t of the contributions to the OPC questionnaire were in English (74 contributors chose to respond in English), but contributions were also received in French, German, Slovenian, and Spanish. Out of the 169 received emails received via the functional projec</w:t>
      </w:r>
      <w:r>
        <w:rPr>
          <w:noProof/>
        </w:rPr>
        <w:t xml:space="preserve">t mailbox 129 submissions represented identical replies from citizens, out of which 44 in Spanish, Italian, French, German and Portuguese. </w:t>
      </w:r>
    </w:p>
    <w:p w:rsidR="00B60846" w:rsidRDefault="00B60846">
      <w:pPr>
        <w:pStyle w:val="DefaultText"/>
        <w:jc w:val="both"/>
        <w:rPr>
          <w:noProof/>
        </w:rPr>
      </w:pPr>
    </w:p>
    <w:p w:rsidR="00B60846" w:rsidRDefault="008069FF">
      <w:pPr>
        <w:rPr>
          <w:rFonts w:ascii="Verdana" w:hAnsi="Verdana"/>
          <w:noProof/>
        </w:rPr>
      </w:pPr>
      <w:r>
        <w:rPr>
          <w:noProof/>
        </w:rPr>
        <w:t>The main category of respondents was EU citizens (28 responses), followed by business associations and company/busi</w:t>
      </w:r>
      <w:r>
        <w:rPr>
          <w:noProof/>
        </w:rPr>
        <w:t xml:space="preserve">ness organisations. The following table outlines the respondents by each category. </w:t>
      </w:r>
    </w:p>
    <w:tbl>
      <w:tblPr>
        <w:tblStyle w:val="table-style-blauw-100-outline"/>
        <w:tblW w:w="5000" w:type="pct"/>
        <w:tblLook w:val="04A0" w:firstRow="1" w:lastRow="0" w:firstColumn="1" w:lastColumn="0" w:noHBand="0" w:noVBand="1"/>
      </w:tblPr>
      <w:tblGrid>
        <w:gridCol w:w="5363"/>
        <w:gridCol w:w="1489"/>
        <w:gridCol w:w="1982"/>
      </w:tblGrid>
      <w:tr w:rsidR="00B60846" w:rsidTr="00B60846">
        <w:trPr>
          <w:cnfStyle w:val="100000000000" w:firstRow="1" w:lastRow="0" w:firstColumn="0" w:lastColumn="0" w:oddVBand="0" w:evenVBand="0" w:oddHBand="0" w:evenHBand="0" w:firstRowFirstColumn="0" w:firstRowLastColumn="0" w:lastRowFirstColumn="0" w:lastRowLastColumn="0"/>
          <w:trHeight w:val="50"/>
          <w:tblHeader/>
        </w:trPr>
        <w:tc>
          <w:tcPr>
            <w:tcW w:w="3035" w:type="pct"/>
            <w:noWrap/>
            <w:hideMark/>
          </w:tcPr>
          <w:p w:rsidR="00B60846" w:rsidRDefault="008069FF">
            <w:pPr>
              <w:pStyle w:val="table-text"/>
              <w:rPr>
                <w:noProof/>
                <w:sz w:val="24"/>
              </w:rPr>
            </w:pPr>
            <w:r>
              <w:rPr>
                <w:noProof/>
                <w:sz w:val="24"/>
              </w:rPr>
              <w:t>Type of respondent</w:t>
            </w:r>
          </w:p>
        </w:tc>
        <w:tc>
          <w:tcPr>
            <w:tcW w:w="843" w:type="pct"/>
            <w:noWrap/>
            <w:hideMark/>
          </w:tcPr>
          <w:p w:rsidR="00B60846" w:rsidRDefault="008069FF">
            <w:pPr>
              <w:pStyle w:val="table-text"/>
              <w:rPr>
                <w:noProof/>
                <w:sz w:val="24"/>
              </w:rPr>
            </w:pPr>
            <w:r>
              <w:rPr>
                <w:noProof/>
                <w:sz w:val="24"/>
              </w:rPr>
              <w:t>Number</w:t>
            </w:r>
          </w:p>
        </w:tc>
        <w:tc>
          <w:tcPr>
            <w:tcW w:w="1123" w:type="pct"/>
            <w:noWrap/>
            <w:hideMark/>
          </w:tcPr>
          <w:p w:rsidR="00B60846" w:rsidRDefault="008069FF">
            <w:pPr>
              <w:pStyle w:val="table-text"/>
              <w:rPr>
                <w:noProof/>
                <w:sz w:val="24"/>
              </w:rPr>
            </w:pPr>
            <w:r>
              <w:rPr>
                <w:noProof/>
                <w:sz w:val="24"/>
              </w:rPr>
              <w:t>Percentage</w:t>
            </w:r>
          </w:p>
        </w:tc>
      </w:tr>
      <w:tr w:rsidR="00B60846" w:rsidTr="00B60846">
        <w:trPr>
          <w:cnfStyle w:val="000000100000" w:firstRow="0" w:lastRow="0" w:firstColumn="0" w:lastColumn="0" w:oddVBand="0" w:evenVBand="0" w:oddHBand="1" w:evenHBand="0" w:firstRowFirstColumn="0" w:firstRowLastColumn="0" w:lastRowFirstColumn="0" w:lastRowLastColumn="0"/>
          <w:trHeight w:val="50"/>
        </w:trPr>
        <w:tc>
          <w:tcPr>
            <w:tcW w:w="3035" w:type="pct"/>
            <w:noWrap/>
            <w:hideMark/>
          </w:tcPr>
          <w:p w:rsidR="00B60846" w:rsidRDefault="008069FF">
            <w:pPr>
              <w:pStyle w:val="table-text"/>
              <w:rPr>
                <w:noProof/>
                <w:sz w:val="24"/>
              </w:rPr>
            </w:pPr>
            <w:r>
              <w:rPr>
                <w:noProof/>
                <w:sz w:val="24"/>
              </w:rPr>
              <w:t>Academic/research institution</w:t>
            </w:r>
          </w:p>
        </w:tc>
        <w:tc>
          <w:tcPr>
            <w:tcW w:w="843" w:type="pct"/>
            <w:noWrap/>
            <w:hideMark/>
          </w:tcPr>
          <w:p w:rsidR="00B60846" w:rsidRDefault="008069FF">
            <w:pPr>
              <w:pStyle w:val="table-text"/>
              <w:rPr>
                <w:noProof/>
                <w:sz w:val="24"/>
              </w:rPr>
            </w:pPr>
            <w:r>
              <w:rPr>
                <w:noProof/>
                <w:sz w:val="24"/>
              </w:rPr>
              <w:t>2</w:t>
            </w:r>
          </w:p>
        </w:tc>
        <w:tc>
          <w:tcPr>
            <w:tcW w:w="1123" w:type="pct"/>
            <w:noWrap/>
            <w:hideMark/>
          </w:tcPr>
          <w:p w:rsidR="00B60846" w:rsidRDefault="008069FF">
            <w:pPr>
              <w:pStyle w:val="table-text"/>
              <w:rPr>
                <w:noProof/>
                <w:sz w:val="24"/>
              </w:rPr>
            </w:pPr>
            <w:r>
              <w:rPr>
                <w:noProof/>
                <w:sz w:val="24"/>
              </w:rPr>
              <w:t>2%</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hideMark/>
          </w:tcPr>
          <w:p w:rsidR="00B60846" w:rsidRDefault="008069FF">
            <w:pPr>
              <w:pStyle w:val="table-text"/>
              <w:rPr>
                <w:noProof/>
                <w:sz w:val="24"/>
              </w:rPr>
            </w:pPr>
            <w:r>
              <w:rPr>
                <w:noProof/>
                <w:sz w:val="24"/>
              </w:rPr>
              <w:t>Business association</w:t>
            </w:r>
          </w:p>
        </w:tc>
        <w:tc>
          <w:tcPr>
            <w:tcW w:w="843" w:type="pct"/>
            <w:noWrap/>
            <w:hideMark/>
          </w:tcPr>
          <w:p w:rsidR="00B60846" w:rsidRDefault="008069FF">
            <w:pPr>
              <w:pStyle w:val="table-text"/>
              <w:rPr>
                <w:noProof/>
                <w:sz w:val="24"/>
              </w:rPr>
            </w:pPr>
            <w:r>
              <w:rPr>
                <w:noProof/>
                <w:sz w:val="24"/>
              </w:rPr>
              <w:t>25</w:t>
            </w:r>
          </w:p>
        </w:tc>
        <w:tc>
          <w:tcPr>
            <w:tcW w:w="1123" w:type="pct"/>
            <w:noWrap/>
            <w:hideMark/>
          </w:tcPr>
          <w:p w:rsidR="00B60846" w:rsidRDefault="008069FF">
            <w:pPr>
              <w:pStyle w:val="table-text"/>
              <w:rPr>
                <w:noProof/>
                <w:sz w:val="24"/>
              </w:rPr>
            </w:pPr>
            <w:r>
              <w:rPr>
                <w:noProof/>
                <w:sz w:val="24"/>
              </w:rPr>
              <w:t>24%</w:t>
            </w:r>
          </w:p>
        </w:tc>
      </w:tr>
      <w:tr w:rsidR="00B60846" w:rsidTr="00B60846">
        <w:trPr>
          <w:cnfStyle w:val="000000100000" w:firstRow="0" w:lastRow="0" w:firstColumn="0" w:lastColumn="0" w:oddVBand="0" w:evenVBand="0" w:oddHBand="1" w:evenHBand="0" w:firstRowFirstColumn="0" w:firstRowLastColumn="0" w:lastRowFirstColumn="0" w:lastRowLastColumn="0"/>
          <w:trHeight w:val="250"/>
        </w:trPr>
        <w:tc>
          <w:tcPr>
            <w:tcW w:w="3035" w:type="pct"/>
            <w:noWrap/>
            <w:hideMark/>
          </w:tcPr>
          <w:p w:rsidR="00B60846" w:rsidRDefault="008069FF">
            <w:pPr>
              <w:pStyle w:val="table-text"/>
              <w:rPr>
                <w:noProof/>
                <w:sz w:val="24"/>
              </w:rPr>
            </w:pPr>
            <w:r>
              <w:rPr>
                <w:noProof/>
                <w:sz w:val="24"/>
              </w:rPr>
              <w:t>Company/business organisation</w:t>
            </w:r>
          </w:p>
        </w:tc>
        <w:tc>
          <w:tcPr>
            <w:tcW w:w="843" w:type="pct"/>
            <w:noWrap/>
            <w:hideMark/>
          </w:tcPr>
          <w:p w:rsidR="00B60846" w:rsidRDefault="008069FF">
            <w:pPr>
              <w:pStyle w:val="table-text"/>
              <w:rPr>
                <w:noProof/>
                <w:sz w:val="24"/>
              </w:rPr>
            </w:pPr>
            <w:r>
              <w:rPr>
                <w:noProof/>
                <w:sz w:val="24"/>
              </w:rPr>
              <w:t>22</w:t>
            </w:r>
          </w:p>
        </w:tc>
        <w:tc>
          <w:tcPr>
            <w:tcW w:w="1123" w:type="pct"/>
            <w:noWrap/>
            <w:hideMark/>
          </w:tcPr>
          <w:p w:rsidR="00B60846" w:rsidRDefault="008069FF">
            <w:pPr>
              <w:pStyle w:val="table-text"/>
              <w:rPr>
                <w:noProof/>
                <w:sz w:val="24"/>
              </w:rPr>
            </w:pPr>
            <w:r>
              <w:rPr>
                <w:noProof/>
                <w:sz w:val="24"/>
              </w:rPr>
              <w:t>21%</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hideMark/>
          </w:tcPr>
          <w:p w:rsidR="00B60846" w:rsidRDefault="008069FF">
            <w:pPr>
              <w:pStyle w:val="table-text"/>
              <w:rPr>
                <w:noProof/>
                <w:sz w:val="24"/>
              </w:rPr>
            </w:pPr>
            <w:r>
              <w:rPr>
                <w:noProof/>
                <w:sz w:val="24"/>
              </w:rPr>
              <w:t>Environmental organisation</w:t>
            </w:r>
          </w:p>
        </w:tc>
        <w:tc>
          <w:tcPr>
            <w:tcW w:w="843" w:type="pct"/>
            <w:noWrap/>
            <w:hideMark/>
          </w:tcPr>
          <w:p w:rsidR="00B60846" w:rsidRDefault="008069FF">
            <w:pPr>
              <w:pStyle w:val="table-text"/>
              <w:rPr>
                <w:noProof/>
                <w:sz w:val="24"/>
              </w:rPr>
            </w:pPr>
            <w:r>
              <w:rPr>
                <w:noProof/>
                <w:sz w:val="24"/>
              </w:rPr>
              <w:t>2</w:t>
            </w:r>
          </w:p>
        </w:tc>
        <w:tc>
          <w:tcPr>
            <w:tcW w:w="1123" w:type="pct"/>
            <w:noWrap/>
            <w:hideMark/>
          </w:tcPr>
          <w:p w:rsidR="00B60846" w:rsidRDefault="008069FF">
            <w:pPr>
              <w:pStyle w:val="table-text"/>
              <w:rPr>
                <w:noProof/>
                <w:sz w:val="24"/>
              </w:rPr>
            </w:pPr>
            <w:r>
              <w:rPr>
                <w:noProof/>
                <w:sz w:val="24"/>
              </w:rPr>
              <w:t>2%</w:t>
            </w:r>
          </w:p>
        </w:tc>
      </w:tr>
      <w:tr w:rsidR="00B60846" w:rsidTr="00B60846">
        <w:trPr>
          <w:cnfStyle w:val="000000100000" w:firstRow="0" w:lastRow="0" w:firstColumn="0" w:lastColumn="0" w:oddVBand="0" w:evenVBand="0" w:oddHBand="1" w:evenHBand="0" w:firstRowFirstColumn="0" w:firstRowLastColumn="0" w:lastRowFirstColumn="0" w:lastRowLastColumn="0"/>
          <w:trHeight w:val="250"/>
        </w:trPr>
        <w:tc>
          <w:tcPr>
            <w:tcW w:w="3035" w:type="pct"/>
            <w:noWrap/>
            <w:hideMark/>
          </w:tcPr>
          <w:p w:rsidR="00B60846" w:rsidRDefault="008069FF">
            <w:pPr>
              <w:pStyle w:val="table-text"/>
              <w:rPr>
                <w:noProof/>
                <w:sz w:val="24"/>
              </w:rPr>
            </w:pPr>
            <w:r>
              <w:rPr>
                <w:noProof/>
                <w:sz w:val="24"/>
              </w:rPr>
              <w:t>EU citizen</w:t>
            </w:r>
          </w:p>
        </w:tc>
        <w:tc>
          <w:tcPr>
            <w:tcW w:w="843" w:type="pct"/>
            <w:noWrap/>
            <w:hideMark/>
          </w:tcPr>
          <w:p w:rsidR="00B60846" w:rsidRDefault="008069FF">
            <w:pPr>
              <w:pStyle w:val="table-text"/>
              <w:rPr>
                <w:noProof/>
                <w:sz w:val="24"/>
              </w:rPr>
            </w:pPr>
            <w:r>
              <w:rPr>
                <w:noProof/>
                <w:sz w:val="24"/>
              </w:rPr>
              <w:t>28</w:t>
            </w:r>
          </w:p>
        </w:tc>
        <w:tc>
          <w:tcPr>
            <w:tcW w:w="1123" w:type="pct"/>
            <w:noWrap/>
            <w:hideMark/>
          </w:tcPr>
          <w:p w:rsidR="00B60846" w:rsidRDefault="008069FF">
            <w:pPr>
              <w:pStyle w:val="table-text"/>
              <w:rPr>
                <w:noProof/>
                <w:sz w:val="24"/>
              </w:rPr>
            </w:pPr>
            <w:r>
              <w:rPr>
                <w:noProof/>
                <w:sz w:val="24"/>
              </w:rPr>
              <w:t>27%</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hideMark/>
          </w:tcPr>
          <w:p w:rsidR="00B60846" w:rsidRDefault="008069FF">
            <w:pPr>
              <w:pStyle w:val="table-text"/>
              <w:rPr>
                <w:noProof/>
                <w:sz w:val="24"/>
              </w:rPr>
            </w:pPr>
            <w:r>
              <w:rPr>
                <w:noProof/>
                <w:sz w:val="24"/>
              </w:rPr>
              <w:t>Non-EU citizen</w:t>
            </w:r>
          </w:p>
        </w:tc>
        <w:tc>
          <w:tcPr>
            <w:tcW w:w="843" w:type="pct"/>
            <w:noWrap/>
            <w:hideMark/>
          </w:tcPr>
          <w:p w:rsidR="00B60846" w:rsidRDefault="008069FF">
            <w:pPr>
              <w:pStyle w:val="table-text"/>
              <w:rPr>
                <w:noProof/>
                <w:sz w:val="24"/>
              </w:rPr>
            </w:pPr>
            <w:r>
              <w:rPr>
                <w:noProof/>
                <w:sz w:val="24"/>
              </w:rPr>
              <w:t>2</w:t>
            </w:r>
          </w:p>
        </w:tc>
        <w:tc>
          <w:tcPr>
            <w:tcW w:w="1123" w:type="pct"/>
            <w:noWrap/>
            <w:hideMark/>
          </w:tcPr>
          <w:p w:rsidR="00B60846" w:rsidRDefault="008069FF">
            <w:pPr>
              <w:pStyle w:val="table-text"/>
              <w:rPr>
                <w:noProof/>
                <w:sz w:val="24"/>
              </w:rPr>
            </w:pPr>
            <w:r>
              <w:rPr>
                <w:noProof/>
                <w:sz w:val="24"/>
              </w:rPr>
              <w:t>2%</w:t>
            </w:r>
          </w:p>
        </w:tc>
      </w:tr>
      <w:tr w:rsidR="00B60846" w:rsidTr="00B60846">
        <w:trPr>
          <w:cnfStyle w:val="000000100000" w:firstRow="0" w:lastRow="0" w:firstColumn="0" w:lastColumn="0" w:oddVBand="0" w:evenVBand="0" w:oddHBand="1" w:evenHBand="0" w:firstRowFirstColumn="0" w:firstRowLastColumn="0" w:lastRowFirstColumn="0" w:lastRowLastColumn="0"/>
          <w:trHeight w:val="250"/>
        </w:trPr>
        <w:tc>
          <w:tcPr>
            <w:tcW w:w="3035" w:type="pct"/>
            <w:noWrap/>
            <w:hideMark/>
          </w:tcPr>
          <w:p w:rsidR="00B60846" w:rsidRDefault="008069FF">
            <w:pPr>
              <w:pStyle w:val="table-text"/>
              <w:rPr>
                <w:noProof/>
                <w:sz w:val="24"/>
              </w:rPr>
            </w:pPr>
            <w:r>
              <w:rPr>
                <w:rFonts w:ascii="times new romanimes new roman" w:eastAsia="times new romanimes new roman" w:hAnsi="times new romanimes new roman" w:cs="times new romanimes new roman"/>
                <w:noProof/>
                <w:sz w:val="24"/>
              </w:rPr>
              <w:t>Non</w:t>
            </w:r>
            <w:r>
              <w:rPr>
                <w:noProof/>
                <w:sz w:val="24"/>
              </w:rPr>
              <w:t>-governmental organisation (NGO)</w:t>
            </w:r>
          </w:p>
        </w:tc>
        <w:tc>
          <w:tcPr>
            <w:tcW w:w="843" w:type="pct"/>
            <w:noWrap/>
            <w:hideMark/>
          </w:tcPr>
          <w:p w:rsidR="00B60846" w:rsidRDefault="008069FF">
            <w:pPr>
              <w:pStyle w:val="table-text"/>
              <w:rPr>
                <w:noProof/>
                <w:sz w:val="24"/>
              </w:rPr>
            </w:pPr>
            <w:r>
              <w:rPr>
                <w:noProof/>
                <w:sz w:val="24"/>
              </w:rPr>
              <w:t>12</w:t>
            </w:r>
          </w:p>
        </w:tc>
        <w:tc>
          <w:tcPr>
            <w:tcW w:w="1123" w:type="pct"/>
            <w:noWrap/>
            <w:hideMark/>
          </w:tcPr>
          <w:p w:rsidR="00B60846" w:rsidRDefault="008069FF">
            <w:pPr>
              <w:pStyle w:val="table-text"/>
              <w:rPr>
                <w:noProof/>
                <w:sz w:val="24"/>
              </w:rPr>
            </w:pPr>
            <w:r>
              <w:rPr>
                <w:noProof/>
                <w:sz w:val="24"/>
              </w:rPr>
              <w:t>12%</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hideMark/>
          </w:tcPr>
          <w:p w:rsidR="00B60846" w:rsidRDefault="008069FF">
            <w:pPr>
              <w:pStyle w:val="table-text"/>
              <w:rPr>
                <w:noProof/>
                <w:sz w:val="24"/>
              </w:rPr>
            </w:pPr>
            <w:r>
              <w:rPr>
                <w:noProof/>
                <w:sz w:val="24"/>
              </w:rPr>
              <w:t>Other</w:t>
            </w:r>
          </w:p>
        </w:tc>
        <w:tc>
          <w:tcPr>
            <w:tcW w:w="843" w:type="pct"/>
            <w:noWrap/>
            <w:hideMark/>
          </w:tcPr>
          <w:p w:rsidR="00B60846" w:rsidRDefault="008069FF">
            <w:pPr>
              <w:pStyle w:val="table-text"/>
              <w:rPr>
                <w:noProof/>
                <w:sz w:val="24"/>
              </w:rPr>
            </w:pPr>
            <w:r>
              <w:rPr>
                <w:noProof/>
                <w:sz w:val="24"/>
              </w:rPr>
              <w:t>5</w:t>
            </w:r>
          </w:p>
        </w:tc>
        <w:tc>
          <w:tcPr>
            <w:tcW w:w="1123" w:type="pct"/>
            <w:noWrap/>
            <w:hideMark/>
          </w:tcPr>
          <w:p w:rsidR="00B60846" w:rsidRDefault="008069FF">
            <w:pPr>
              <w:pStyle w:val="table-text"/>
              <w:rPr>
                <w:noProof/>
                <w:sz w:val="24"/>
              </w:rPr>
            </w:pPr>
            <w:r>
              <w:rPr>
                <w:noProof/>
                <w:sz w:val="24"/>
              </w:rPr>
              <w:t>5%</w:t>
            </w:r>
          </w:p>
        </w:tc>
      </w:tr>
      <w:tr w:rsidR="00B60846" w:rsidTr="00B60846">
        <w:trPr>
          <w:cnfStyle w:val="000000100000" w:firstRow="0" w:lastRow="0" w:firstColumn="0" w:lastColumn="0" w:oddVBand="0" w:evenVBand="0" w:oddHBand="1" w:evenHBand="0" w:firstRowFirstColumn="0" w:firstRowLastColumn="0" w:lastRowFirstColumn="0" w:lastRowLastColumn="0"/>
          <w:trHeight w:val="250"/>
        </w:trPr>
        <w:tc>
          <w:tcPr>
            <w:tcW w:w="3035" w:type="pct"/>
            <w:noWrap/>
            <w:hideMark/>
          </w:tcPr>
          <w:p w:rsidR="00B60846" w:rsidRDefault="008069FF">
            <w:pPr>
              <w:pStyle w:val="table-text"/>
              <w:rPr>
                <w:noProof/>
                <w:sz w:val="24"/>
              </w:rPr>
            </w:pPr>
            <w:r>
              <w:rPr>
                <w:noProof/>
                <w:sz w:val="24"/>
              </w:rPr>
              <w:t>Public authority</w:t>
            </w:r>
          </w:p>
        </w:tc>
        <w:tc>
          <w:tcPr>
            <w:tcW w:w="843" w:type="pct"/>
            <w:noWrap/>
            <w:hideMark/>
          </w:tcPr>
          <w:p w:rsidR="00B60846" w:rsidRDefault="008069FF">
            <w:pPr>
              <w:pStyle w:val="table-text"/>
              <w:rPr>
                <w:noProof/>
                <w:sz w:val="24"/>
              </w:rPr>
            </w:pPr>
            <w:r>
              <w:rPr>
                <w:noProof/>
                <w:sz w:val="24"/>
              </w:rPr>
              <w:t>5</w:t>
            </w:r>
          </w:p>
        </w:tc>
        <w:tc>
          <w:tcPr>
            <w:tcW w:w="1123" w:type="pct"/>
            <w:noWrap/>
            <w:hideMark/>
          </w:tcPr>
          <w:p w:rsidR="00B60846" w:rsidRDefault="008069FF">
            <w:pPr>
              <w:pStyle w:val="table-text"/>
              <w:rPr>
                <w:noProof/>
                <w:sz w:val="24"/>
              </w:rPr>
            </w:pPr>
            <w:r>
              <w:rPr>
                <w:noProof/>
                <w:sz w:val="24"/>
              </w:rPr>
              <w:t>5%</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hideMark/>
          </w:tcPr>
          <w:p w:rsidR="00B60846" w:rsidRDefault="008069FF">
            <w:pPr>
              <w:pStyle w:val="table-text"/>
              <w:rPr>
                <w:noProof/>
                <w:sz w:val="24"/>
              </w:rPr>
            </w:pPr>
            <w:r>
              <w:rPr>
                <w:noProof/>
                <w:sz w:val="24"/>
              </w:rPr>
              <w:t>Grand Total</w:t>
            </w:r>
          </w:p>
        </w:tc>
        <w:tc>
          <w:tcPr>
            <w:tcW w:w="843" w:type="pct"/>
            <w:noWrap/>
            <w:hideMark/>
          </w:tcPr>
          <w:p w:rsidR="00B60846" w:rsidRDefault="008069FF">
            <w:pPr>
              <w:pStyle w:val="table-text"/>
              <w:rPr>
                <w:noProof/>
                <w:sz w:val="24"/>
              </w:rPr>
            </w:pPr>
            <w:r>
              <w:rPr>
                <w:noProof/>
                <w:sz w:val="24"/>
              </w:rPr>
              <w:t>103</w:t>
            </w:r>
          </w:p>
        </w:tc>
        <w:tc>
          <w:tcPr>
            <w:tcW w:w="1123" w:type="pct"/>
            <w:noWrap/>
            <w:hideMark/>
          </w:tcPr>
          <w:p w:rsidR="00B60846" w:rsidRDefault="008069FF">
            <w:pPr>
              <w:pStyle w:val="table-text"/>
              <w:rPr>
                <w:noProof/>
                <w:sz w:val="24"/>
              </w:rPr>
            </w:pPr>
            <w:r>
              <w:rPr>
                <w:noProof/>
                <w:sz w:val="24"/>
              </w:rPr>
              <w:t>100%</w:t>
            </w:r>
          </w:p>
        </w:tc>
      </w:tr>
    </w:tbl>
    <w:p w:rsidR="00B60846" w:rsidRDefault="00B60846">
      <w:pPr>
        <w:rPr>
          <w:noProof/>
          <w:szCs w:val="24"/>
          <w:lang w:val="nl-NL" w:eastAsia="nl-NL"/>
        </w:rPr>
      </w:pPr>
    </w:p>
    <w:p w:rsidR="00B60846" w:rsidRDefault="00B60846">
      <w:pPr>
        <w:pStyle w:val="DefaultText"/>
        <w:jc w:val="both"/>
        <w:rPr>
          <w:noProof/>
          <w:lang w:val="nl-NL"/>
        </w:rPr>
      </w:pPr>
    </w:p>
    <w:p w:rsidR="00B60846" w:rsidRDefault="008069FF">
      <w:pPr>
        <w:pStyle w:val="DefaultText"/>
        <w:jc w:val="both"/>
        <w:rPr>
          <w:noProof/>
        </w:rPr>
      </w:pPr>
      <w:r>
        <w:rPr>
          <w:noProof/>
        </w:rPr>
        <w:t xml:space="preserve">In terms of the distribution of responses by country, most responses were received from Belgium (31), followed by Germany (12), and Spain (9). </w:t>
      </w:r>
    </w:p>
    <w:p w:rsidR="00B60846" w:rsidRDefault="008069FF">
      <w:pPr>
        <w:pStyle w:val="DefaultText"/>
        <w:jc w:val="center"/>
        <w:rPr>
          <w:noProof/>
        </w:rPr>
      </w:pPr>
      <w:r>
        <w:rPr>
          <w:noProof/>
          <w:lang w:eastAsia="en-GB"/>
        </w:rPr>
        <w:drawing>
          <wp:inline distT="0" distB="0" distL="0" distR="0">
            <wp:extent cx="5156020" cy="1960938"/>
            <wp:effectExtent l="0" t="0" r="6985" b="1270"/>
            <wp:docPr id="11" name="Chart 11">
              <a:extLst xmlns:a="http://schemas.openxmlformats.org/drawingml/2006/main">
                <a:ext uri="{FF2B5EF4-FFF2-40B4-BE49-F238E27FC236}">
                  <a16:creationId xmlns:a16="http://schemas.microsoft.com/office/drawing/2014/main" id="{3553B293-2978-4704-A769-69AAD082A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0846" w:rsidRDefault="008069FF">
      <w:pPr>
        <w:pStyle w:val="list-bullet-color"/>
        <w:numPr>
          <w:ilvl w:val="0"/>
          <w:numId w:val="0"/>
        </w:numPr>
        <w:jc w:val="both"/>
        <w:rPr>
          <w:noProof/>
        </w:rPr>
      </w:pPr>
      <w:r>
        <w:rPr>
          <w:noProof/>
        </w:rPr>
        <w:t xml:space="preserve">A </w:t>
      </w:r>
      <w:r>
        <w:rPr>
          <w:b/>
          <w:bCs/>
          <w:noProof/>
        </w:rPr>
        <w:t>targeted consultation</w:t>
      </w:r>
      <w:r>
        <w:rPr>
          <w:noProof/>
        </w:rPr>
        <w:t xml:space="preserve"> (in English only) was carried out in parallel, specifically addressing project promote</w:t>
      </w:r>
      <w:r>
        <w:rPr>
          <w:noProof/>
        </w:rPr>
        <w:t>rs, public authorities (NRAs, NCAs, regional and local governments), other actors of the energy system (e.g. DSOs, energy suppliers), civil society (e.g. local communities, NGOs) wider industry representatives and academics or researchers but was open to e</w:t>
      </w:r>
      <w:r>
        <w:rPr>
          <w:noProof/>
        </w:rPr>
        <w:t xml:space="preserve">veryone. </w:t>
      </w:r>
    </w:p>
    <w:p w:rsidR="00B60846" w:rsidRDefault="008069FF">
      <w:pPr>
        <w:pStyle w:val="Caption"/>
        <w:jc w:val="both"/>
        <w:rPr>
          <w:rFonts w:eastAsia="Arial"/>
          <w:b w:val="0"/>
          <w:noProof/>
          <w:sz w:val="24"/>
          <w:szCs w:val="24"/>
          <w:lang w:eastAsia="nl-NL"/>
        </w:rPr>
      </w:pPr>
      <w:r>
        <w:rPr>
          <w:rFonts w:eastAsia="Arial"/>
          <w:b w:val="0"/>
          <w:noProof/>
          <w:sz w:val="24"/>
          <w:szCs w:val="24"/>
          <w:lang w:eastAsia="nl-NL"/>
        </w:rPr>
        <w:t>The overall number of responses received to the targeted online survey is 112. The main category of respondents was Transmission System Operators (27), followed by “other” stakeholders (22) and industry representatives (17):</w:t>
      </w:r>
    </w:p>
    <w:tbl>
      <w:tblPr>
        <w:tblStyle w:val="table-style-blauw-100-outline"/>
        <w:tblW w:w="5000" w:type="pct"/>
        <w:tblLook w:val="04A0" w:firstRow="1" w:lastRow="0" w:firstColumn="1" w:lastColumn="0" w:noHBand="0" w:noVBand="1"/>
      </w:tblPr>
      <w:tblGrid>
        <w:gridCol w:w="5363"/>
        <w:gridCol w:w="1489"/>
        <w:gridCol w:w="1982"/>
      </w:tblGrid>
      <w:tr w:rsidR="00B60846" w:rsidTr="00B60846">
        <w:trPr>
          <w:cnfStyle w:val="100000000000" w:firstRow="1" w:lastRow="0" w:firstColumn="0" w:lastColumn="0" w:oddVBand="0" w:evenVBand="0" w:oddHBand="0" w:evenHBand="0" w:firstRowFirstColumn="0" w:firstRowLastColumn="0" w:lastRowFirstColumn="0" w:lastRowLastColumn="0"/>
          <w:trHeight w:val="50"/>
          <w:tblHeader/>
        </w:trPr>
        <w:tc>
          <w:tcPr>
            <w:tcW w:w="3035" w:type="pct"/>
            <w:noWrap/>
            <w:hideMark/>
          </w:tcPr>
          <w:p w:rsidR="00B60846" w:rsidRDefault="008069FF">
            <w:pPr>
              <w:rPr>
                <w:rFonts w:cs="Arial"/>
                <w:noProof/>
              </w:rPr>
            </w:pPr>
            <w:r>
              <w:rPr>
                <w:rFonts w:cs="Arial"/>
                <w:noProof/>
                <w:lang w:eastAsia="en-US"/>
              </w:rPr>
              <w:t>Type of respondent</w:t>
            </w:r>
          </w:p>
        </w:tc>
        <w:tc>
          <w:tcPr>
            <w:tcW w:w="843" w:type="pct"/>
            <w:noWrap/>
            <w:hideMark/>
          </w:tcPr>
          <w:p w:rsidR="00B60846" w:rsidRDefault="008069FF">
            <w:pPr>
              <w:pStyle w:val="table-text"/>
              <w:rPr>
                <w:rFonts w:cs="Arial"/>
                <w:noProof/>
                <w:sz w:val="24"/>
              </w:rPr>
            </w:pPr>
            <w:r>
              <w:rPr>
                <w:rFonts w:cs="Arial"/>
                <w:noProof/>
                <w:sz w:val="24"/>
              </w:rPr>
              <w:t>Number</w:t>
            </w:r>
          </w:p>
        </w:tc>
        <w:tc>
          <w:tcPr>
            <w:tcW w:w="1123" w:type="pct"/>
            <w:noWrap/>
            <w:hideMark/>
          </w:tcPr>
          <w:p w:rsidR="00B60846" w:rsidRDefault="008069FF">
            <w:pPr>
              <w:pStyle w:val="table-text"/>
              <w:rPr>
                <w:rFonts w:cs="Arial"/>
                <w:noProof/>
                <w:sz w:val="24"/>
              </w:rPr>
            </w:pPr>
            <w:r>
              <w:rPr>
                <w:rFonts w:cs="Arial"/>
                <w:noProof/>
                <w:sz w:val="24"/>
              </w:rPr>
              <w:t>Percentage</w:t>
            </w:r>
          </w:p>
        </w:tc>
      </w:tr>
      <w:tr w:rsidR="00B60846" w:rsidTr="00B60846">
        <w:trPr>
          <w:cnfStyle w:val="000000100000" w:firstRow="0" w:lastRow="0" w:firstColumn="0" w:lastColumn="0" w:oddVBand="0" w:evenVBand="0" w:oddHBand="1" w:evenHBand="0" w:firstRowFirstColumn="0" w:firstRowLastColumn="0" w:lastRowFirstColumn="0" w:lastRowLastColumn="0"/>
          <w:trHeight w:val="50"/>
        </w:trPr>
        <w:tc>
          <w:tcPr>
            <w:tcW w:w="3035" w:type="pct"/>
            <w:noWrap/>
            <w:vAlign w:val="bottom"/>
            <w:hideMark/>
          </w:tcPr>
          <w:p w:rsidR="00B60846" w:rsidRDefault="008069FF">
            <w:pPr>
              <w:pStyle w:val="DefaultText"/>
              <w:rPr>
                <w:rFonts w:cs="Arial"/>
                <w:noProof/>
                <w:color w:val="auto"/>
              </w:rPr>
            </w:pPr>
            <w:r>
              <w:rPr>
                <w:rFonts w:cs="Arial"/>
                <w:noProof/>
              </w:rPr>
              <w:t>National Regulatory Authority</w:t>
            </w:r>
          </w:p>
        </w:tc>
        <w:tc>
          <w:tcPr>
            <w:tcW w:w="843" w:type="pct"/>
            <w:noWrap/>
          </w:tcPr>
          <w:p w:rsidR="00B60846" w:rsidRDefault="008069FF">
            <w:pPr>
              <w:pStyle w:val="table-text"/>
              <w:rPr>
                <w:rFonts w:cs="Arial"/>
                <w:noProof/>
                <w:sz w:val="24"/>
              </w:rPr>
            </w:pPr>
            <w:r>
              <w:rPr>
                <w:rFonts w:cs="Arial"/>
                <w:noProof/>
                <w:sz w:val="24"/>
              </w:rPr>
              <w:t>4</w:t>
            </w:r>
          </w:p>
        </w:tc>
        <w:tc>
          <w:tcPr>
            <w:tcW w:w="1123" w:type="pct"/>
            <w:noWrap/>
          </w:tcPr>
          <w:p w:rsidR="00B60846" w:rsidRDefault="008069FF">
            <w:pPr>
              <w:pStyle w:val="table-text"/>
              <w:rPr>
                <w:rFonts w:cs="Arial"/>
                <w:noProof/>
                <w:sz w:val="24"/>
              </w:rPr>
            </w:pPr>
            <w:r>
              <w:rPr>
                <w:rFonts w:cs="Arial"/>
                <w:noProof/>
                <w:sz w:val="24"/>
              </w:rPr>
              <w:t>4%</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vAlign w:val="bottom"/>
            <w:hideMark/>
          </w:tcPr>
          <w:p w:rsidR="00B60846" w:rsidRDefault="008069FF">
            <w:pPr>
              <w:pStyle w:val="DefaultText"/>
              <w:rPr>
                <w:rFonts w:cs="Arial"/>
                <w:noProof/>
                <w:color w:val="auto"/>
              </w:rPr>
            </w:pPr>
            <w:r>
              <w:rPr>
                <w:rFonts w:cs="Arial"/>
                <w:noProof/>
              </w:rPr>
              <w:t>National Competent Authority</w:t>
            </w:r>
          </w:p>
        </w:tc>
        <w:tc>
          <w:tcPr>
            <w:tcW w:w="843" w:type="pct"/>
            <w:noWrap/>
          </w:tcPr>
          <w:p w:rsidR="00B60846" w:rsidRDefault="008069FF">
            <w:pPr>
              <w:pStyle w:val="table-text"/>
              <w:rPr>
                <w:rFonts w:cs="Arial"/>
                <w:noProof/>
                <w:sz w:val="24"/>
              </w:rPr>
            </w:pPr>
            <w:r>
              <w:rPr>
                <w:rFonts w:cs="Arial"/>
                <w:noProof/>
                <w:sz w:val="24"/>
              </w:rPr>
              <w:t>10</w:t>
            </w:r>
          </w:p>
        </w:tc>
        <w:tc>
          <w:tcPr>
            <w:tcW w:w="1123" w:type="pct"/>
            <w:noWrap/>
          </w:tcPr>
          <w:p w:rsidR="00B60846" w:rsidRDefault="008069FF">
            <w:pPr>
              <w:pStyle w:val="table-text"/>
              <w:rPr>
                <w:rFonts w:cs="Arial"/>
                <w:noProof/>
                <w:sz w:val="24"/>
              </w:rPr>
            </w:pPr>
            <w:r>
              <w:rPr>
                <w:rFonts w:cs="Arial"/>
                <w:noProof/>
                <w:sz w:val="24"/>
              </w:rPr>
              <w:t>9%</w:t>
            </w:r>
          </w:p>
        </w:tc>
      </w:tr>
      <w:tr w:rsidR="00B60846" w:rsidTr="00B60846">
        <w:trPr>
          <w:cnfStyle w:val="000000100000" w:firstRow="0" w:lastRow="0" w:firstColumn="0" w:lastColumn="0" w:oddVBand="0" w:evenVBand="0" w:oddHBand="1" w:evenHBand="0" w:firstRowFirstColumn="0" w:firstRowLastColumn="0" w:lastRowFirstColumn="0" w:lastRowLastColumn="0"/>
          <w:trHeight w:val="250"/>
        </w:trPr>
        <w:tc>
          <w:tcPr>
            <w:tcW w:w="3035" w:type="pct"/>
            <w:noWrap/>
            <w:vAlign w:val="bottom"/>
            <w:hideMark/>
          </w:tcPr>
          <w:p w:rsidR="00B60846" w:rsidRDefault="008069FF">
            <w:pPr>
              <w:pStyle w:val="DefaultText"/>
              <w:rPr>
                <w:rFonts w:cs="Arial"/>
                <w:noProof/>
                <w:color w:val="auto"/>
              </w:rPr>
            </w:pPr>
            <w:r>
              <w:rPr>
                <w:rFonts w:cs="Arial"/>
                <w:noProof/>
              </w:rPr>
              <w:t>Transmission system operator</w:t>
            </w:r>
          </w:p>
        </w:tc>
        <w:tc>
          <w:tcPr>
            <w:tcW w:w="843" w:type="pct"/>
            <w:noWrap/>
          </w:tcPr>
          <w:p w:rsidR="00B60846" w:rsidRDefault="008069FF">
            <w:pPr>
              <w:pStyle w:val="table-text"/>
              <w:rPr>
                <w:rFonts w:cs="Arial"/>
                <w:noProof/>
                <w:sz w:val="24"/>
              </w:rPr>
            </w:pPr>
            <w:r>
              <w:rPr>
                <w:rFonts w:cs="Arial"/>
                <w:noProof/>
                <w:sz w:val="24"/>
              </w:rPr>
              <w:t>27</w:t>
            </w:r>
          </w:p>
        </w:tc>
        <w:tc>
          <w:tcPr>
            <w:tcW w:w="1123" w:type="pct"/>
            <w:noWrap/>
          </w:tcPr>
          <w:p w:rsidR="00B60846" w:rsidRDefault="008069FF">
            <w:pPr>
              <w:pStyle w:val="table-text"/>
              <w:rPr>
                <w:rFonts w:cs="Arial"/>
                <w:noProof/>
                <w:sz w:val="24"/>
              </w:rPr>
            </w:pPr>
            <w:r>
              <w:rPr>
                <w:rFonts w:cs="Arial"/>
                <w:noProof/>
                <w:sz w:val="24"/>
              </w:rPr>
              <w:t>24%</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vAlign w:val="bottom"/>
            <w:hideMark/>
          </w:tcPr>
          <w:p w:rsidR="00B60846" w:rsidRDefault="008069FF">
            <w:pPr>
              <w:pStyle w:val="DefaultText"/>
              <w:rPr>
                <w:rFonts w:cs="Arial"/>
                <w:noProof/>
                <w:color w:val="auto"/>
              </w:rPr>
            </w:pPr>
            <w:r>
              <w:rPr>
                <w:rFonts w:cs="Arial"/>
                <w:noProof/>
              </w:rPr>
              <w:t>Distribution system operator</w:t>
            </w:r>
          </w:p>
        </w:tc>
        <w:tc>
          <w:tcPr>
            <w:tcW w:w="843" w:type="pct"/>
            <w:noWrap/>
          </w:tcPr>
          <w:p w:rsidR="00B60846" w:rsidRDefault="008069FF">
            <w:pPr>
              <w:pStyle w:val="table-text"/>
              <w:rPr>
                <w:rFonts w:cs="Arial"/>
                <w:noProof/>
                <w:sz w:val="24"/>
              </w:rPr>
            </w:pPr>
            <w:r>
              <w:rPr>
                <w:rFonts w:cs="Arial"/>
                <w:noProof/>
                <w:sz w:val="24"/>
              </w:rPr>
              <w:t>10</w:t>
            </w:r>
          </w:p>
        </w:tc>
        <w:tc>
          <w:tcPr>
            <w:tcW w:w="1123" w:type="pct"/>
            <w:noWrap/>
          </w:tcPr>
          <w:p w:rsidR="00B60846" w:rsidRDefault="008069FF">
            <w:pPr>
              <w:pStyle w:val="table-text"/>
              <w:rPr>
                <w:rFonts w:cs="Arial"/>
                <w:noProof/>
                <w:sz w:val="24"/>
              </w:rPr>
            </w:pPr>
            <w:r>
              <w:rPr>
                <w:rFonts w:cs="Arial"/>
                <w:noProof/>
                <w:sz w:val="24"/>
              </w:rPr>
              <w:t>9%</w:t>
            </w:r>
          </w:p>
        </w:tc>
      </w:tr>
      <w:tr w:rsidR="00B60846" w:rsidTr="00B60846">
        <w:trPr>
          <w:cnfStyle w:val="000000100000" w:firstRow="0" w:lastRow="0" w:firstColumn="0" w:lastColumn="0" w:oddVBand="0" w:evenVBand="0" w:oddHBand="1" w:evenHBand="0" w:firstRowFirstColumn="0" w:firstRowLastColumn="0" w:lastRowFirstColumn="0" w:lastRowLastColumn="0"/>
          <w:trHeight w:val="250"/>
        </w:trPr>
        <w:tc>
          <w:tcPr>
            <w:tcW w:w="3035" w:type="pct"/>
            <w:noWrap/>
            <w:vAlign w:val="bottom"/>
            <w:hideMark/>
          </w:tcPr>
          <w:p w:rsidR="00B60846" w:rsidRDefault="008069FF">
            <w:pPr>
              <w:pStyle w:val="DefaultText"/>
              <w:rPr>
                <w:rFonts w:cs="Arial"/>
                <w:noProof/>
                <w:color w:val="auto"/>
              </w:rPr>
            </w:pPr>
            <w:r>
              <w:rPr>
                <w:rFonts w:cs="Arial"/>
                <w:noProof/>
              </w:rPr>
              <w:t>Energy producer</w:t>
            </w:r>
          </w:p>
        </w:tc>
        <w:tc>
          <w:tcPr>
            <w:tcW w:w="843" w:type="pct"/>
            <w:noWrap/>
          </w:tcPr>
          <w:p w:rsidR="00B60846" w:rsidRDefault="008069FF">
            <w:pPr>
              <w:pStyle w:val="table-text"/>
              <w:rPr>
                <w:rFonts w:cs="Arial"/>
                <w:noProof/>
                <w:sz w:val="24"/>
              </w:rPr>
            </w:pPr>
            <w:r>
              <w:rPr>
                <w:rFonts w:cs="Arial"/>
                <w:noProof/>
                <w:sz w:val="24"/>
              </w:rPr>
              <w:t>10</w:t>
            </w:r>
          </w:p>
        </w:tc>
        <w:tc>
          <w:tcPr>
            <w:tcW w:w="1123" w:type="pct"/>
            <w:noWrap/>
          </w:tcPr>
          <w:p w:rsidR="00B60846" w:rsidRDefault="008069FF">
            <w:pPr>
              <w:pStyle w:val="table-text"/>
              <w:rPr>
                <w:rFonts w:cs="Arial"/>
                <w:noProof/>
                <w:sz w:val="24"/>
              </w:rPr>
            </w:pPr>
            <w:r>
              <w:rPr>
                <w:rFonts w:cs="Arial"/>
                <w:noProof/>
                <w:sz w:val="24"/>
              </w:rPr>
              <w:t>9%</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vAlign w:val="bottom"/>
            <w:hideMark/>
          </w:tcPr>
          <w:p w:rsidR="00B60846" w:rsidRDefault="008069FF">
            <w:pPr>
              <w:pStyle w:val="DefaultText"/>
              <w:rPr>
                <w:rFonts w:cs="Arial"/>
                <w:noProof/>
                <w:color w:val="auto"/>
              </w:rPr>
            </w:pPr>
            <w:r>
              <w:rPr>
                <w:rFonts w:cs="Arial"/>
                <w:noProof/>
              </w:rPr>
              <w:t>Industry</w:t>
            </w:r>
          </w:p>
        </w:tc>
        <w:tc>
          <w:tcPr>
            <w:tcW w:w="843" w:type="pct"/>
            <w:noWrap/>
          </w:tcPr>
          <w:p w:rsidR="00B60846" w:rsidRDefault="008069FF">
            <w:pPr>
              <w:pStyle w:val="table-text"/>
              <w:rPr>
                <w:rFonts w:cs="Arial"/>
                <w:noProof/>
                <w:sz w:val="24"/>
              </w:rPr>
            </w:pPr>
            <w:r>
              <w:rPr>
                <w:rFonts w:cs="Arial"/>
                <w:noProof/>
                <w:sz w:val="24"/>
              </w:rPr>
              <w:t>17</w:t>
            </w:r>
          </w:p>
        </w:tc>
        <w:tc>
          <w:tcPr>
            <w:tcW w:w="1123" w:type="pct"/>
            <w:noWrap/>
          </w:tcPr>
          <w:p w:rsidR="00B60846" w:rsidRDefault="008069FF">
            <w:pPr>
              <w:pStyle w:val="table-text"/>
              <w:rPr>
                <w:rFonts w:cs="Arial"/>
                <w:noProof/>
                <w:sz w:val="24"/>
              </w:rPr>
            </w:pPr>
            <w:r>
              <w:rPr>
                <w:rFonts w:cs="Arial"/>
                <w:noProof/>
                <w:sz w:val="24"/>
              </w:rPr>
              <w:t>15%</w:t>
            </w:r>
          </w:p>
        </w:tc>
      </w:tr>
      <w:tr w:rsidR="00B60846" w:rsidTr="00B60846">
        <w:trPr>
          <w:cnfStyle w:val="000000100000" w:firstRow="0" w:lastRow="0" w:firstColumn="0" w:lastColumn="0" w:oddVBand="0" w:evenVBand="0" w:oddHBand="1" w:evenHBand="0" w:firstRowFirstColumn="0" w:firstRowLastColumn="0" w:lastRowFirstColumn="0" w:lastRowLastColumn="0"/>
          <w:trHeight w:val="250"/>
        </w:trPr>
        <w:tc>
          <w:tcPr>
            <w:tcW w:w="3035" w:type="pct"/>
            <w:noWrap/>
            <w:vAlign w:val="bottom"/>
            <w:hideMark/>
          </w:tcPr>
          <w:p w:rsidR="00B60846" w:rsidRDefault="008069FF">
            <w:pPr>
              <w:pStyle w:val="DefaultText"/>
              <w:rPr>
                <w:rFonts w:cs="Arial"/>
                <w:noProof/>
                <w:color w:val="auto"/>
              </w:rPr>
            </w:pPr>
            <w:r>
              <w:rPr>
                <w:rFonts w:cs="Arial"/>
                <w:noProof/>
              </w:rPr>
              <w:t>Telecom company</w:t>
            </w:r>
          </w:p>
        </w:tc>
        <w:tc>
          <w:tcPr>
            <w:tcW w:w="843" w:type="pct"/>
            <w:noWrap/>
          </w:tcPr>
          <w:p w:rsidR="00B60846" w:rsidRDefault="008069FF">
            <w:pPr>
              <w:pStyle w:val="table-text"/>
              <w:rPr>
                <w:rFonts w:cs="Arial"/>
                <w:noProof/>
                <w:sz w:val="24"/>
              </w:rPr>
            </w:pPr>
            <w:r>
              <w:rPr>
                <w:rFonts w:cs="Arial"/>
                <w:noProof/>
                <w:sz w:val="24"/>
              </w:rPr>
              <w:t>0</w:t>
            </w:r>
          </w:p>
        </w:tc>
        <w:tc>
          <w:tcPr>
            <w:tcW w:w="1123" w:type="pct"/>
            <w:noWrap/>
          </w:tcPr>
          <w:p w:rsidR="00B60846" w:rsidRDefault="008069FF">
            <w:pPr>
              <w:pStyle w:val="table-text"/>
              <w:rPr>
                <w:rFonts w:cs="Arial"/>
                <w:noProof/>
                <w:sz w:val="24"/>
              </w:rPr>
            </w:pPr>
            <w:r>
              <w:rPr>
                <w:rFonts w:cs="Arial"/>
                <w:noProof/>
                <w:sz w:val="24"/>
              </w:rPr>
              <w:t>0%</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vAlign w:val="bottom"/>
            <w:hideMark/>
          </w:tcPr>
          <w:p w:rsidR="00B60846" w:rsidRDefault="008069FF">
            <w:pPr>
              <w:pStyle w:val="DefaultText"/>
              <w:rPr>
                <w:rFonts w:cs="Arial"/>
                <w:noProof/>
                <w:color w:val="auto"/>
              </w:rPr>
            </w:pPr>
            <w:r>
              <w:rPr>
                <w:rFonts w:cs="Arial"/>
                <w:noProof/>
              </w:rPr>
              <w:t>Local or regional authority</w:t>
            </w:r>
          </w:p>
        </w:tc>
        <w:tc>
          <w:tcPr>
            <w:tcW w:w="843" w:type="pct"/>
            <w:noWrap/>
          </w:tcPr>
          <w:p w:rsidR="00B60846" w:rsidRDefault="008069FF">
            <w:pPr>
              <w:pStyle w:val="table-text"/>
              <w:rPr>
                <w:rFonts w:cs="Arial"/>
                <w:noProof/>
                <w:sz w:val="24"/>
              </w:rPr>
            </w:pPr>
            <w:r>
              <w:rPr>
                <w:rFonts w:cs="Arial"/>
                <w:noProof/>
                <w:sz w:val="24"/>
              </w:rPr>
              <w:t>0</w:t>
            </w:r>
          </w:p>
        </w:tc>
        <w:tc>
          <w:tcPr>
            <w:tcW w:w="1123" w:type="pct"/>
            <w:noWrap/>
          </w:tcPr>
          <w:p w:rsidR="00B60846" w:rsidRDefault="008069FF">
            <w:pPr>
              <w:pStyle w:val="table-text"/>
              <w:rPr>
                <w:rFonts w:cs="Arial"/>
                <w:noProof/>
                <w:sz w:val="24"/>
              </w:rPr>
            </w:pPr>
            <w:r>
              <w:rPr>
                <w:rFonts w:cs="Arial"/>
                <w:noProof/>
                <w:sz w:val="24"/>
              </w:rPr>
              <w:t>0%</w:t>
            </w:r>
          </w:p>
        </w:tc>
      </w:tr>
      <w:tr w:rsidR="00B60846" w:rsidTr="00B60846">
        <w:trPr>
          <w:cnfStyle w:val="000000100000" w:firstRow="0" w:lastRow="0" w:firstColumn="0" w:lastColumn="0" w:oddVBand="0" w:evenVBand="0" w:oddHBand="1" w:evenHBand="0" w:firstRowFirstColumn="0" w:firstRowLastColumn="0" w:lastRowFirstColumn="0" w:lastRowLastColumn="0"/>
          <w:trHeight w:val="250"/>
        </w:trPr>
        <w:tc>
          <w:tcPr>
            <w:tcW w:w="3035" w:type="pct"/>
            <w:noWrap/>
            <w:vAlign w:val="bottom"/>
            <w:hideMark/>
          </w:tcPr>
          <w:p w:rsidR="00B60846" w:rsidRDefault="008069FF">
            <w:pPr>
              <w:pStyle w:val="DefaultText"/>
              <w:rPr>
                <w:rFonts w:cs="Arial"/>
                <w:noProof/>
                <w:color w:val="auto"/>
              </w:rPr>
            </w:pPr>
            <w:r>
              <w:rPr>
                <w:rFonts w:cs="Arial"/>
                <w:noProof/>
              </w:rPr>
              <w:t>Civil society</w:t>
            </w:r>
          </w:p>
        </w:tc>
        <w:tc>
          <w:tcPr>
            <w:tcW w:w="843" w:type="pct"/>
            <w:noWrap/>
          </w:tcPr>
          <w:p w:rsidR="00B60846" w:rsidRDefault="008069FF">
            <w:pPr>
              <w:pStyle w:val="table-text"/>
              <w:rPr>
                <w:rFonts w:cs="Arial"/>
                <w:noProof/>
                <w:sz w:val="24"/>
              </w:rPr>
            </w:pPr>
            <w:r>
              <w:rPr>
                <w:rFonts w:cs="Arial"/>
                <w:noProof/>
                <w:sz w:val="24"/>
              </w:rPr>
              <w:t>11</w:t>
            </w:r>
          </w:p>
        </w:tc>
        <w:tc>
          <w:tcPr>
            <w:tcW w:w="1123" w:type="pct"/>
            <w:noWrap/>
          </w:tcPr>
          <w:p w:rsidR="00B60846" w:rsidRDefault="008069FF">
            <w:pPr>
              <w:pStyle w:val="table-text"/>
              <w:rPr>
                <w:rFonts w:cs="Arial"/>
                <w:noProof/>
                <w:sz w:val="24"/>
              </w:rPr>
            </w:pPr>
            <w:r>
              <w:rPr>
                <w:rFonts w:cs="Arial"/>
                <w:noProof/>
                <w:sz w:val="24"/>
              </w:rPr>
              <w:t>10%</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vAlign w:val="bottom"/>
            <w:hideMark/>
          </w:tcPr>
          <w:p w:rsidR="00B60846" w:rsidRDefault="008069FF">
            <w:pPr>
              <w:pStyle w:val="DefaultText"/>
              <w:rPr>
                <w:rFonts w:cs="Arial"/>
                <w:noProof/>
                <w:color w:val="auto"/>
              </w:rPr>
            </w:pPr>
            <w:r>
              <w:rPr>
                <w:rFonts w:cs="Arial"/>
                <w:noProof/>
              </w:rPr>
              <w:t>Research, academia</w:t>
            </w:r>
          </w:p>
        </w:tc>
        <w:tc>
          <w:tcPr>
            <w:tcW w:w="843" w:type="pct"/>
            <w:noWrap/>
          </w:tcPr>
          <w:p w:rsidR="00B60846" w:rsidRDefault="008069FF">
            <w:pPr>
              <w:pStyle w:val="table-text"/>
              <w:rPr>
                <w:rFonts w:cs="Arial"/>
                <w:noProof/>
                <w:sz w:val="24"/>
              </w:rPr>
            </w:pPr>
            <w:r>
              <w:rPr>
                <w:rFonts w:cs="Arial"/>
                <w:noProof/>
                <w:sz w:val="24"/>
              </w:rPr>
              <w:t>1</w:t>
            </w:r>
          </w:p>
        </w:tc>
        <w:tc>
          <w:tcPr>
            <w:tcW w:w="1123" w:type="pct"/>
            <w:noWrap/>
          </w:tcPr>
          <w:p w:rsidR="00B60846" w:rsidRDefault="008069FF">
            <w:pPr>
              <w:pStyle w:val="table-text"/>
              <w:rPr>
                <w:rFonts w:cs="Arial"/>
                <w:noProof/>
                <w:sz w:val="24"/>
              </w:rPr>
            </w:pPr>
            <w:r>
              <w:rPr>
                <w:rFonts w:cs="Arial"/>
                <w:noProof/>
                <w:sz w:val="24"/>
              </w:rPr>
              <w:t>1%</w:t>
            </w:r>
          </w:p>
        </w:tc>
      </w:tr>
      <w:tr w:rsidR="00B60846" w:rsidTr="00B60846">
        <w:trPr>
          <w:cnfStyle w:val="000000100000" w:firstRow="0" w:lastRow="0" w:firstColumn="0" w:lastColumn="0" w:oddVBand="0" w:evenVBand="0" w:oddHBand="1" w:evenHBand="0" w:firstRowFirstColumn="0" w:firstRowLastColumn="0" w:lastRowFirstColumn="0" w:lastRowLastColumn="0"/>
          <w:trHeight w:val="250"/>
        </w:trPr>
        <w:tc>
          <w:tcPr>
            <w:tcW w:w="3035" w:type="pct"/>
            <w:noWrap/>
            <w:vAlign w:val="bottom"/>
          </w:tcPr>
          <w:p w:rsidR="00B60846" w:rsidRDefault="008069FF">
            <w:pPr>
              <w:pStyle w:val="DefaultText"/>
              <w:rPr>
                <w:rFonts w:cs="Arial"/>
                <w:noProof/>
                <w:color w:val="auto"/>
              </w:rPr>
            </w:pPr>
            <w:r>
              <w:rPr>
                <w:rFonts w:cs="Arial"/>
                <w:noProof/>
              </w:rPr>
              <w:t xml:space="preserve">Other </w:t>
            </w:r>
          </w:p>
        </w:tc>
        <w:tc>
          <w:tcPr>
            <w:tcW w:w="843" w:type="pct"/>
            <w:noWrap/>
          </w:tcPr>
          <w:p w:rsidR="00B60846" w:rsidRDefault="008069FF">
            <w:pPr>
              <w:pStyle w:val="table-text"/>
              <w:rPr>
                <w:rFonts w:cs="Arial"/>
                <w:noProof/>
                <w:sz w:val="24"/>
              </w:rPr>
            </w:pPr>
            <w:r>
              <w:rPr>
                <w:rFonts w:cs="Arial"/>
                <w:noProof/>
                <w:sz w:val="24"/>
              </w:rPr>
              <w:t>22</w:t>
            </w:r>
          </w:p>
        </w:tc>
        <w:tc>
          <w:tcPr>
            <w:tcW w:w="1123" w:type="pct"/>
            <w:noWrap/>
          </w:tcPr>
          <w:p w:rsidR="00B60846" w:rsidRDefault="008069FF">
            <w:pPr>
              <w:pStyle w:val="table-text"/>
              <w:rPr>
                <w:rFonts w:cs="Arial"/>
                <w:noProof/>
                <w:sz w:val="24"/>
              </w:rPr>
            </w:pPr>
            <w:r>
              <w:rPr>
                <w:rFonts w:cs="Arial"/>
                <w:noProof/>
                <w:sz w:val="24"/>
              </w:rPr>
              <w:t>20%</w:t>
            </w:r>
          </w:p>
        </w:tc>
      </w:tr>
      <w:tr w:rsidR="00B60846" w:rsidTr="00B60846">
        <w:trPr>
          <w:cnfStyle w:val="000000010000" w:firstRow="0" w:lastRow="0" w:firstColumn="0" w:lastColumn="0" w:oddVBand="0" w:evenVBand="0" w:oddHBand="0" w:evenHBand="1" w:firstRowFirstColumn="0" w:firstRowLastColumn="0" w:lastRowFirstColumn="0" w:lastRowLastColumn="0"/>
          <w:trHeight w:val="250"/>
        </w:trPr>
        <w:tc>
          <w:tcPr>
            <w:tcW w:w="3035" w:type="pct"/>
            <w:noWrap/>
            <w:vAlign w:val="bottom"/>
          </w:tcPr>
          <w:p w:rsidR="00B60846" w:rsidRDefault="008069FF">
            <w:pPr>
              <w:pStyle w:val="DefaultText"/>
              <w:rPr>
                <w:rFonts w:cs="Arial"/>
                <w:noProof/>
              </w:rPr>
            </w:pPr>
            <w:r>
              <w:rPr>
                <w:rFonts w:cs="Arial"/>
                <w:noProof/>
              </w:rPr>
              <w:t>Total</w:t>
            </w:r>
          </w:p>
        </w:tc>
        <w:tc>
          <w:tcPr>
            <w:tcW w:w="843" w:type="pct"/>
            <w:noWrap/>
          </w:tcPr>
          <w:p w:rsidR="00B60846" w:rsidRDefault="008069FF">
            <w:pPr>
              <w:pStyle w:val="table-text"/>
              <w:rPr>
                <w:rFonts w:cs="Arial"/>
                <w:noProof/>
                <w:sz w:val="24"/>
              </w:rPr>
            </w:pPr>
            <w:r>
              <w:rPr>
                <w:rFonts w:cs="Arial"/>
                <w:noProof/>
                <w:sz w:val="24"/>
              </w:rPr>
              <w:t>112</w:t>
            </w:r>
          </w:p>
        </w:tc>
        <w:tc>
          <w:tcPr>
            <w:tcW w:w="1123" w:type="pct"/>
            <w:noWrap/>
          </w:tcPr>
          <w:p w:rsidR="00B60846" w:rsidRDefault="008069FF">
            <w:pPr>
              <w:pStyle w:val="table-text"/>
              <w:rPr>
                <w:rFonts w:cs="Arial"/>
                <w:noProof/>
                <w:sz w:val="24"/>
              </w:rPr>
            </w:pPr>
            <w:r>
              <w:rPr>
                <w:rFonts w:cs="Arial"/>
                <w:noProof/>
                <w:sz w:val="24"/>
              </w:rPr>
              <w:t>100%</w:t>
            </w:r>
          </w:p>
        </w:tc>
      </w:tr>
    </w:tbl>
    <w:p w:rsidR="00B60846" w:rsidRDefault="00B60846">
      <w:pPr>
        <w:pStyle w:val="DefaultText"/>
        <w:rPr>
          <w:rFonts w:eastAsia="Times New Roman"/>
          <w:noProof/>
        </w:rPr>
      </w:pPr>
    </w:p>
    <w:p w:rsidR="00B60846" w:rsidRDefault="008069FF">
      <w:pPr>
        <w:pStyle w:val="Caption"/>
        <w:jc w:val="both"/>
        <w:rPr>
          <w:rFonts w:ascii="times new romanimes new roman" w:eastAsia="times new romanimes new roman" w:hAnsi="times new romanimes new roman" w:cs="times new romanimes new roman"/>
          <w:b w:val="0"/>
          <w:noProof/>
          <w:sz w:val="24"/>
          <w:szCs w:val="24"/>
          <w:lang w:eastAsia="nl-NL"/>
        </w:rPr>
      </w:pPr>
      <w:r>
        <w:rPr>
          <w:rFonts w:ascii="times new romanimes new roman" w:eastAsia="times new romanimes new roman" w:hAnsi="times new romanimes new roman" w:cs="times new romanimes new roman"/>
          <w:b w:val="0"/>
          <w:noProof/>
          <w:sz w:val="24"/>
          <w:szCs w:val="24"/>
          <w:lang w:eastAsia="nl-NL"/>
        </w:rPr>
        <w:t xml:space="preserve">In terms of the distribution of responses by country, most responses were received from Belgium (33), followed by Austria, France and Germany (9 respondents each). The </w:t>
      </w:r>
      <w:r>
        <w:rPr>
          <w:rFonts w:ascii="times new romanimes new roman" w:eastAsia="times new romanimes new roman" w:hAnsi="times new romanimes new roman" w:cs="times new romanimes new roman"/>
          <w:b w:val="0"/>
          <w:noProof/>
          <w:sz w:val="24"/>
          <w:szCs w:val="24"/>
          <w:lang w:eastAsia="nl-NL"/>
        </w:rPr>
        <w:t>overrepresentation of Belgium stems from the fact that many of the civil society organisations and industry associations that provided their input to the targeted survey are based in Brussels.</w:t>
      </w:r>
    </w:p>
    <w:p w:rsidR="00B60846" w:rsidRDefault="00B60846">
      <w:pPr>
        <w:pStyle w:val="DefaultText"/>
        <w:rPr>
          <w:noProof/>
        </w:rPr>
      </w:pPr>
    </w:p>
    <w:p w:rsidR="00B60846" w:rsidRDefault="00B60846">
      <w:pPr>
        <w:pStyle w:val="Caption"/>
        <w:rPr>
          <w:noProof/>
        </w:rPr>
      </w:pPr>
    </w:p>
    <w:p w:rsidR="00B60846" w:rsidRDefault="008069FF">
      <w:pPr>
        <w:pStyle w:val="DefaultText"/>
        <w:jc w:val="center"/>
        <w:rPr>
          <w:noProof/>
        </w:rPr>
      </w:pPr>
      <w:r>
        <w:rPr>
          <w:noProof/>
          <w:lang w:eastAsia="en-GB"/>
        </w:rPr>
        <w:drawing>
          <wp:inline distT="0" distB="0" distL="0" distR="0">
            <wp:extent cx="5216844" cy="2131920"/>
            <wp:effectExtent l="0" t="0" r="3175" b="1905"/>
            <wp:docPr id="19000635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216844" cy="2131920"/>
                    </a:xfrm>
                    <a:prstGeom prst="rect">
                      <a:avLst/>
                    </a:prstGeom>
                  </pic:spPr>
                </pic:pic>
              </a:graphicData>
            </a:graphic>
          </wp:inline>
        </w:drawing>
      </w:r>
    </w:p>
    <w:p w:rsidR="00B60846" w:rsidRDefault="00B60846">
      <w:pPr>
        <w:pStyle w:val="list-bullet-color"/>
        <w:numPr>
          <w:ilvl w:val="0"/>
          <w:numId w:val="0"/>
        </w:numPr>
        <w:rPr>
          <w:noProof/>
        </w:rPr>
      </w:pPr>
    </w:p>
    <w:p w:rsidR="00B60846" w:rsidRDefault="008069FF">
      <w:pPr>
        <w:pStyle w:val="list-bullet-color"/>
        <w:numPr>
          <w:ilvl w:val="0"/>
          <w:numId w:val="0"/>
        </w:numPr>
        <w:jc w:val="both"/>
        <w:rPr>
          <w:noProof/>
        </w:rPr>
      </w:pPr>
      <w:r>
        <w:rPr>
          <w:noProof/>
        </w:rPr>
        <w:t xml:space="preserve">Approximately 46 </w:t>
      </w:r>
      <w:r>
        <w:rPr>
          <w:b/>
          <w:bCs/>
          <w:noProof/>
        </w:rPr>
        <w:t>in-depth interviews</w:t>
      </w:r>
      <w:r>
        <w:rPr>
          <w:noProof/>
        </w:rPr>
        <w:t xml:space="preserve"> were carried out with</w:t>
      </w:r>
      <w:r>
        <w:rPr>
          <w:noProof/>
        </w:rPr>
        <w:t xml:space="preserve"> the support of a consultant with key stakeholders of the TEN-E Regulation to provide detailed information and evidence on key aspects that could not be dealt with in length by the targeted questionnaire. </w:t>
      </w:r>
      <w:r>
        <w:rPr>
          <w:noProof/>
        </w:rPr>
        <w:tab/>
        <w:t>The interviews aimed to collect more detailed info</w:t>
      </w:r>
      <w:r>
        <w:rPr>
          <w:noProof/>
        </w:rPr>
        <w:t>rmation than could be collected through the targeted survey and online public consultation. As such, the interviews focused primarily on the effectiveness and implementation of the Regulation, but also touched upon its relevance, coherence, and EU added va</w:t>
      </w:r>
      <w:r>
        <w:rPr>
          <w:noProof/>
        </w:rPr>
        <w:t xml:space="preserve">lue. </w:t>
      </w:r>
    </w:p>
    <w:p w:rsidR="00B60846" w:rsidRDefault="00B60846">
      <w:pPr>
        <w:pStyle w:val="DefaultText"/>
        <w:rPr>
          <w:noProof/>
        </w:rPr>
      </w:pPr>
    </w:p>
    <w:p w:rsidR="00B60846" w:rsidRDefault="008069FF">
      <w:pPr>
        <w:pStyle w:val="list-bullet-color"/>
        <w:numPr>
          <w:ilvl w:val="0"/>
          <w:numId w:val="0"/>
        </w:numPr>
        <w:jc w:val="both"/>
        <w:rPr>
          <w:noProof/>
        </w:rPr>
      </w:pPr>
      <w:r>
        <w:rPr>
          <w:noProof/>
        </w:rPr>
        <w:t>The interviews were designed to complement the results of the targeted survey.</w:t>
      </w:r>
    </w:p>
    <w:p w:rsidR="00B60846" w:rsidRDefault="00B60846">
      <w:pPr>
        <w:pStyle w:val="list-bullet-color"/>
        <w:numPr>
          <w:ilvl w:val="0"/>
          <w:numId w:val="0"/>
        </w:numPr>
        <w:jc w:val="both"/>
        <w:rPr>
          <w:noProof/>
        </w:rPr>
      </w:pPr>
    </w:p>
    <w:p w:rsidR="00B60846" w:rsidRDefault="008069FF">
      <w:pPr>
        <w:pStyle w:val="DefaultText"/>
        <w:jc w:val="both"/>
        <w:rPr>
          <w:noProof/>
        </w:rPr>
      </w:pPr>
      <w:r>
        <w:rPr>
          <w:b/>
          <w:bCs/>
          <w:noProof/>
          <w:lang w:val="en-IE"/>
        </w:rPr>
        <w:t>Four stakeholder webinars</w:t>
      </w:r>
      <w:r>
        <w:rPr>
          <w:noProof/>
          <w:lang w:val="en-IE"/>
        </w:rPr>
        <w:t xml:space="preserve"> took place with the use of online conferencing systems to ensure further outreach to stakeholders and create opportunities for structured feedb</w:t>
      </w:r>
      <w:r>
        <w:rPr>
          <w:noProof/>
          <w:lang w:val="en-IE"/>
        </w:rPr>
        <w:t>ack. Each webinar will be dedicated to key elements of the inception impact assessment. The webinars will last between 2.5 and 3 hours and</w:t>
      </w:r>
      <w:r>
        <w:rPr>
          <w:noProof/>
        </w:rPr>
        <w:t xml:space="preserve"> will include presentations on the topics addressed, as well as moderated discussions with the online audience. Intera</w:t>
      </w:r>
      <w:r>
        <w:rPr>
          <w:noProof/>
        </w:rPr>
        <w:t>ctive tools such Sli.Do and/or in-built functions helped taking on questions from the audience.</w:t>
      </w:r>
    </w:p>
    <w:p w:rsidR="00B60846" w:rsidRDefault="008069FF">
      <w:pPr>
        <w:pStyle w:val="DefaultText"/>
        <w:numPr>
          <w:ilvl w:val="0"/>
          <w:numId w:val="12"/>
        </w:numPr>
        <w:jc w:val="both"/>
        <w:rPr>
          <w:rFonts w:eastAsia="Times New Roman"/>
          <w:noProof/>
          <w:lang w:val="en-IE" w:eastAsia="en-US"/>
        </w:rPr>
      </w:pPr>
      <w:r>
        <w:rPr>
          <w:rFonts w:eastAsia="Times New Roman"/>
          <w:noProof/>
          <w:lang w:val="en-IE" w:eastAsia="en-US"/>
        </w:rPr>
        <w:t xml:space="preserve">The first webinar on ‘TEN-E Infrastructure categories to ensure full consistency with the climate neutrality objectives of the Green Deal’ took place on 02 June 2020. It was attended by 304 participants and 17 panellists. </w:t>
      </w:r>
    </w:p>
    <w:p w:rsidR="00B60846" w:rsidRDefault="008069FF">
      <w:pPr>
        <w:pStyle w:val="DefaultText"/>
        <w:numPr>
          <w:ilvl w:val="0"/>
          <w:numId w:val="12"/>
        </w:numPr>
        <w:jc w:val="both"/>
        <w:rPr>
          <w:rFonts w:eastAsia="Times New Roman"/>
          <w:noProof/>
          <w:lang w:val="en-IE" w:eastAsia="en-US"/>
        </w:rPr>
      </w:pPr>
      <w:r>
        <w:rPr>
          <w:rFonts w:eastAsia="Times New Roman"/>
          <w:noProof/>
          <w:lang w:val="en-IE" w:eastAsia="en-US"/>
        </w:rPr>
        <w:t xml:space="preserve">The second webinar on ‘Selection </w:t>
      </w:r>
      <w:r>
        <w:rPr>
          <w:rFonts w:eastAsia="Times New Roman"/>
          <w:noProof/>
          <w:lang w:val="en-IE" w:eastAsia="en-US"/>
        </w:rPr>
        <w:t>procedure and criteria for Projects of Common Interest (PCIs)’ took place on 04 June 2020. It was attended by 298 participants and 12 panellists. </w:t>
      </w:r>
    </w:p>
    <w:p w:rsidR="00B60846" w:rsidRDefault="008069FF">
      <w:pPr>
        <w:pStyle w:val="DefaultText"/>
        <w:numPr>
          <w:ilvl w:val="0"/>
          <w:numId w:val="12"/>
        </w:numPr>
        <w:jc w:val="both"/>
        <w:rPr>
          <w:rFonts w:eastAsia="Times New Roman"/>
          <w:noProof/>
          <w:lang w:val="en-IE" w:eastAsia="en-US"/>
        </w:rPr>
      </w:pPr>
      <w:r>
        <w:rPr>
          <w:rFonts w:eastAsia="Times New Roman"/>
          <w:noProof/>
          <w:lang w:val="en-IE" w:eastAsia="en-US"/>
        </w:rPr>
        <w:t>The third webinar on ‘TEN-E Regulatory toolbox and criteria for CEF financial assistance’ took place on 09 Ju</w:t>
      </w:r>
      <w:r>
        <w:rPr>
          <w:rFonts w:eastAsia="Times New Roman"/>
          <w:noProof/>
          <w:lang w:val="en-IE" w:eastAsia="en-US"/>
        </w:rPr>
        <w:t xml:space="preserve">ne 2020. It was attended by 284 participants and 9 panellists. </w:t>
      </w:r>
    </w:p>
    <w:p w:rsidR="00B60846" w:rsidRDefault="008069FF">
      <w:pPr>
        <w:pStyle w:val="DefaultText"/>
        <w:numPr>
          <w:ilvl w:val="0"/>
          <w:numId w:val="12"/>
        </w:numPr>
        <w:jc w:val="both"/>
        <w:rPr>
          <w:rFonts w:eastAsia="Times New Roman"/>
          <w:noProof/>
          <w:lang w:val="en-IE" w:eastAsia="en-US"/>
        </w:rPr>
      </w:pPr>
      <w:r>
        <w:rPr>
          <w:rFonts w:eastAsia="Times New Roman"/>
          <w:noProof/>
          <w:lang w:val="en-IE" w:eastAsia="en-US"/>
        </w:rPr>
        <w:t xml:space="preserve">The fourth and last webinar on ‘PCI Implementation: Permitting, monitoring and involvement of stakeholders’ took place on 11 June 2020. It was attended by 211 participants and 8 panellists. </w:t>
      </w:r>
    </w:p>
    <w:p w:rsidR="00B60846" w:rsidRDefault="00B60846">
      <w:pPr>
        <w:pStyle w:val="list-bullet-color"/>
        <w:numPr>
          <w:ilvl w:val="0"/>
          <w:numId w:val="0"/>
        </w:numPr>
        <w:jc w:val="both"/>
        <w:rPr>
          <w:noProof/>
        </w:rPr>
      </w:pPr>
    </w:p>
    <w:p w:rsidR="00B60846" w:rsidRDefault="008069FF">
      <w:pPr>
        <w:rPr>
          <w:noProof/>
        </w:rPr>
      </w:pPr>
      <w:r>
        <w:rPr>
          <w:noProof/>
        </w:rPr>
        <w:t xml:space="preserve">In terms of the effectiveness of the TEN-E Regulation in reaching its </w:t>
      </w:r>
      <w:r>
        <w:rPr>
          <w:b/>
          <w:bCs/>
          <w:noProof/>
        </w:rPr>
        <w:t>objectives</w:t>
      </w:r>
      <w:r>
        <w:rPr>
          <w:noProof/>
        </w:rPr>
        <w:t xml:space="preserve">, the replies to the OPC and the targeted survey converged. </w:t>
      </w:r>
      <w:r>
        <w:rPr>
          <w:rFonts w:eastAsia="Arial"/>
          <w:noProof/>
          <w:lang w:eastAsia="nl-NL"/>
        </w:rPr>
        <w:t xml:space="preserve">The majority of </w:t>
      </w:r>
      <w:r>
        <w:rPr>
          <w:noProof/>
        </w:rPr>
        <w:t xml:space="preserve">respondents of the OPC found that the ‘integration of renewable energy sources into the grid’ (92%) </w:t>
      </w:r>
      <w:r>
        <w:rPr>
          <w:noProof/>
        </w:rPr>
        <w:t>is the most important objective for trans-European energy infrastructure network</w:t>
      </w:r>
      <w:r>
        <w:rPr>
          <w:rStyle w:val="FootnoteReference"/>
          <w:noProof/>
        </w:rPr>
        <w:footnoteReference w:id="139"/>
      </w:r>
      <w:r>
        <w:rPr>
          <w:noProof/>
        </w:rPr>
        <w:t>. On a positive scale, the objective to achieve ‘a competitive and properly functioning integrated energy market’ was also perceived as relevant by 65% of the contributors. The stakeholders replying to the targeted survey largely confirmed that the TEN-E R</w:t>
      </w:r>
      <w:r>
        <w:rPr>
          <w:noProof/>
        </w:rPr>
        <w:t>egulation has had a positive impact towards meeting its objectives: it has contributed to energy market integration (88%), achieved an adequate level of security of supply (77%), and contributed to competitiveness in the EU energy market (63%). Less agreem</w:t>
      </w:r>
      <w:r>
        <w:rPr>
          <w:noProof/>
        </w:rPr>
        <w:t xml:space="preserve">ent was indicated with the statement that the Regulation helped achieve the 2020 climate and energy targets, however (47%). There are no clear trends across stakeholder groups. </w:t>
      </w:r>
    </w:p>
    <w:p w:rsidR="00B60846" w:rsidRDefault="008069FF">
      <w:pPr>
        <w:pStyle w:val="DefaultText"/>
        <w:jc w:val="both"/>
        <w:rPr>
          <w:noProof/>
        </w:rPr>
      </w:pPr>
      <w:r>
        <w:rPr>
          <w:noProof/>
        </w:rPr>
        <w:t>OPC respondents’ contributions were more diverse when scoring the relevance of</w:t>
      </w:r>
      <w:r>
        <w:rPr>
          <w:noProof/>
        </w:rPr>
        <w:t xml:space="preserve"> </w:t>
      </w:r>
      <w:r>
        <w:rPr>
          <w:b/>
          <w:bCs/>
          <w:noProof/>
        </w:rPr>
        <w:t>infrastructure categories</w:t>
      </w:r>
      <w:r>
        <w:rPr>
          <w:noProof/>
        </w:rPr>
        <w:t xml:space="preserve"> under the TEN-E. Electricity infrastructure (transmission lines and storage) and smart electricity grids ranked first (87 and 83%, respectively) in respondents’ choices as relevant. On the other side of the ranking, ‘geological s</w:t>
      </w:r>
      <w:r>
        <w:rPr>
          <w:noProof/>
        </w:rPr>
        <w:t>torage of CO2, LNG) terminals and CO2 networks (for transporting CO2) were deemed relevant to a small extent, mostly justified (via the functional mail) of the consultation by opposition from EU citizens to supporting fossil fuel energy infrastructure.</w:t>
      </w:r>
    </w:p>
    <w:p w:rsidR="00B60846" w:rsidRDefault="00B60846">
      <w:pPr>
        <w:pStyle w:val="DefaultText"/>
        <w:jc w:val="both"/>
        <w:rPr>
          <w:noProof/>
        </w:rPr>
      </w:pPr>
    </w:p>
    <w:p w:rsidR="00B60846" w:rsidRDefault="008069FF">
      <w:pPr>
        <w:rPr>
          <w:rFonts w:eastAsia="Arial"/>
          <w:noProof/>
          <w:lang w:eastAsia="nl-NL"/>
        </w:rPr>
      </w:pPr>
      <w:r>
        <w:rPr>
          <w:noProof/>
        </w:rPr>
        <w:t>Wh</w:t>
      </w:r>
      <w:r>
        <w:rPr>
          <w:noProof/>
        </w:rPr>
        <w:t>ilst there is a broad agreement that the infrastructure categories on the effective support of current infrastructure categories in achieving the overall objectives of the TEN-E Regulation, the input indicate that priority corridors and thematic areas need</w:t>
      </w:r>
      <w:r>
        <w:rPr>
          <w:noProof/>
        </w:rPr>
        <w:t xml:space="preserve"> to be updated to address future challenges and incorporate new types of projects. </w:t>
      </w:r>
      <w:r>
        <w:rPr>
          <w:rFonts w:eastAsia="Arial"/>
          <w:noProof/>
          <w:lang w:eastAsia="nl-NL"/>
        </w:rPr>
        <w:t xml:space="preserve">The stakeholder consultation shows that stakeholders generally agree on broadening the technological scope of the TEN-E Regulation to integrate more technologies supporting </w:t>
      </w:r>
      <w:r>
        <w:rPr>
          <w:rFonts w:eastAsia="Arial"/>
          <w:noProof/>
          <w:lang w:eastAsia="nl-NL"/>
        </w:rPr>
        <w:t>a decarbonised energy system, as well as encouraging innovation.</w:t>
      </w:r>
    </w:p>
    <w:p w:rsidR="00B60846" w:rsidRDefault="008069FF">
      <w:pPr>
        <w:pStyle w:val="DefaultText"/>
        <w:jc w:val="both"/>
        <w:rPr>
          <w:noProof/>
        </w:rPr>
      </w:pPr>
      <w:r>
        <w:rPr>
          <w:noProof/>
        </w:rPr>
        <w:t>Suggestions included the consideration of new infrastructure categories, as well as discarding existing ones. In general, stakeholders called for the reflection of the role of decentralised e</w:t>
      </w:r>
      <w:r>
        <w:rPr>
          <w:noProof/>
        </w:rPr>
        <w:t>lectricity production in the revised TEN-E Regulation and the need for a greater cooperation between TSOs and DSOs. Support was received for including cross-sectoral projects, smart gas grid projects and hybrid wind offshore  in the scope of the TEN-E.  Sp</w:t>
      </w:r>
      <w:r>
        <w:rPr>
          <w:noProof/>
        </w:rPr>
        <w:t>ecifically on gas infrastructure categories, there was an agreement that hydrogen and green gases will be required at large scale with deployment centered around current industrial hydrogen clusters. Additionally, the position of NGOS and RES promoters foc</w:t>
      </w:r>
      <w:r>
        <w:rPr>
          <w:noProof/>
        </w:rPr>
        <w:t xml:space="preserve">used on the transitional role of green gases blending into the current gas pipelines and the need to mainstream the “do no harm principle” thus, calling for the removal of natural gas infrastructure. </w:t>
      </w:r>
    </w:p>
    <w:p w:rsidR="00B60846" w:rsidRDefault="008069FF">
      <w:pPr>
        <w:pStyle w:val="list-bullet-color"/>
        <w:numPr>
          <w:ilvl w:val="0"/>
          <w:numId w:val="0"/>
        </w:numPr>
        <w:jc w:val="both"/>
        <w:rPr>
          <w:noProof/>
        </w:rPr>
      </w:pPr>
      <w:r>
        <w:rPr>
          <w:noProof/>
        </w:rPr>
        <w:t>Between 87 and 93 answers to the OPC qualified the faci</w:t>
      </w:r>
      <w:r>
        <w:rPr>
          <w:noProof/>
        </w:rPr>
        <w:t>litation of integration of renewable energy sources into the grid, the contribution to greenhouse gas emissions reduction and ensuring security of supply as important features out of all possible features</w:t>
      </w:r>
      <w:r>
        <w:rPr>
          <w:noProof/>
        </w:rPr>
        <w:footnoteReference w:id="140"/>
      </w:r>
      <w:r>
        <w:rPr>
          <w:noProof/>
        </w:rPr>
        <w:t xml:space="preserve"> listed for PCIs. The environmentally sound impleme</w:t>
      </w:r>
      <w:r>
        <w:rPr>
          <w:noProof/>
        </w:rPr>
        <w:t>ntation of PCIs and generation of direct benefits to the local communities were considered equally important by the contributors to the open public consultation. The contribution of PCIs towards increasing the competition in the market was seen as positive</w:t>
      </w:r>
      <w:r>
        <w:rPr>
          <w:noProof/>
        </w:rPr>
        <w:t xml:space="preserve">, although ranked lower. </w:t>
      </w:r>
    </w:p>
    <w:p w:rsidR="00B60846" w:rsidRDefault="00B60846">
      <w:pPr>
        <w:pStyle w:val="list-bullet-color"/>
        <w:numPr>
          <w:ilvl w:val="0"/>
          <w:numId w:val="0"/>
        </w:numPr>
        <w:jc w:val="both"/>
        <w:rPr>
          <w:noProof/>
        </w:rPr>
      </w:pPr>
    </w:p>
    <w:p w:rsidR="00B60846" w:rsidRDefault="008069FF">
      <w:pPr>
        <w:pStyle w:val="list-bullet-color"/>
        <w:numPr>
          <w:ilvl w:val="0"/>
          <w:numId w:val="0"/>
        </w:numPr>
        <w:jc w:val="both"/>
        <w:rPr>
          <w:noProof/>
        </w:rPr>
      </w:pPr>
      <w:r>
        <w:rPr>
          <w:noProof/>
        </w:rPr>
        <w:t xml:space="preserve">The replies to the targeted consultation on the </w:t>
      </w:r>
      <w:r>
        <w:rPr>
          <w:b/>
          <w:bCs/>
          <w:noProof/>
        </w:rPr>
        <w:t>PCI selection criteria</w:t>
      </w:r>
      <w:r>
        <w:rPr>
          <w:noProof/>
        </w:rPr>
        <w:t xml:space="preserve"> complemented this input. As in the case of the OPC, targeted stakeholders confirmed that the selected PCIs are the most relevant projects to fulfil the TEN-E </w:t>
      </w:r>
      <w:r>
        <w:rPr>
          <w:noProof/>
        </w:rPr>
        <w:t>objectives (48% agree, 26% disagree). In their view, the cost-benefit assessments for the selection of PCIs would benefit from a more appropriate methodology (44%). In general, the roles of different actors in the selection procedure was considered adequat</w:t>
      </w:r>
      <w:r>
        <w:rPr>
          <w:noProof/>
        </w:rPr>
        <w:t>e, except for a significant wish to weaken the role of the ENTSOs (39%) and to strengthen the role of DSOs (53%) and other stakeholders, such as NGOs (39% - 67% of whom represented industry or civil society). With regards to the criteria, the general crite</w:t>
      </w:r>
      <w:r>
        <w:rPr>
          <w:noProof/>
        </w:rPr>
        <w:t xml:space="preserve">ria are considered appropriate (48% agree, 38% disagree), whilst the views on the appropriateness of the specific criteria for electricity, gas and CO2 projects were mixed mostly justified by lack of knowledge. </w:t>
      </w:r>
    </w:p>
    <w:p w:rsidR="00B60846" w:rsidRDefault="00B60846">
      <w:pPr>
        <w:pStyle w:val="list-bullet-color"/>
        <w:numPr>
          <w:ilvl w:val="0"/>
          <w:numId w:val="0"/>
        </w:numPr>
        <w:jc w:val="both"/>
        <w:rPr>
          <w:noProof/>
        </w:rPr>
      </w:pPr>
    </w:p>
    <w:p w:rsidR="00B60846" w:rsidRDefault="008069FF">
      <w:pPr>
        <w:pStyle w:val="list-bullet-color"/>
        <w:numPr>
          <w:ilvl w:val="0"/>
          <w:numId w:val="0"/>
        </w:numPr>
        <w:jc w:val="both"/>
        <w:rPr>
          <w:noProof/>
        </w:rPr>
      </w:pPr>
      <w:r>
        <w:rPr>
          <w:noProof/>
        </w:rPr>
        <w:t xml:space="preserve">Mirroring the feedback on the relevance of </w:t>
      </w:r>
      <w:r>
        <w:rPr>
          <w:noProof/>
        </w:rPr>
        <w:t>infrastructure categories, various stakeholders indicated that current eligibility criteria do not sufficiently support climate neutrality by insufficiently supporting network innovation and by including traditional, fossil fuel infrastructure. Some of the</w:t>
      </w:r>
      <w:r>
        <w:rPr>
          <w:noProof/>
        </w:rPr>
        <w:t xml:space="preserve"> current selection criteria might be too restrictive for the inclusion of projects at DSO level, in particular: the cross-border impact criteria, and the 10 kV voltage threshold and 20% RES origin for smart grids.</w:t>
      </w:r>
    </w:p>
    <w:p w:rsidR="00B60846" w:rsidRDefault="00B60846">
      <w:pPr>
        <w:pStyle w:val="list-bullet-color"/>
        <w:numPr>
          <w:ilvl w:val="0"/>
          <w:numId w:val="0"/>
        </w:numPr>
        <w:jc w:val="both"/>
        <w:rPr>
          <w:noProof/>
        </w:rPr>
      </w:pPr>
    </w:p>
    <w:p w:rsidR="00B60846" w:rsidRDefault="008069FF">
      <w:pPr>
        <w:pStyle w:val="list-bullet-color"/>
        <w:numPr>
          <w:ilvl w:val="0"/>
          <w:numId w:val="0"/>
        </w:numPr>
        <w:jc w:val="both"/>
        <w:rPr>
          <w:noProof/>
        </w:rPr>
      </w:pPr>
      <w:r>
        <w:rPr>
          <w:noProof/>
        </w:rPr>
        <w:t>In addition to this, several environmenta</w:t>
      </w:r>
      <w:r>
        <w:rPr>
          <w:noProof/>
        </w:rPr>
        <w:t>l NGOs and industry stakeholders indicated that the weak assessment of climate impact is causing projects to be selected that do not have a positive effect on the CO2 emissions. A need for revision of the PCI selection criteria in light of the sustainabili</w:t>
      </w:r>
      <w:r>
        <w:rPr>
          <w:noProof/>
        </w:rPr>
        <w:t xml:space="preserve">ty and climate effect is also echoed by some NRAs. TSOs do not indicate strong opinions on the sustainability criterion. Further input from the targeted stakeholders’ on the </w:t>
      </w:r>
      <w:r>
        <w:rPr>
          <w:b/>
          <w:bCs/>
          <w:noProof/>
        </w:rPr>
        <w:t>governance</w:t>
      </w:r>
      <w:r>
        <w:rPr>
          <w:noProof/>
        </w:rPr>
        <w:t xml:space="preserve"> of the selection process showed an overwhelming agreement among NRAs, N</w:t>
      </w:r>
      <w:r>
        <w:rPr>
          <w:noProof/>
        </w:rPr>
        <w:t>CAs and TSOs about the role of Regional Groups in enabling regional cooperation (83%). Equally, High Level Groups were deemed to provide added value through strategic steering and political guidance as well as monitoring the PCIs in the priority regions (7</w:t>
      </w:r>
      <w:r>
        <w:rPr>
          <w:noProof/>
        </w:rPr>
        <w:t xml:space="preserve">1%) There is a general agreement among all respondent groups that the current reporting and monitoring procedures on the PCI progress are sufficient to ensure transparency on PCI development (56% agree), </w:t>
      </w:r>
      <w:r>
        <w:rPr>
          <w:rFonts w:eastAsia="Times New Roman"/>
          <w:noProof/>
        </w:rPr>
        <w:t>but not that PCIs implementation plans and the regul</w:t>
      </w:r>
      <w:r>
        <w:rPr>
          <w:rFonts w:eastAsia="Times New Roman"/>
          <w:noProof/>
        </w:rPr>
        <w:t>ar updates ensure timely project implementation (33% agree).</w:t>
      </w:r>
    </w:p>
    <w:p w:rsidR="00B60846" w:rsidRDefault="008069FF">
      <w:pPr>
        <w:pStyle w:val="list-bullet-color"/>
        <w:numPr>
          <w:ilvl w:val="0"/>
          <w:numId w:val="0"/>
        </w:numPr>
        <w:jc w:val="both"/>
        <w:rPr>
          <w:noProof/>
        </w:rPr>
      </w:pPr>
      <w:r>
        <w:rPr>
          <w:rFonts w:eastAsia="Times New Roman"/>
          <w:noProof/>
        </w:rPr>
        <w:t xml:space="preserve"> </w:t>
      </w:r>
    </w:p>
    <w:p w:rsidR="00B60846" w:rsidRDefault="008069FF">
      <w:pPr>
        <w:pStyle w:val="list-bullet-color"/>
        <w:numPr>
          <w:ilvl w:val="0"/>
          <w:numId w:val="0"/>
        </w:numPr>
        <w:jc w:val="both"/>
        <w:rPr>
          <w:noProof/>
        </w:rPr>
      </w:pPr>
      <w:r>
        <w:rPr>
          <w:rFonts w:eastAsia="Times New Roman"/>
          <w:noProof/>
        </w:rPr>
        <w:t>Several</w:t>
      </w:r>
      <w:r>
        <w:rPr>
          <w:noProof/>
        </w:rPr>
        <w:t xml:space="preserve"> stakeholders pointed to the potential conflicting role of the ENTSOs, as project promoters and developers of the scenarios and CBA methodology over which projects are evaluated, indicat</w:t>
      </w:r>
      <w:r>
        <w:rPr>
          <w:noProof/>
        </w:rPr>
        <w:t>ed a the perception that the predominant role ENTSOs enjoy in the infrastructure planning is not seen as fully independent. In their view, the current planning involves an unequal treatment of non-TSO promoters and results in a biased nature of the TYNDPs.</w:t>
      </w:r>
      <w:r>
        <w:rPr>
          <w:noProof/>
        </w:rPr>
        <w:t xml:space="preserve"> The solutions put forward would include the involvement and scrutiny of an independent organisation which would enable the development of a hybrid energy system with a multimodal network design and holistic planning for grid connection based on a strong s</w:t>
      </w:r>
      <w:r>
        <w:rPr>
          <w:noProof/>
        </w:rPr>
        <w:t>cenario-building and a solid cost-benefit analysis (CBA).</w:t>
      </w:r>
    </w:p>
    <w:p w:rsidR="00B60846" w:rsidRDefault="00B60846">
      <w:pPr>
        <w:pStyle w:val="list-bullet-color"/>
        <w:numPr>
          <w:ilvl w:val="0"/>
          <w:numId w:val="0"/>
        </w:numPr>
        <w:jc w:val="both"/>
        <w:rPr>
          <w:noProof/>
        </w:rPr>
      </w:pPr>
    </w:p>
    <w:p w:rsidR="00B60846" w:rsidRDefault="008069FF">
      <w:pPr>
        <w:pStyle w:val="list-bullet-color"/>
        <w:numPr>
          <w:ilvl w:val="0"/>
          <w:numId w:val="0"/>
        </w:numPr>
        <w:jc w:val="both"/>
        <w:rPr>
          <w:noProof/>
        </w:rPr>
      </w:pPr>
      <w:r>
        <w:rPr>
          <w:noProof/>
        </w:rPr>
        <w:t>In qualifying the coherence of the TEN-E Regulation Respondents with other policies or initiatives at EU level, stakeholders indicated  inconsistencies with regards to the European Green Deal / Lon</w:t>
      </w:r>
      <w:r>
        <w:rPr>
          <w:noProof/>
        </w:rPr>
        <w:t xml:space="preserve">g Term Strategy for Decarbonisation (74%identified inconsistencies, especially among civil society, DSOs and energy producers </w:t>
      </w:r>
      <w:r>
        <w:rPr>
          <w:rFonts w:eastAsia="Times New Roman"/>
          <w:noProof/>
        </w:rPr>
        <w:t>and</w:t>
      </w:r>
      <w:r>
        <w:rPr>
          <w:noProof/>
        </w:rPr>
        <w:t xml:space="preserve"> industry), the Paris Agreement (65% identified inconsistencies, especially among </w:t>
      </w:r>
      <w:r>
        <w:rPr>
          <w:rFonts w:eastAsia="Times New Roman"/>
          <w:noProof/>
        </w:rPr>
        <w:t>civil</w:t>
      </w:r>
      <w:r>
        <w:rPr>
          <w:noProof/>
        </w:rPr>
        <w:t xml:space="preserve"> society, DSOs and TSOs), and the Clean </w:t>
      </w:r>
      <w:r>
        <w:rPr>
          <w:noProof/>
        </w:rPr>
        <w:t>Energy Package / the Energy Union (55% identified inconsistencies, especially among civil society, DSOs and energy producers).</w:t>
      </w:r>
    </w:p>
    <w:p w:rsidR="00B60846" w:rsidRDefault="00B60846">
      <w:pPr>
        <w:pStyle w:val="list-bullet-color"/>
        <w:numPr>
          <w:ilvl w:val="0"/>
          <w:numId w:val="0"/>
        </w:numPr>
        <w:jc w:val="both"/>
        <w:rPr>
          <w:noProof/>
        </w:rPr>
      </w:pPr>
    </w:p>
    <w:p w:rsidR="00B60846" w:rsidRDefault="008069FF">
      <w:pPr>
        <w:pStyle w:val="list-bullet-color"/>
        <w:numPr>
          <w:ilvl w:val="0"/>
          <w:numId w:val="0"/>
        </w:numPr>
        <w:jc w:val="both"/>
        <w:rPr>
          <w:noProof/>
        </w:rPr>
      </w:pPr>
      <w:r>
        <w:rPr>
          <w:noProof/>
        </w:rPr>
        <w:t xml:space="preserve">As such, respondents considered that the TEN-E Regulation is lacking in terms of adequately addressing key emerging issues such </w:t>
      </w:r>
      <w:r>
        <w:rPr>
          <w:noProof/>
        </w:rPr>
        <w:t>as improving energy efficiency and mitigating climate change impacts. According to respondents, the three main (new) challenges to be addressed are greenhouse gas emission reductions / climate neutrality (mentioned by 54), integration of renewable energy s</w:t>
      </w:r>
      <w:r>
        <w:rPr>
          <w:noProof/>
        </w:rPr>
        <w:t>ources (mentioned by 50) and energy system integration (mentioned by 47). The two least important challenges are energy financing capacity of TSOs (mentioned by 42) and market fragmentation / market integration (mentioned by 20). In view of emerging issues</w:t>
      </w:r>
      <w:r>
        <w:rPr>
          <w:noProof/>
        </w:rPr>
        <w:t xml:space="preserve"> however, the OPC results show that 77% of the respondents agree that the revised TEN-E Regulation can make an important contribution to the economic recovery in Europe through a green transition in response to the COVID-19 crisis, while 8% disagree with t</w:t>
      </w:r>
      <w:r>
        <w:rPr>
          <w:noProof/>
        </w:rPr>
        <w:t xml:space="preserve">he statement. </w:t>
      </w:r>
    </w:p>
    <w:p w:rsidR="00B60846" w:rsidRDefault="00B60846">
      <w:pPr>
        <w:pStyle w:val="list-bullet-color"/>
        <w:numPr>
          <w:ilvl w:val="0"/>
          <w:numId w:val="0"/>
        </w:numPr>
        <w:ind w:left="284" w:hanging="284"/>
        <w:jc w:val="both"/>
        <w:rPr>
          <w:noProof/>
        </w:rPr>
      </w:pPr>
    </w:p>
    <w:p w:rsidR="00B60846" w:rsidRDefault="008069FF">
      <w:pPr>
        <w:pStyle w:val="DefaultText"/>
        <w:jc w:val="both"/>
        <w:rPr>
          <w:noProof/>
        </w:rPr>
      </w:pPr>
      <w:r>
        <w:rPr>
          <w:noProof/>
        </w:rPr>
        <w:t xml:space="preserve">Both the targeted survey and the OPC addressed the effectiveness of the implementation provisions, notably as regards </w:t>
      </w:r>
      <w:r>
        <w:rPr>
          <w:b/>
          <w:bCs/>
          <w:noProof/>
        </w:rPr>
        <w:t>public participation and transparency</w:t>
      </w:r>
      <w:r>
        <w:rPr>
          <w:noProof/>
        </w:rPr>
        <w:t xml:space="preserve"> in the process of building PCIs.  Regarding public participation, 82% of the OPC res</w:t>
      </w:r>
      <w:r>
        <w:rPr>
          <w:noProof/>
        </w:rPr>
        <w:t>pondents declared to be aware of Projects of Common Interest (PCI) label and 78% know there is a public participation process in the frame of PCI implementation. The majority (68%) consider the public participation process as useful or useful to a large ex</w:t>
      </w:r>
      <w:r>
        <w:rPr>
          <w:noProof/>
        </w:rPr>
        <w:t xml:space="preserve">tent, ranking project websites as the most useful communication channel for providing and exchanging information on PCIs (78% consider it ‘Very useful’ or ‘Useful to a large extent’). </w:t>
      </w:r>
    </w:p>
    <w:p w:rsidR="00B60846" w:rsidRDefault="00B60846">
      <w:pPr>
        <w:pStyle w:val="DefaultText"/>
        <w:jc w:val="both"/>
        <w:rPr>
          <w:noProof/>
        </w:rPr>
      </w:pPr>
    </w:p>
    <w:p w:rsidR="00B60846" w:rsidRDefault="008069FF">
      <w:pPr>
        <w:rPr>
          <w:noProof/>
          <w:lang w:eastAsia="nl-NL"/>
        </w:rPr>
      </w:pPr>
      <w:r>
        <w:rPr>
          <w:noProof/>
        </w:rPr>
        <w:t>The targeted stakeholders drew a similarly positive picture, with more than half of the respondents agreeing increased awareness of PCI projects (51% agree, 17% disagree), improved public participation (41% agree, 12% disagree) and increased trust (37% agr</w:t>
      </w:r>
      <w:r>
        <w:rPr>
          <w:noProof/>
        </w:rPr>
        <w:t>ee, 38% disagree). Despite of perceived improvements in terms of awareness and trust in the PCI process, the input indicated a limited impact on increasing public acceptance (22% agree, 24% disagree) and on adjustments to  the design of the projects follow</w:t>
      </w:r>
      <w:r>
        <w:rPr>
          <w:noProof/>
        </w:rPr>
        <w:t>ing public input during consultations (19% agree, 26% disagree). Nevertheless, most respondents agreed that the requirement for at least one public consultation is enough for increasing transparency and participation (46% agree, 20% disagree). During the w</w:t>
      </w:r>
      <w:r>
        <w:rPr>
          <w:noProof/>
        </w:rPr>
        <w:t xml:space="preserve">ebinars, </w:t>
      </w:r>
      <w:r>
        <w:rPr>
          <w:noProof/>
          <w:lang w:eastAsia="nl-NL"/>
        </w:rPr>
        <w:t xml:space="preserve">panellists called for increased trust and transparency both in the upstream process of selection of PCIs (TYNDP, PCI process) as well as during project implementation. </w:t>
      </w:r>
    </w:p>
    <w:p w:rsidR="00B60846" w:rsidRDefault="008069FF">
      <w:pPr>
        <w:pStyle w:val="list-bullet-color"/>
        <w:numPr>
          <w:ilvl w:val="0"/>
          <w:numId w:val="0"/>
        </w:numPr>
        <w:jc w:val="both"/>
        <w:rPr>
          <w:noProof/>
        </w:rPr>
      </w:pPr>
      <w:r>
        <w:rPr>
          <w:noProof/>
        </w:rPr>
        <w:t xml:space="preserve">Further input on implementation, notably the shortening of </w:t>
      </w:r>
      <w:r>
        <w:rPr>
          <w:b/>
          <w:bCs/>
          <w:noProof/>
        </w:rPr>
        <w:t>permit granting</w:t>
      </w:r>
      <w:r>
        <w:rPr>
          <w:noProof/>
        </w:rPr>
        <w:t xml:space="preserve"> dur</w:t>
      </w:r>
      <w:r>
        <w:rPr>
          <w:noProof/>
        </w:rPr>
        <w:t>ations, indicated mixed views: 20% (completely) agreed, while 36% (completely) disagreed that TEN-E permit granting provisions enabled an accelerated implementation of PCIs compared to the baseline. Similar differences in views were noted about the effecti</w:t>
      </w:r>
      <w:r>
        <w:rPr>
          <w:noProof/>
        </w:rPr>
        <w:t>veness of the one-stop-shops. Limited feedback on the perceived  reasons for delays include notably environmental impact assessments and the statutory permit granting procedure.</w:t>
      </w:r>
    </w:p>
    <w:p w:rsidR="00B60846" w:rsidRDefault="008069FF">
      <w:pPr>
        <w:pStyle w:val="list-bullet-color"/>
        <w:numPr>
          <w:ilvl w:val="0"/>
          <w:numId w:val="0"/>
        </w:numPr>
        <w:jc w:val="both"/>
        <w:rPr>
          <w:noProof/>
        </w:rPr>
      </w:pPr>
      <w:r>
        <w:rPr>
          <w:noProof/>
        </w:rPr>
        <w:t xml:space="preserve"> </w:t>
      </w:r>
    </w:p>
    <w:p w:rsidR="00B60846" w:rsidRDefault="008069FF">
      <w:pPr>
        <w:rPr>
          <w:noProof/>
          <w:lang w:eastAsia="nl-NL"/>
        </w:rPr>
      </w:pPr>
      <w:r>
        <w:rPr>
          <w:noProof/>
          <w:lang w:eastAsia="nl-NL"/>
        </w:rPr>
        <w:t xml:space="preserve">The evaluation showed that TEN-E reduced the average duration of the permit </w:t>
      </w:r>
      <w:r>
        <w:rPr>
          <w:noProof/>
          <w:lang w:eastAsia="nl-NL"/>
        </w:rPr>
        <w:t>granting process for transmission PCIs after 16 November 2013 to less than 3 years compared to 9 years prior to Regulation entering into force. However, there was a general call for acceleration and simplification of the permitting procedures is needed, wh</w:t>
      </w:r>
      <w:r>
        <w:rPr>
          <w:noProof/>
          <w:lang w:eastAsia="nl-NL"/>
        </w:rPr>
        <w:t xml:space="preserve">ilst maintaining the highest environmental standards. The close cooperation and interaction with authorities was emphasized as key. </w:t>
      </w:r>
    </w:p>
    <w:p w:rsidR="00B60846" w:rsidRDefault="008069FF">
      <w:pPr>
        <w:rPr>
          <w:noProof/>
        </w:rPr>
      </w:pPr>
      <w:r>
        <w:rPr>
          <w:noProof/>
        </w:rPr>
        <w:t xml:space="preserve">Stakeholder views on the effectiveness of the </w:t>
      </w:r>
      <w:r>
        <w:rPr>
          <w:b/>
          <w:bCs/>
          <w:noProof/>
        </w:rPr>
        <w:t>CBCA</w:t>
      </w:r>
      <w:r>
        <w:rPr>
          <w:noProof/>
        </w:rPr>
        <w:t xml:space="preserve"> decision processes in enabling effective investment were mixed, with 25%</w:t>
      </w:r>
      <w:r>
        <w:rPr>
          <w:noProof/>
        </w:rPr>
        <w:t xml:space="preserve"> of the respondents agreeing to the statement, 17% disagreeing and 21%  being neutral. A more positive view was expressed as to whether investment incentives enable effective investments in PCIs, with a slight majority (54%) agreeing to the statement.  </w:t>
      </w:r>
    </w:p>
    <w:p w:rsidR="00B60846" w:rsidRDefault="008069FF">
      <w:pPr>
        <w:rPr>
          <w:rFonts w:eastAsia="Arial"/>
          <w:noProof/>
          <w:lang w:eastAsia="nl-NL"/>
        </w:rPr>
      </w:pPr>
      <w:r>
        <w:rPr>
          <w:noProof/>
        </w:rPr>
        <w:t>Th</w:t>
      </w:r>
      <w:r>
        <w:rPr>
          <w:noProof/>
        </w:rPr>
        <w:t>e input from stakeholders indicated notably the need to re-think the link between CBCA and CEF financing. The CBCA procedures were discussed as such, notably on how to ease the burden and ensure easier access to CEF. Some proposals referred to making smart</w:t>
      </w:r>
      <w:r>
        <w:rPr>
          <w:noProof/>
        </w:rPr>
        <w:t xml:space="preserve"> grids eligible for CBCA. </w:t>
      </w:r>
      <w:r>
        <w:rPr>
          <w:noProof/>
          <w:lang w:eastAsia="nl-NL"/>
        </w:rPr>
        <w:t>There were several calls for clarity on cost recovery, monetization where possible where relevant and the valorisation of accelerated implementation of PCIs in the CBA.</w:t>
      </w:r>
      <w:r>
        <w:rPr>
          <w:rFonts w:eastAsia="Arial"/>
          <w:noProof/>
          <w:lang w:eastAsia="nl-NL"/>
        </w:rPr>
        <w:t xml:space="preserve"> For offshore grids specifically, stakeholders called for a cl</w:t>
      </w:r>
      <w:r>
        <w:rPr>
          <w:rFonts w:eastAsia="Arial"/>
          <w:noProof/>
          <w:lang w:eastAsia="nl-NL"/>
        </w:rPr>
        <w:t>ear legal framework for cross-border hybrid projects notably on CBA/ CBCA.</w:t>
      </w:r>
    </w:p>
    <w:p w:rsidR="00B60846" w:rsidRDefault="008069FF">
      <w:pPr>
        <w:rPr>
          <w:noProof/>
          <w:lang w:eastAsia="nl-NL"/>
        </w:rPr>
      </w:pPr>
      <w:r>
        <w:rPr>
          <w:noProof/>
        </w:rPr>
        <w:t>Stakeholders largely believe that the benefits of the TEN-E Regulation outweigh the costs (53% agree) whilst at the same time indicate that the TEN-E has not reduced such (administr</w:t>
      </w:r>
      <w:r>
        <w:rPr>
          <w:noProof/>
        </w:rPr>
        <w:t xml:space="preserve">ative) costs for project promoters (valid for TSOs - 81% agree, NCAs - 60% agree and NRAs - 50% agree). A few suggestion for lowering the cost were provided, such as </w:t>
      </w:r>
      <w:r>
        <w:rPr>
          <w:noProof/>
          <w:lang w:eastAsia="nl-NL"/>
        </w:rPr>
        <w:t>fast-tracking PCI selection procedure for existing PCIs, without substantiated analysis of</w:t>
      </w:r>
      <w:r>
        <w:rPr>
          <w:noProof/>
          <w:lang w:eastAsia="nl-NL"/>
        </w:rPr>
        <w:t xml:space="preserve"> impacts. </w:t>
      </w:r>
    </w:p>
    <w:p w:rsidR="00B60846" w:rsidRDefault="008069FF">
      <w:pPr>
        <w:rPr>
          <w:noProof/>
        </w:rPr>
      </w:pPr>
      <w:r>
        <w:rPr>
          <w:noProof/>
        </w:rPr>
        <w:t xml:space="preserve">There is widespread agreement among OPC and targeted respondents that the TEN-E Regulation has </w:t>
      </w:r>
      <w:r>
        <w:rPr>
          <w:b/>
          <w:bCs/>
          <w:noProof/>
        </w:rPr>
        <w:t>EU added value</w:t>
      </w:r>
      <w:r>
        <w:rPr>
          <w:noProof/>
        </w:rPr>
        <w:t xml:space="preserve"> – the majority believe it achieved more than could have been achieved at national/regional level (92 %, 79% respectively agree) and tha</w:t>
      </w:r>
      <w:r>
        <w:rPr>
          <w:noProof/>
        </w:rPr>
        <w:t>t the issues addressed by the TEN-E Regulation continue to require action at EU level (91% agree, 0 disagree). The main EU added value identified by respondents is access to financing (mentioned by 99), followed by regional cooperation (mentioned by 84) an</w:t>
      </w:r>
      <w:r>
        <w:rPr>
          <w:noProof/>
        </w:rPr>
        <w:t xml:space="preserve">d the implementation of projects that could not have been implemented without TEN-E (mentioned by 67). </w:t>
      </w:r>
    </w:p>
    <w:p w:rsidR="00B60846" w:rsidRDefault="008069FF">
      <w:pPr>
        <w:tabs>
          <w:tab w:val="clear" w:pos="2302"/>
        </w:tabs>
        <w:spacing w:after="200" w:line="276" w:lineRule="auto"/>
        <w:jc w:val="left"/>
        <w:rPr>
          <w:noProof/>
        </w:rPr>
      </w:pPr>
      <w:r>
        <w:rPr>
          <w:noProof/>
        </w:rPr>
        <w:br w:type="page"/>
      </w:r>
    </w:p>
    <w:p w:rsidR="00B60846" w:rsidRDefault="008069FF">
      <w:pPr>
        <w:pStyle w:val="Heading1"/>
        <w:numPr>
          <w:ilvl w:val="0"/>
          <w:numId w:val="0"/>
        </w:numPr>
        <w:ind w:left="432" w:hanging="432"/>
        <w:rPr>
          <w:noProof/>
        </w:rPr>
      </w:pPr>
      <w:bookmarkStart w:id="1226" w:name="_Toc49351363"/>
      <w:bookmarkStart w:id="1227" w:name="_Toc49357756"/>
      <w:bookmarkStart w:id="1228" w:name="_Toc49359434"/>
      <w:bookmarkStart w:id="1229" w:name="_Toc49359769"/>
      <w:bookmarkStart w:id="1230" w:name="_Toc49508013"/>
      <w:bookmarkStart w:id="1231" w:name="_Toc49508459"/>
      <w:bookmarkStart w:id="1232" w:name="_Toc49512370"/>
      <w:bookmarkStart w:id="1233" w:name="_Toc49514254"/>
      <w:bookmarkStart w:id="1234" w:name="_Toc49516489"/>
      <w:bookmarkStart w:id="1235" w:name="_Toc49518658"/>
      <w:bookmarkStart w:id="1236" w:name="_Toc50028519"/>
      <w:bookmarkStart w:id="1237" w:name="_Toc50057014"/>
      <w:bookmarkStart w:id="1238" w:name="_Toc50063641"/>
      <w:bookmarkStart w:id="1239" w:name="_Toc50366628"/>
      <w:bookmarkStart w:id="1240" w:name="_Toc50452121"/>
      <w:bookmarkStart w:id="1241" w:name="_Ref50488992"/>
      <w:bookmarkStart w:id="1242" w:name="_Toc50573945"/>
      <w:bookmarkStart w:id="1243" w:name="_Toc50581929"/>
      <w:bookmarkStart w:id="1244" w:name="_Toc50582712"/>
      <w:bookmarkStart w:id="1245" w:name="_Toc51168580"/>
      <w:bookmarkStart w:id="1246" w:name="_Toc51169069"/>
      <w:bookmarkStart w:id="1247" w:name="_Toc51231563"/>
      <w:bookmarkStart w:id="1248" w:name="_Toc51235499"/>
      <w:bookmarkStart w:id="1249" w:name="_Toc51237288"/>
      <w:bookmarkStart w:id="1250" w:name="_Toc51238674"/>
      <w:bookmarkStart w:id="1251" w:name="_Toc51239399"/>
      <w:bookmarkStart w:id="1252" w:name="_Toc51788311"/>
      <w:bookmarkStart w:id="1253" w:name="_Toc51791849"/>
      <w:bookmarkStart w:id="1254" w:name="_Toc51793281"/>
      <w:bookmarkStart w:id="1255" w:name="_Toc55496481"/>
      <w:r>
        <w:rPr>
          <w:noProof/>
        </w:rPr>
        <w:t>Annex 3: Who is affected and how?</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rsidR="00B60846" w:rsidRDefault="008069FF">
      <w:pPr>
        <w:pStyle w:val="Heading2"/>
        <w:numPr>
          <w:ilvl w:val="1"/>
          <w:numId w:val="0"/>
        </w:numPr>
        <w:ind w:left="576" w:hanging="576"/>
        <w:rPr>
          <w:noProof/>
        </w:rPr>
      </w:pPr>
      <w:bookmarkStart w:id="1256" w:name="_Toc39234310"/>
      <w:bookmarkStart w:id="1257" w:name="_Toc39234453"/>
      <w:bookmarkStart w:id="1258" w:name="_Toc49351364"/>
      <w:bookmarkStart w:id="1259" w:name="_Toc49357757"/>
      <w:bookmarkStart w:id="1260" w:name="_Toc49359435"/>
      <w:bookmarkStart w:id="1261" w:name="_Toc49359770"/>
      <w:bookmarkStart w:id="1262" w:name="_Toc49508014"/>
      <w:bookmarkStart w:id="1263" w:name="_Toc49508460"/>
      <w:bookmarkStart w:id="1264" w:name="_Toc49512371"/>
      <w:bookmarkStart w:id="1265" w:name="_Toc49514255"/>
      <w:bookmarkStart w:id="1266" w:name="_Toc49516490"/>
      <w:bookmarkStart w:id="1267" w:name="_Toc49518659"/>
      <w:bookmarkStart w:id="1268" w:name="_Toc50028520"/>
      <w:bookmarkStart w:id="1269" w:name="_Toc50057015"/>
      <w:bookmarkStart w:id="1270" w:name="_Toc50063642"/>
      <w:bookmarkStart w:id="1271" w:name="_Toc50366629"/>
      <w:bookmarkStart w:id="1272" w:name="_Toc50452122"/>
      <w:bookmarkStart w:id="1273" w:name="_Toc50573946"/>
      <w:bookmarkStart w:id="1274" w:name="_Toc50581930"/>
      <w:bookmarkStart w:id="1275" w:name="_Toc50582713"/>
      <w:bookmarkStart w:id="1276" w:name="_Toc51168581"/>
      <w:bookmarkStart w:id="1277" w:name="_Toc51169070"/>
      <w:bookmarkStart w:id="1278" w:name="_Toc51231564"/>
      <w:bookmarkStart w:id="1279" w:name="_Toc51235500"/>
      <w:bookmarkStart w:id="1280" w:name="_Toc51237289"/>
      <w:bookmarkStart w:id="1281" w:name="_Toc51238675"/>
      <w:bookmarkStart w:id="1282" w:name="_Toc51239400"/>
      <w:bookmarkStart w:id="1283" w:name="_Toc51245182"/>
      <w:bookmarkStart w:id="1284" w:name="_Toc51268822"/>
      <w:bookmarkStart w:id="1285" w:name="_Toc51268929"/>
      <w:bookmarkStart w:id="1286" w:name="_Toc51346833"/>
      <w:bookmarkStart w:id="1287" w:name="_Toc51350412"/>
      <w:bookmarkStart w:id="1288" w:name="_Toc51760942"/>
      <w:bookmarkStart w:id="1289" w:name="_Toc51784869"/>
      <w:bookmarkStart w:id="1290" w:name="_Toc51788312"/>
      <w:bookmarkStart w:id="1291" w:name="_Toc51791850"/>
      <w:bookmarkStart w:id="1292" w:name="_Toc51793282"/>
      <w:bookmarkStart w:id="1293" w:name="_Toc51879096"/>
      <w:bookmarkStart w:id="1294" w:name="_Toc49351366"/>
      <w:bookmarkStart w:id="1295" w:name="_Toc49357759"/>
      <w:bookmarkStart w:id="1296" w:name="_Toc49359437"/>
      <w:bookmarkStart w:id="1297" w:name="_Toc49359772"/>
      <w:bookmarkStart w:id="1298" w:name="_Toc49508016"/>
      <w:bookmarkStart w:id="1299" w:name="_Toc49508462"/>
      <w:bookmarkStart w:id="1300" w:name="_Toc49512373"/>
      <w:bookmarkStart w:id="1301" w:name="_Toc49514257"/>
      <w:bookmarkStart w:id="1302" w:name="_Toc49516492"/>
      <w:bookmarkStart w:id="1303" w:name="_Toc49518661"/>
      <w:bookmarkStart w:id="1304" w:name="_Toc50028522"/>
      <w:bookmarkStart w:id="1305" w:name="_Toc50057017"/>
      <w:bookmarkStart w:id="1306" w:name="_Toc50063644"/>
      <w:bookmarkStart w:id="1307" w:name="_Toc50366631"/>
      <w:bookmarkStart w:id="1308" w:name="_Toc50452124"/>
      <w:bookmarkStart w:id="1309" w:name="_Ref50488615"/>
      <w:bookmarkStart w:id="1310" w:name="_Toc50573948"/>
      <w:bookmarkStart w:id="1311" w:name="_Toc50581932"/>
      <w:bookmarkStart w:id="1312" w:name="_Toc50582715"/>
      <w:bookmarkStart w:id="1313" w:name="_Toc51168583"/>
      <w:bookmarkStart w:id="1314" w:name="_Toc51169072"/>
      <w:bookmarkStart w:id="1315" w:name="_Toc51235502"/>
      <w:bookmarkStart w:id="1316" w:name="_Toc51237291"/>
      <w:bookmarkStart w:id="1317" w:name="_Toc51238677"/>
      <w:bookmarkStart w:id="1318" w:name="_Toc51239402"/>
      <w:bookmarkStart w:id="1319" w:name="_Toc51788313"/>
      <w:bookmarkStart w:id="1320" w:name="_Toc51791851"/>
      <w:bookmarkStart w:id="1321" w:name="_Toc51793283"/>
      <w:bookmarkStart w:id="1322" w:name="_Toc51231566"/>
      <w:r>
        <w:rPr>
          <w:noProof/>
        </w:rPr>
        <w:tab/>
      </w:r>
      <w:bookmarkStart w:id="1323" w:name="_Toc55155673"/>
      <w:bookmarkStart w:id="1324" w:name="_Toc55290980"/>
      <w:bookmarkStart w:id="1325" w:name="_Toc55296670"/>
      <w:bookmarkStart w:id="1326" w:name="_Toc55496482"/>
      <w:r>
        <w:rPr>
          <w:noProof/>
        </w:rPr>
        <w:t>3.1 Practical implications of the initiative</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323"/>
      <w:bookmarkEnd w:id="1324"/>
      <w:bookmarkEnd w:id="1325"/>
      <w:bookmarkEnd w:id="1326"/>
    </w:p>
    <w:p w:rsidR="00B60846" w:rsidRDefault="008069FF">
      <w:pPr>
        <w:rPr>
          <w:noProof/>
        </w:rPr>
      </w:pPr>
      <w:r>
        <w:rPr>
          <w:noProof/>
        </w:rPr>
        <w:t xml:space="preserve">As indicated in Annex 2, the following key target groups have been </w:t>
      </w:r>
      <w:r>
        <w:rPr>
          <w:noProof/>
        </w:rPr>
        <w:t>identified for this initiative:</w:t>
      </w:r>
    </w:p>
    <w:p w:rsidR="00B60846" w:rsidRDefault="008069FF">
      <w:pPr>
        <w:pStyle w:val="ListParagraph"/>
        <w:numPr>
          <w:ilvl w:val="0"/>
          <w:numId w:val="22"/>
        </w:numPr>
        <w:rPr>
          <w:noProof/>
        </w:rPr>
      </w:pPr>
      <w:r>
        <w:rPr>
          <w:noProof/>
        </w:rPr>
        <w:t xml:space="preserve">European citizens and consumers </w:t>
      </w:r>
    </w:p>
    <w:p w:rsidR="00B60846" w:rsidRDefault="008069FF">
      <w:pPr>
        <w:pStyle w:val="ListParagraph"/>
        <w:numPr>
          <w:ilvl w:val="0"/>
          <w:numId w:val="22"/>
        </w:numPr>
        <w:rPr>
          <w:noProof/>
        </w:rPr>
      </w:pPr>
      <w:r>
        <w:rPr>
          <w:noProof/>
        </w:rPr>
        <w:t>Non-governmental organisations</w:t>
      </w:r>
    </w:p>
    <w:p w:rsidR="00B60846" w:rsidRDefault="008069FF">
      <w:pPr>
        <w:pStyle w:val="ListParagraph"/>
        <w:numPr>
          <w:ilvl w:val="0"/>
          <w:numId w:val="22"/>
        </w:numPr>
        <w:rPr>
          <w:noProof/>
        </w:rPr>
      </w:pPr>
      <w:r>
        <w:rPr>
          <w:noProof/>
        </w:rPr>
        <w:t xml:space="preserve">European Union Regulators </w:t>
      </w:r>
    </w:p>
    <w:p w:rsidR="00B60846" w:rsidRDefault="008069FF">
      <w:pPr>
        <w:pStyle w:val="ListParagraph"/>
        <w:numPr>
          <w:ilvl w:val="0"/>
          <w:numId w:val="22"/>
        </w:numPr>
        <w:rPr>
          <w:noProof/>
        </w:rPr>
      </w:pPr>
      <w:r>
        <w:rPr>
          <w:noProof/>
        </w:rPr>
        <w:t>National Regulatory Authorities</w:t>
      </w:r>
    </w:p>
    <w:p w:rsidR="00B60846" w:rsidRDefault="008069FF">
      <w:pPr>
        <w:pStyle w:val="ListParagraph"/>
        <w:numPr>
          <w:ilvl w:val="0"/>
          <w:numId w:val="22"/>
        </w:numPr>
        <w:rPr>
          <w:noProof/>
          <w:lang w:val="en-US"/>
        </w:rPr>
      </w:pPr>
      <w:r>
        <w:rPr>
          <w:noProof/>
          <w:lang w:val="en-US"/>
        </w:rPr>
        <w:t>National Competent Authorities and their local and regional representatives (i.e. Ministries and oute</w:t>
      </w:r>
      <w:r>
        <w:rPr>
          <w:noProof/>
          <w:lang w:val="en-US"/>
        </w:rPr>
        <w:t>rmost regions)</w:t>
      </w:r>
    </w:p>
    <w:p w:rsidR="00B60846" w:rsidRDefault="008069FF">
      <w:pPr>
        <w:pStyle w:val="ListParagraph"/>
        <w:numPr>
          <w:ilvl w:val="0"/>
          <w:numId w:val="22"/>
        </w:numPr>
        <w:rPr>
          <w:noProof/>
          <w:lang w:val="de-DE"/>
        </w:rPr>
      </w:pPr>
      <w:r>
        <w:rPr>
          <w:noProof/>
          <w:lang w:val="de-DE"/>
        </w:rPr>
        <w:t>European TSO (ENTSO-E and ENTSO-G)</w:t>
      </w:r>
    </w:p>
    <w:p w:rsidR="00B60846" w:rsidRDefault="008069FF">
      <w:pPr>
        <w:pStyle w:val="ListParagraph"/>
        <w:numPr>
          <w:ilvl w:val="0"/>
          <w:numId w:val="22"/>
        </w:numPr>
        <w:rPr>
          <w:noProof/>
          <w:lang w:val="en-US"/>
        </w:rPr>
      </w:pPr>
      <w:r>
        <w:rPr>
          <w:noProof/>
          <w:lang w:val="en-US"/>
        </w:rPr>
        <w:t>DSO branch organisations</w:t>
      </w:r>
    </w:p>
    <w:p w:rsidR="00B60846" w:rsidRDefault="008069FF">
      <w:pPr>
        <w:pStyle w:val="ListParagraph"/>
        <w:numPr>
          <w:ilvl w:val="0"/>
          <w:numId w:val="22"/>
        </w:numPr>
        <w:rPr>
          <w:noProof/>
          <w:lang w:val="en-US"/>
        </w:rPr>
      </w:pPr>
      <w:r>
        <w:rPr>
          <w:noProof/>
          <w:lang w:val="en-US"/>
        </w:rPr>
        <w:t>Project promoters, including Transmission System Operators</w:t>
      </w:r>
    </w:p>
    <w:p w:rsidR="00B60846" w:rsidRDefault="008069FF">
      <w:pPr>
        <w:pStyle w:val="ListParagraph"/>
        <w:numPr>
          <w:ilvl w:val="0"/>
          <w:numId w:val="22"/>
        </w:numPr>
        <w:rPr>
          <w:noProof/>
        </w:rPr>
      </w:pPr>
      <w:r>
        <w:rPr>
          <w:noProof/>
        </w:rPr>
        <w:t>Energy producers / Industry</w:t>
      </w:r>
    </w:p>
    <w:p w:rsidR="00B60846" w:rsidRDefault="008069FF">
      <w:pPr>
        <w:pStyle w:val="ListParagraph"/>
        <w:numPr>
          <w:ilvl w:val="0"/>
          <w:numId w:val="22"/>
        </w:numPr>
        <w:rPr>
          <w:noProof/>
        </w:rPr>
      </w:pPr>
      <w:r>
        <w:rPr>
          <w:noProof/>
        </w:rPr>
        <w:t>Academics and thematic experts</w:t>
      </w:r>
    </w:p>
    <w:p w:rsidR="00B60846" w:rsidRDefault="008069FF">
      <w:pPr>
        <w:rPr>
          <w:noProof/>
        </w:rPr>
      </w:pPr>
      <w:r>
        <w:rPr>
          <w:noProof/>
        </w:rPr>
        <w:t xml:space="preserve">The below table outlines the practical implications of the </w:t>
      </w:r>
      <w:r>
        <w:rPr>
          <w:noProof/>
        </w:rPr>
        <w:t>initiative for all key target groups identified.</w:t>
      </w:r>
    </w:p>
    <w:tbl>
      <w:tblPr>
        <w:tblStyle w:val="TableGrid"/>
        <w:tblW w:w="9747" w:type="dxa"/>
        <w:tblLook w:val="04A0" w:firstRow="1" w:lastRow="0" w:firstColumn="1" w:lastColumn="0" w:noHBand="0" w:noVBand="1"/>
      </w:tblPr>
      <w:tblGrid>
        <w:gridCol w:w="2802"/>
        <w:gridCol w:w="6945"/>
      </w:tblGrid>
      <w:tr w:rsidR="00B60846">
        <w:tc>
          <w:tcPr>
            <w:tcW w:w="2802" w:type="dxa"/>
          </w:tcPr>
          <w:p w:rsidR="00B60846" w:rsidRDefault="008069FF">
            <w:pPr>
              <w:jc w:val="center"/>
              <w:rPr>
                <w:b/>
                <w:noProof/>
              </w:rPr>
            </w:pPr>
            <w:r>
              <w:rPr>
                <w:b/>
                <w:bCs/>
                <w:noProof/>
              </w:rPr>
              <w:t>Type of stakeholder per target group</w:t>
            </w:r>
          </w:p>
        </w:tc>
        <w:tc>
          <w:tcPr>
            <w:tcW w:w="6945" w:type="dxa"/>
          </w:tcPr>
          <w:p w:rsidR="00B60846" w:rsidRDefault="008069FF">
            <w:pPr>
              <w:jc w:val="center"/>
              <w:rPr>
                <w:b/>
                <w:noProof/>
              </w:rPr>
            </w:pPr>
            <w:r>
              <w:rPr>
                <w:b/>
                <w:bCs/>
                <w:noProof/>
              </w:rPr>
              <w:t>Practical implications</w:t>
            </w:r>
          </w:p>
        </w:tc>
      </w:tr>
      <w:tr w:rsidR="00B60846">
        <w:tc>
          <w:tcPr>
            <w:tcW w:w="2802" w:type="dxa"/>
          </w:tcPr>
          <w:p w:rsidR="00B60846" w:rsidRDefault="008069FF">
            <w:pPr>
              <w:rPr>
                <w:noProof/>
              </w:rPr>
            </w:pPr>
            <w:r>
              <w:rPr>
                <w:noProof/>
              </w:rPr>
              <w:t xml:space="preserve">European citizens and consumers </w:t>
            </w:r>
          </w:p>
          <w:p w:rsidR="00B60846" w:rsidRDefault="00B60846">
            <w:pPr>
              <w:rPr>
                <w:noProof/>
              </w:rPr>
            </w:pPr>
          </w:p>
        </w:tc>
        <w:tc>
          <w:tcPr>
            <w:tcW w:w="6945" w:type="dxa"/>
          </w:tcPr>
          <w:p w:rsidR="00B60846" w:rsidRDefault="008069FF">
            <w:pPr>
              <w:rPr>
                <w:rFonts w:eastAsiaTheme="minorEastAsia"/>
                <w:noProof/>
                <w:color w:val="000000"/>
              </w:rPr>
            </w:pPr>
            <w:r>
              <w:rPr>
                <w:rFonts w:eastAsiaTheme="minorEastAsia"/>
                <w:noProof/>
                <w:color w:val="000000"/>
              </w:rPr>
              <w:t>Ensuring the consistency of energy infrastructure planning rules with the climate-neutrality objective will bene</w:t>
            </w:r>
            <w:r>
              <w:rPr>
                <w:rFonts w:eastAsiaTheme="minorEastAsia"/>
                <w:noProof/>
                <w:color w:val="000000"/>
              </w:rPr>
              <w:t xml:space="preserve">fit citizens by lowering greenhouse gas emissions through optimal and efficient integrated infrastructure planning, </w:t>
            </w:r>
            <w:r>
              <w:rPr>
                <w:noProof/>
              </w:rPr>
              <w:t>fossil fuels substitution by renewable or low-carbon gases</w:t>
            </w:r>
            <w:r>
              <w:rPr>
                <w:rFonts w:eastAsiaTheme="minorEastAsia"/>
                <w:noProof/>
                <w:color w:val="000000"/>
              </w:rPr>
              <w:t xml:space="preserve"> and significant deployment of onshore and offshore renewable energies. </w:t>
            </w:r>
          </w:p>
          <w:p w:rsidR="00B60846" w:rsidRDefault="008069FF">
            <w:pPr>
              <w:rPr>
                <w:noProof/>
              </w:rPr>
            </w:pPr>
            <w:r>
              <w:rPr>
                <w:noProof/>
              </w:rPr>
              <w:t>An effici</w:t>
            </w:r>
            <w:r>
              <w:rPr>
                <w:noProof/>
              </w:rPr>
              <w:t>ent network operation, optimised onshore and offshore grid planning, exploitation of demand-response management services and enhanced digitalisation will bring a higher overall social welfare than the current rules. C</w:t>
            </w:r>
            <w:r>
              <w:rPr>
                <w:noProof/>
                <w:lang w:val="en-IE"/>
              </w:rPr>
              <w:t xml:space="preserve">omprehensive control and monitoring of </w:t>
            </w:r>
            <w:r>
              <w:rPr>
                <w:noProof/>
                <w:lang w:val="en-IE"/>
              </w:rPr>
              <w:t>the grid will reduce the need for curtailment of renewables and enable competitive and innovative energy services for consumers.</w:t>
            </w:r>
          </w:p>
          <w:p w:rsidR="00B60846" w:rsidRDefault="008069FF">
            <w:pPr>
              <w:rPr>
                <w:rFonts w:eastAsiaTheme="minorEastAsia"/>
                <w:noProof/>
                <w:color w:val="000000" w:themeColor="text1"/>
              </w:rPr>
            </w:pPr>
            <w:r>
              <w:rPr>
                <w:rFonts w:eastAsiaTheme="minorEastAsia"/>
                <w:noProof/>
                <w:color w:val="000000"/>
              </w:rPr>
              <w:t xml:space="preserve">The digitalisation of the grid will facilitate customer  participation  in  all  stages  of  the  development  and  expansion  </w:t>
            </w:r>
            <w:r>
              <w:rPr>
                <w:rFonts w:eastAsiaTheme="minorEastAsia"/>
                <w:noProof/>
                <w:color w:val="000000"/>
              </w:rPr>
              <w:t>of  the  energy system by digital tools such as participative geographical systems and would support new energy market arrangements. It will</w:t>
            </w:r>
            <w:r>
              <w:rPr>
                <w:noProof/>
                <w:lang w:val="en-IE"/>
              </w:rPr>
              <w:t xml:space="preserve"> facilitate the integration and management of renewable energy produce locally supporting energy consumers turning i</w:t>
            </w:r>
            <w:r>
              <w:rPr>
                <w:noProof/>
                <w:lang w:val="en-IE"/>
              </w:rPr>
              <w:t>nto energy producers (“prosumers”).</w:t>
            </w:r>
          </w:p>
          <w:p w:rsidR="00B60846" w:rsidRDefault="008069FF">
            <w:pPr>
              <w:rPr>
                <w:noProof/>
              </w:rPr>
            </w:pPr>
            <w:r>
              <w:rPr>
                <w:noProof/>
              </w:rPr>
              <w:t>Smart electricity grids to support the roll out pf charging infrastructure for electric vehicles would directly benefit users of electric vehicles.</w:t>
            </w:r>
          </w:p>
          <w:p w:rsidR="00B60846" w:rsidRDefault="008069FF">
            <w:pPr>
              <w:rPr>
                <w:noProof/>
              </w:rPr>
            </w:pPr>
            <w:r>
              <w:rPr>
                <w:noProof/>
              </w:rPr>
              <w:t>Appropriate rules for project selection and cost allocation in line with</w:t>
            </w:r>
            <w:r>
              <w:rPr>
                <w:noProof/>
              </w:rPr>
              <w:t xml:space="preserve"> distributed benefits will stimulate investments in the grid in the most efficient way and alleviate the burden on tariffs for consumers.  A coordinated process for integrated infrastructure planning can ultimately reduce the overall need for infrastructur</w:t>
            </w:r>
            <w:r>
              <w:rPr>
                <w:noProof/>
              </w:rPr>
              <w:t>e projects by designing the infrastructure in an optimal way.</w:t>
            </w:r>
          </w:p>
          <w:p w:rsidR="00B60846" w:rsidRDefault="008069FF">
            <w:pPr>
              <w:rPr>
                <w:noProof/>
                <w:lang w:eastAsia="en-US"/>
              </w:rPr>
            </w:pPr>
            <w:r>
              <w:rPr>
                <w:rFonts w:eastAsiaTheme="minorEastAsia"/>
                <w:noProof/>
                <w:color w:val="000000"/>
              </w:rPr>
              <w:t>Citizens and local communities will benefit from increased</w:t>
            </w:r>
            <w:r>
              <w:rPr>
                <w:noProof/>
              </w:rPr>
              <w:t xml:space="preserve"> transparency in the implementation of projects of common interest, which will create opportunities to understand the value of the energ</w:t>
            </w:r>
            <w:r>
              <w:rPr>
                <w:noProof/>
              </w:rPr>
              <w:t xml:space="preserve">y infrastructure investments and become involved. </w:t>
            </w:r>
            <w:r>
              <w:rPr>
                <w:rFonts w:eastAsiaTheme="minorEastAsia"/>
                <w:noProof/>
                <w:color w:val="000000"/>
              </w:rPr>
              <w:t>An accelerated realization of key procedures in the permitting process will also allow for a faster implementation of key project therefore bringing forward the benefits identified in the cost-benefit analy</w:t>
            </w:r>
            <w:r>
              <w:rPr>
                <w:rFonts w:eastAsiaTheme="minorEastAsia"/>
                <w:noProof/>
                <w:color w:val="000000"/>
              </w:rPr>
              <w:t>sis at national and regional level</w:t>
            </w:r>
            <w:r>
              <w:rPr>
                <w:noProof/>
              </w:rPr>
              <w:t xml:space="preserve"> and avoiding high dispatch costs for consumers associated with delays. </w:t>
            </w:r>
          </w:p>
          <w:p w:rsidR="00B60846" w:rsidRDefault="008069FF">
            <w:pPr>
              <w:rPr>
                <w:noProof/>
              </w:rPr>
            </w:pPr>
            <w:r>
              <w:rPr>
                <w:rFonts w:eastAsiaTheme="minorEastAsia"/>
                <w:noProof/>
                <w:color w:val="000000"/>
              </w:rPr>
              <w:t xml:space="preserve">Infrastructure enabling the </w:t>
            </w:r>
            <w:r>
              <w:rPr>
                <w:noProof/>
              </w:rPr>
              <w:t>expansion of offshore renewable energy will have a positive effect on employment across the EU.</w:t>
            </w:r>
          </w:p>
        </w:tc>
      </w:tr>
      <w:tr w:rsidR="00B60846">
        <w:tc>
          <w:tcPr>
            <w:tcW w:w="2802" w:type="dxa"/>
          </w:tcPr>
          <w:p w:rsidR="00B60846" w:rsidRDefault="008069FF">
            <w:pPr>
              <w:rPr>
                <w:noProof/>
                <w:lang w:val="en-US"/>
              </w:rPr>
            </w:pPr>
            <w:r>
              <w:rPr>
                <w:noProof/>
                <w:lang w:val="en-US"/>
              </w:rPr>
              <w:t xml:space="preserve">Project promoters, </w:t>
            </w:r>
            <w:r>
              <w:rPr>
                <w:noProof/>
                <w:lang w:val="en-US"/>
              </w:rPr>
              <w:t>including Transmission System Operators</w:t>
            </w:r>
          </w:p>
          <w:p w:rsidR="00B60846" w:rsidRDefault="00B60846">
            <w:pPr>
              <w:rPr>
                <w:noProof/>
              </w:rPr>
            </w:pPr>
          </w:p>
        </w:tc>
        <w:tc>
          <w:tcPr>
            <w:tcW w:w="6945" w:type="dxa"/>
          </w:tcPr>
          <w:p w:rsidR="00B60846" w:rsidRDefault="008069FF">
            <w:pPr>
              <w:rPr>
                <w:noProof/>
              </w:rPr>
            </w:pPr>
            <w:r>
              <w:rPr>
                <w:noProof/>
              </w:rPr>
              <w:t>Transmission system operators of electricity will be required to strengthen their coordination at transmission level, as well as with distribution network operators, in view of a European approach to an integrated o</w:t>
            </w:r>
            <w:r>
              <w:rPr>
                <w:noProof/>
              </w:rPr>
              <w:t>nshore and offshore network planning. TSOs will benefit from the increased efficiency in network operations due to measures to broaden the scope of the smart grids, which will enhance the exploitation of demand-response management services and increase cro</w:t>
            </w:r>
            <w:r>
              <w:rPr>
                <w:noProof/>
              </w:rPr>
              <w:t xml:space="preserve">ss-border data and capacity exchange. </w:t>
            </w:r>
          </w:p>
          <w:p w:rsidR="00B60846" w:rsidRDefault="008069FF">
            <w:pPr>
              <w:rPr>
                <w:noProof/>
              </w:rPr>
            </w:pPr>
            <w:r>
              <w:rPr>
                <w:noProof/>
              </w:rPr>
              <w:t>Project promoters will see a decrease in costs due to the provisions to accelerate permitting processes, including the clarification of cross-border provisions. The establishment of one-stop shops for sea basins would</w:t>
            </w:r>
            <w:r>
              <w:rPr>
                <w:noProof/>
              </w:rPr>
              <w:t xml:space="preserve"> equally create efficiencies for promoters, both in terms of reduced administrative burden as well as in terms of access to existing data and studies conducted for the sea basin.</w:t>
            </w:r>
          </w:p>
          <w:p w:rsidR="00B60846" w:rsidRDefault="008069FF">
            <w:pPr>
              <w:pStyle w:val="Text2"/>
              <w:ind w:left="0"/>
              <w:rPr>
                <w:noProof/>
              </w:rPr>
            </w:pPr>
            <w:r>
              <w:rPr>
                <w:rFonts w:eastAsiaTheme="minorEastAsia"/>
                <w:noProof/>
                <w:color w:val="000000" w:themeColor="text1"/>
              </w:rPr>
              <w:t xml:space="preserve">The initiative will increase the cost visibility of a project, creating regulatory stability allowing project promoters to </w:t>
            </w:r>
            <w:r>
              <w:rPr>
                <w:noProof/>
              </w:rPr>
              <w:t>obtain financing from the market.</w:t>
            </w:r>
          </w:p>
          <w:p w:rsidR="00B60846" w:rsidRDefault="008069FF">
            <w:pPr>
              <w:pStyle w:val="Text2"/>
              <w:ind w:left="0"/>
              <w:rPr>
                <w:i/>
                <w:noProof/>
              </w:rPr>
            </w:pPr>
            <w:r>
              <w:rPr>
                <w:noProof/>
              </w:rPr>
              <w:t>Project promoters will be equally impacted by the strengthened monitoring and transparency in proje</w:t>
            </w:r>
            <w:r>
              <w:rPr>
                <w:noProof/>
              </w:rPr>
              <w:t xml:space="preserve">ct implementation. </w:t>
            </w:r>
          </w:p>
        </w:tc>
      </w:tr>
      <w:tr w:rsidR="00B60846">
        <w:tc>
          <w:tcPr>
            <w:tcW w:w="2802" w:type="dxa"/>
          </w:tcPr>
          <w:p w:rsidR="00B60846" w:rsidRDefault="008069FF">
            <w:pPr>
              <w:rPr>
                <w:noProof/>
                <w:lang w:val="de-DE"/>
              </w:rPr>
            </w:pPr>
            <w:r>
              <w:rPr>
                <w:noProof/>
                <w:lang w:val="de-DE"/>
              </w:rPr>
              <w:t>European TSO (ENTSO-E and ENTSO-G)</w:t>
            </w:r>
          </w:p>
          <w:p w:rsidR="00B60846" w:rsidRDefault="00B60846">
            <w:pPr>
              <w:rPr>
                <w:noProof/>
                <w:lang w:val="de-DE"/>
              </w:rPr>
            </w:pPr>
          </w:p>
        </w:tc>
        <w:tc>
          <w:tcPr>
            <w:tcW w:w="6945" w:type="dxa"/>
          </w:tcPr>
          <w:p w:rsidR="00B60846" w:rsidRDefault="008069FF">
            <w:pPr>
              <w:rPr>
                <w:noProof/>
              </w:rPr>
            </w:pPr>
            <w:r>
              <w:rPr>
                <w:noProof/>
              </w:rPr>
              <w:t>The creation of a European infrastructure planning framework that reflects the relevant needs will still be based on the TYNDPs but would require higher levels of cooperation and interlinkages betwee</w:t>
            </w:r>
            <w:r>
              <w:rPr>
                <w:noProof/>
              </w:rPr>
              <w:t>n the electricity and gas transmission networks, as a well as involvement of distribution system operators and non-TSOs project promoters and other stakeholders. ENTSOs will see their role limited in key phases of the planning process, such as the developm</w:t>
            </w:r>
            <w:r>
              <w:rPr>
                <w:noProof/>
              </w:rPr>
              <w:t xml:space="preserve">ent of scenarios and cost-benefit analysis methodologies, due to the strengthened role of the Commission and ACER. </w:t>
            </w:r>
          </w:p>
          <w:p w:rsidR="00B60846" w:rsidRDefault="008069FF">
            <w:pPr>
              <w:rPr>
                <w:b/>
                <w:noProof/>
              </w:rPr>
            </w:pPr>
            <w:r>
              <w:rPr>
                <w:noProof/>
              </w:rPr>
              <w:t>ENTSO-E’s role will increase in view of their new mandate to develop offshore plans for time horizons 2030, 2040 and 2050 respectively for a</w:t>
            </w:r>
            <w:r>
              <w:rPr>
                <w:noProof/>
              </w:rPr>
              <w:t xml:space="preserve">ll the sea basins under the Commission’s steering and binding opinion. </w:t>
            </w:r>
          </w:p>
        </w:tc>
      </w:tr>
      <w:tr w:rsidR="00B60846">
        <w:tc>
          <w:tcPr>
            <w:tcW w:w="2802" w:type="dxa"/>
          </w:tcPr>
          <w:p w:rsidR="00B60846" w:rsidRDefault="008069FF">
            <w:pPr>
              <w:rPr>
                <w:noProof/>
                <w:lang w:val="en-US"/>
              </w:rPr>
            </w:pPr>
            <w:r>
              <w:rPr>
                <w:noProof/>
                <w:lang w:val="en-US"/>
              </w:rPr>
              <w:t>National Competent Authorities and their local and regional representatives (i.e. Ministries and outermost regions)</w:t>
            </w:r>
          </w:p>
          <w:p w:rsidR="00B60846" w:rsidRDefault="00B60846">
            <w:pPr>
              <w:rPr>
                <w:noProof/>
                <w:lang w:val="en-US"/>
              </w:rPr>
            </w:pPr>
          </w:p>
        </w:tc>
        <w:tc>
          <w:tcPr>
            <w:tcW w:w="6945" w:type="dxa"/>
          </w:tcPr>
          <w:p w:rsidR="00B60846" w:rsidRDefault="008069FF">
            <w:pPr>
              <w:rPr>
                <w:rFonts w:eastAsiaTheme="minorEastAsia"/>
                <w:noProof/>
                <w:color w:val="000000" w:themeColor="text1"/>
              </w:rPr>
            </w:pPr>
            <w:r>
              <w:rPr>
                <w:rFonts w:eastAsiaTheme="minorEastAsia"/>
                <w:noProof/>
                <w:color w:val="000000" w:themeColor="text1"/>
              </w:rPr>
              <w:t>The initiative will entail higher cooperation between National Com</w:t>
            </w:r>
            <w:r>
              <w:rPr>
                <w:rFonts w:eastAsiaTheme="minorEastAsia"/>
                <w:noProof/>
                <w:color w:val="000000" w:themeColor="text1"/>
              </w:rPr>
              <w:t>petent Authorities (NCAs) and possible restructuring of existing structures in the context of the development of one-stop shops per sea basin. NCAs will have to ensure the clarity and accessibility of cross-border provisions. This will, in turn, trigger ef</w:t>
            </w:r>
            <w:r>
              <w:rPr>
                <w:rFonts w:eastAsiaTheme="minorEastAsia"/>
                <w:noProof/>
                <w:color w:val="000000" w:themeColor="text1"/>
              </w:rPr>
              <w:t>ficiencies for NCAs. Measures that aim at an accelerated accomplishment of the permitting process through faster court procedures as well as REFIT provisions will have positive implications in terms of reducing administrative burden associated with reporti</w:t>
            </w:r>
            <w:r>
              <w:rPr>
                <w:rFonts w:eastAsiaTheme="minorEastAsia"/>
                <w:noProof/>
                <w:color w:val="000000" w:themeColor="text1"/>
              </w:rPr>
              <w:t xml:space="preserve">ng obligations. </w:t>
            </w:r>
          </w:p>
        </w:tc>
      </w:tr>
      <w:tr w:rsidR="00B60846">
        <w:tc>
          <w:tcPr>
            <w:tcW w:w="2802" w:type="dxa"/>
          </w:tcPr>
          <w:p w:rsidR="00B60846" w:rsidRDefault="008069FF">
            <w:pPr>
              <w:rPr>
                <w:noProof/>
              </w:rPr>
            </w:pPr>
            <w:r>
              <w:rPr>
                <w:noProof/>
              </w:rPr>
              <w:t>National Regulatory Authorities</w:t>
            </w:r>
          </w:p>
          <w:p w:rsidR="00B60846" w:rsidRDefault="00B60846">
            <w:pPr>
              <w:rPr>
                <w:noProof/>
              </w:rPr>
            </w:pPr>
          </w:p>
        </w:tc>
        <w:tc>
          <w:tcPr>
            <w:tcW w:w="6945" w:type="dxa"/>
          </w:tcPr>
          <w:p w:rsidR="00B60846" w:rsidRDefault="008069FF">
            <w:pPr>
              <w:rPr>
                <w:noProof/>
              </w:rPr>
            </w:pPr>
            <w:r>
              <w:rPr>
                <w:noProof/>
              </w:rPr>
              <w:t>The role of the NRAs will increase due to the obligation to thoroughly assess the investment requests since all CBCA decisions issued will be final. The consideration and inclusion of the full investment c</w:t>
            </w:r>
            <w:r>
              <w:rPr>
                <w:noProof/>
              </w:rPr>
              <w:t>osts in the national tariff and the sequential performance of an affordability assessment will increase the administrative burden on NRAs.</w:t>
            </w:r>
          </w:p>
        </w:tc>
      </w:tr>
      <w:tr w:rsidR="00B60846">
        <w:tc>
          <w:tcPr>
            <w:tcW w:w="2802" w:type="dxa"/>
          </w:tcPr>
          <w:p w:rsidR="00B60846" w:rsidRDefault="008069FF">
            <w:pPr>
              <w:rPr>
                <w:noProof/>
              </w:rPr>
            </w:pPr>
            <w:r>
              <w:rPr>
                <w:noProof/>
              </w:rPr>
              <w:t>ACER</w:t>
            </w:r>
          </w:p>
        </w:tc>
        <w:tc>
          <w:tcPr>
            <w:tcW w:w="6945" w:type="dxa"/>
          </w:tcPr>
          <w:p w:rsidR="00B60846" w:rsidRDefault="008069FF">
            <w:pPr>
              <w:rPr>
                <w:noProof/>
              </w:rPr>
            </w:pPr>
            <w:r>
              <w:rPr>
                <w:noProof/>
              </w:rPr>
              <w:t>ACER will have a strengthened role in the approval of the methodology to assess the costs and benefits of proje</w:t>
            </w:r>
            <w:r>
              <w:rPr>
                <w:noProof/>
              </w:rPr>
              <w:t xml:space="preserve">cts, which together with the continuous follow-up of the TYNDPs development will entail a limited increase in administrative burden. ACER will equally be impacted by the simplification of monitoring obligations. </w:t>
            </w:r>
          </w:p>
        </w:tc>
      </w:tr>
      <w:tr w:rsidR="00B60846">
        <w:tc>
          <w:tcPr>
            <w:tcW w:w="2802" w:type="dxa"/>
          </w:tcPr>
          <w:p w:rsidR="00B60846" w:rsidRDefault="008069FF">
            <w:pPr>
              <w:rPr>
                <w:noProof/>
              </w:rPr>
            </w:pPr>
            <w:r>
              <w:rPr>
                <w:noProof/>
              </w:rPr>
              <w:t>Distribution system operators</w:t>
            </w:r>
          </w:p>
        </w:tc>
        <w:tc>
          <w:tcPr>
            <w:tcW w:w="6945" w:type="dxa"/>
          </w:tcPr>
          <w:p w:rsidR="00B60846" w:rsidRDefault="008069FF">
            <w:pPr>
              <w:rPr>
                <w:noProof/>
                <w:lang w:val="en-IE"/>
              </w:rPr>
            </w:pPr>
            <w:r>
              <w:rPr>
                <w:noProof/>
              </w:rPr>
              <w:t xml:space="preserve">The role of </w:t>
            </w:r>
            <w:r>
              <w:rPr>
                <w:noProof/>
              </w:rPr>
              <w:t xml:space="preserve">the distribution network operators will increase thanks to their </w:t>
            </w:r>
            <w:r>
              <w:rPr>
                <w:noProof/>
                <w:lang w:val="en-IE"/>
              </w:rPr>
              <w:t xml:space="preserve">increased participation in the planning process. Equally, the </w:t>
            </w:r>
            <w:r>
              <w:rPr>
                <w:noProof/>
              </w:rPr>
              <w:t>introduction of new infrastructure categories and the broadening of existing ones will see a bigger role for DSOs as project prom</w:t>
            </w:r>
            <w:r>
              <w:rPr>
                <w:noProof/>
              </w:rPr>
              <w:t xml:space="preserve">oters of PCI projects. </w:t>
            </w:r>
          </w:p>
          <w:p w:rsidR="00B60846" w:rsidRDefault="00B60846">
            <w:pPr>
              <w:rPr>
                <w:noProof/>
              </w:rPr>
            </w:pPr>
          </w:p>
          <w:p w:rsidR="00B60846" w:rsidRDefault="00B60846">
            <w:pPr>
              <w:rPr>
                <w:noProof/>
              </w:rPr>
            </w:pPr>
          </w:p>
        </w:tc>
      </w:tr>
      <w:tr w:rsidR="00B60846">
        <w:tc>
          <w:tcPr>
            <w:tcW w:w="2802" w:type="dxa"/>
          </w:tcPr>
          <w:p w:rsidR="00B60846" w:rsidRDefault="008069FF">
            <w:pPr>
              <w:rPr>
                <w:noProof/>
              </w:rPr>
            </w:pPr>
            <w:r>
              <w:rPr>
                <w:noProof/>
              </w:rPr>
              <w:t>Energy producers / Industry</w:t>
            </w:r>
          </w:p>
          <w:p w:rsidR="00B60846" w:rsidRDefault="00B60846">
            <w:pPr>
              <w:rPr>
                <w:noProof/>
              </w:rPr>
            </w:pPr>
          </w:p>
        </w:tc>
        <w:tc>
          <w:tcPr>
            <w:tcW w:w="6945" w:type="dxa"/>
          </w:tcPr>
          <w:p w:rsidR="00B60846" w:rsidRDefault="008069FF">
            <w:pPr>
              <w:spacing w:after="160" w:line="256" w:lineRule="auto"/>
              <w:rPr>
                <w:noProof/>
              </w:rPr>
            </w:pPr>
            <w:r>
              <w:rPr>
                <w:noProof/>
              </w:rPr>
              <w:t>Broadening the scope to new and innovative infrastructure categories will create a market for those specific technologies.</w:t>
            </w:r>
          </w:p>
          <w:p w:rsidR="00B60846" w:rsidRDefault="008069FF">
            <w:pPr>
              <w:spacing w:after="160" w:line="256" w:lineRule="auto"/>
              <w:rPr>
                <w:noProof/>
              </w:rPr>
            </w:pPr>
            <w:r>
              <w:rPr>
                <w:noProof/>
              </w:rPr>
              <w:t>The hydrogen industry has estimated the impact of building 40 GW electrolyser</w:t>
            </w:r>
            <w:r>
              <w:rPr>
                <w:noProof/>
              </w:rPr>
              <w:t xml:space="preserve"> capacity in Europe and 40 GW electrolyser capacity in neighbouring countries with the aim of exporting green hydrogen into Europe.</w:t>
            </w:r>
            <w:r>
              <w:rPr>
                <w:rStyle w:val="FootnoteReference"/>
                <w:noProof/>
              </w:rPr>
              <w:footnoteReference w:id="141"/>
            </w:r>
            <w:r>
              <w:rPr>
                <w:noProof/>
              </w:rPr>
              <w:t xml:space="preserve"> This would require total investments investment of €25-€30 billion, of which over 85% would be realised in the 2025-2030 ti</w:t>
            </w:r>
            <w:r>
              <w:rPr>
                <w:noProof/>
              </w:rPr>
              <w:t>meframe</w:t>
            </w:r>
            <w:r>
              <w:rPr>
                <w:rStyle w:val="FootnoteReference"/>
                <w:noProof/>
              </w:rPr>
              <w:footnoteReference w:id="142"/>
            </w:r>
            <w:r>
              <w:rPr>
                <w:noProof/>
              </w:rPr>
              <w:t>. Depending on the scenario, 7.5 billion or 29 billion EUR of value added can be generated annually in the whole EU-28, by investment in and operation of hydrogen technologies. Most of the value added is expected to be created by building and opera</w:t>
            </w:r>
            <w:r>
              <w:rPr>
                <w:noProof/>
              </w:rPr>
              <w:t>ting the renewable electricity plants that provide energy to electrolysers.</w:t>
            </w:r>
          </w:p>
          <w:p w:rsidR="00B60846" w:rsidRDefault="008069FF">
            <w:pPr>
              <w:spacing w:after="160" w:line="256" w:lineRule="auto"/>
              <w:rPr>
                <w:noProof/>
              </w:rPr>
            </w:pPr>
            <w:r>
              <w:rPr>
                <w:noProof/>
              </w:rPr>
              <w:t>Similarly, the establishment of an enabling grid planning framework for offshore grids would open up a significant market for the renewable energy industry, in particular in Europe, and partially compensate for the slowdown in renewable development onshore</w:t>
            </w:r>
            <w:r>
              <w:rPr>
                <w:noProof/>
              </w:rPr>
              <w:t xml:space="preserve"> in some regions in Europe. </w:t>
            </w:r>
          </w:p>
        </w:tc>
      </w:tr>
    </w:tbl>
    <w:p w:rsidR="00B60846" w:rsidRDefault="00B60846">
      <w:pPr>
        <w:pStyle w:val="Text1"/>
        <w:ind w:left="0"/>
        <w:rPr>
          <w:b/>
          <w:smallCaps/>
          <w:noProof/>
        </w:rPr>
      </w:pPr>
    </w:p>
    <w:p w:rsidR="00B60846" w:rsidRDefault="008069FF">
      <w:pPr>
        <w:pStyle w:val="Heading2"/>
        <w:numPr>
          <w:ilvl w:val="1"/>
          <w:numId w:val="0"/>
        </w:numPr>
        <w:ind w:left="1200" w:hanging="720"/>
        <w:rPr>
          <w:noProof/>
        </w:rPr>
      </w:pPr>
      <w:bookmarkStart w:id="1327" w:name="_Toc39234311"/>
      <w:bookmarkStart w:id="1328" w:name="_Toc39234454"/>
      <w:bookmarkStart w:id="1329" w:name="_Toc47216392"/>
      <w:bookmarkStart w:id="1330" w:name="_Toc55155674"/>
      <w:bookmarkStart w:id="1331" w:name="_Toc55290981"/>
      <w:bookmarkStart w:id="1332" w:name="_Toc55296671"/>
      <w:bookmarkStart w:id="1333" w:name="_Toc55496483"/>
      <w:r>
        <w:rPr>
          <w:noProof/>
        </w:rPr>
        <w:t>3.2 Summary of costs and benefits</w:t>
      </w:r>
      <w:bookmarkEnd w:id="1327"/>
      <w:bookmarkEnd w:id="1328"/>
      <w:bookmarkEnd w:id="1329"/>
      <w:bookmarkEnd w:id="1330"/>
      <w:bookmarkEnd w:id="1331"/>
      <w:bookmarkEnd w:id="1332"/>
      <w:bookmarkEnd w:id="1333"/>
    </w:p>
    <w:p w:rsidR="00B60846" w:rsidRDefault="008069FF">
      <w:pPr>
        <w:rPr>
          <w:noProof/>
        </w:rPr>
      </w:pPr>
      <w:r>
        <w:rPr>
          <w:noProof/>
        </w:rPr>
        <w:t xml:space="preserve">The assessment of the </w:t>
      </w:r>
      <w:r>
        <w:rPr>
          <w:b/>
          <w:noProof/>
        </w:rPr>
        <w:t>benefits</w:t>
      </w:r>
      <w:r>
        <w:rPr>
          <w:noProof/>
        </w:rPr>
        <w:t xml:space="preserve"> distinguishes between direct and indirect benefits.</w:t>
      </w:r>
      <w:r>
        <w:rPr>
          <w:i/>
          <w:noProof/>
        </w:rPr>
        <w:t xml:space="preserve"> </w:t>
      </w:r>
    </w:p>
    <w:p w:rsidR="00B60846" w:rsidRDefault="008069FF">
      <w:pPr>
        <w:rPr>
          <w:noProof/>
        </w:rPr>
      </w:pPr>
      <w:r>
        <w:rPr>
          <w:i/>
          <w:noProof/>
        </w:rPr>
        <w:t>Direct benefits</w:t>
      </w:r>
      <w:r>
        <w:rPr>
          <w:noProof/>
        </w:rPr>
        <w:t xml:space="preserve"> of the package of preferred policy options are mainly related to greenhouse gas emission sa</w:t>
      </w:r>
      <w:r>
        <w:rPr>
          <w:noProof/>
        </w:rPr>
        <w:t>vings and efficiency improvements at large scale through a more coordinated approach to infrastructure planning at European level and streamlined permitting for offshore developments. These direct benefits encompass both social benefits, e.g. society at la</w:t>
      </w:r>
      <w:r>
        <w:rPr>
          <w:noProof/>
        </w:rPr>
        <w:t>rge benefits from reduced greenhouse gas emissions and the achievement of the climate neutrality objective</w:t>
      </w:r>
      <w:r>
        <w:rPr>
          <w:noProof/>
          <w:vertAlign w:val="superscript"/>
        </w:rPr>
        <w:footnoteReference w:id="143"/>
      </w:r>
      <w:r>
        <w:rPr>
          <w:noProof/>
        </w:rPr>
        <w:t>, and private benefits, e.g. reduced administrative costs related to shorter permitting procedures.</w:t>
      </w:r>
    </w:p>
    <w:p w:rsidR="00B60846" w:rsidRDefault="008069FF">
      <w:pPr>
        <w:rPr>
          <w:noProof/>
        </w:rPr>
      </w:pPr>
      <w:r>
        <w:rPr>
          <w:noProof/>
        </w:rPr>
        <w:t>The simplification measures, as discussed in sect</w:t>
      </w:r>
      <w:r>
        <w:rPr>
          <w:noProof/>
        </w:rPr>
        <w:t xml:space="preserve">ion 8.2, will generate direct benefits through reduced existing recurrent direct costs related to administrative burden as a result of reduced monitoring and reporting obligations. These direct benefits are mainly private benefits for certain stakeholders </w:t>
      </w:r>
      <w:r>
        <w:rPr>
          <w:noProof/>
        </w:rPr>
        <w:t>such as project promoters.</w:t>
      </w:r>
    </w:p>
    <w:p w:rsidR="00B60846" w:rsidRDefault="008069FF">
      <w:pPr>
        <w:rPr>
          <w:noProof/>
        </w:rPr>
      </w:pPr>
      <w:r>
        <w:rPr>
          <w:i/>
          <w:noProof/>
        </w:rPr>
        <w:t>Indirect benefits</w:t>
      </w:r>
      <w:r>
        <w:rPr>
          <w:noProof/>
        </w:rPr>
        <w:t xml:space="preserve"> include sectoral benefits by stimulating market demand for certain innovative technologies and in turn contributing to potentially higher employment rates.</w:t>
      </w:r>
    </w:p>
    <w:p w:rsidR="00B60846" w:rsidRDefault="008069FF">
      <w:pPr>
        <w:rPr>
          <w:noProof/>
        </w:rPr>
      </w:pPr>
      <w:r>
        <w:rPr>
          <w:noProof/>
        </w:rPr>
        <w:t>However, the net impact on total welfare and the net im</w:t>
      </w:r>
      <w:r>
        <w:rPr>
          <w:noProof/>
        </w:rPr>
        <w:t xml:space="preserve">pacts on specific groups (i.e. winners and losers) as well as overall affordability is important to inform policymaking. </w:t>
      </w:r>
    </w:p>
    <w:p w:rsidR="00B60846" w:rsidRDefault="008069FF">
      <w:pPr>
        <w:rPr>
          <w:noProof/>
        </w:rPr>
      </w:pPr>
      <w:r>
        <w:rPr>
          <w:noProof/>
        </w:rPr>
        <w:t>Costs and benefits should usually be based on market prices (reflecting the opportunity cost of action). However, these are not always</w:t>
      </w:r>
      <w:r>
        <w:rPr>
          <w:noProof/>
        </w:rPr>
        <w:t xml:space="preserve"> available and so other methods may be needed to express impacts in monetary terms or indeed sometimes impacts cannot be expressed in monetary terms</w:t>
      </w:r>
    </w:p>
    <w:p w:rsidR="00B60846" w:rsidRDefault="008069FF">
      <w:pPr>
        <w:rPr>
          <w:noProof/>
        </w:rPr>
      </w:pPr>
      <w:r>
        <w:rPr>
          <w:noProof/>
        </w:rPr>
        <w:t>The assessment of the preferred options showed positive impacts in social welfare and economic terms for di</w:t>
      </w:r>
      <w:r>
        <w:rPr>
          <w:noProof/>
        </w:rPr>
        <w:t xml:space="preserve">fferent categories of stakeholders. However, such impact for the package of preferred policy options could not be fully quantified or monetised as this would have required information regarding the deployment rate for future PCIs or market upscale for new </w:t>
      </w:r>
      <w:r>
        <w:rPr>
          <w:noProof/>
        </w:rPr>
        <w:t xml:space="preserve">or emerging infrastructure categories which is not available and cannot be estimated with sufficient degree of robustness. Ranges of impact in absolute or relative terms are provided to the extent possible. </w:t>
      </w:r>
    </w:p>
    <w:p w:rsidR="00B60846" w:rsidRDefault="008069FF">
      <w:pPr>
        <w:rPr>
          <w:noProof/>
        </w:rPr>
      </w:pPr>
      <w:r>
        <w:rPr>
          <w:noProof/>
        </w:rPr>
        <w:t>It is important to underline that one general se</w:t>
      </w:r>
      <w:r>
        <w:rPr>
          <w:noProof/>
        </w:rPr>
        <w:t>lection criterion for each project of common interest is that its potential overall benefits outweigh its costs, including in the longer term.</w:t>
      </w:r>
      <w:r>
        <w:rPr>
          <w:rStyle w:val="FootnoteReference"/>
          <w:noProof/>
        </w:rPr>
        <w:footnoteReference w:id="144"/>
      </w:r>
      <w:r>
        <w:rPr>
          <w:noProof/>
        </w:rPr>
        <w:t xml:space="preserve"> </w:t>
      </w:r>
    </w:p>
    <w:p w:rsidR="00B60846" w:rsidRDefault="008069FF">
      <w:pPr>
        <w:rPr>
          <w:noProof/>
        </w:rPr>
      </w:pPr>
      <w:r>
        <w:rPr>
          <w:noProof/>
        </w:rPr>
        <w:t>The below table summarises the direct and indirect benefits for the package of preferred policy options compare</w:t>
      </w:r>
      <w:r>
        <w:rPr>
          <w:noProof/>
        </w:rPr>
        <w:t>d to the baseline providing ranges of possible benefits.</w:t>
      </w: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B60846">
        <w:tc>
          <w:tcPr>
            <w:tcW w:w="10377" w:type="dxa"/>
            <w:gridSpan w:val="3"/>
            <w:tcBorders>
              <w:top w:val="double" w:sz="4" w:space="0" w:color="auto"/>
              <w:bottom w:val="single" w:sz="4" w:space="0" w:color="auto"/>
            </w:tcBorders>
            <w:shd w:val="clear" w:color="auto" w:fill="C6D9F1" w:themeFill="text2" w:themeFillTint="33"/>
          </w:tcPr>
          <w:p w:rsidR="00B60846" w:rsidRDefault="008069FF">
            <w:pPr>
              <w:rPr>
                <w:noProof/>
                <w:sz w:val="20"/>
              </w:rPr>
            </w:pPr>
            <w:r>
              <w:rPr>
                <w:noProof/>
                <w:sz w:val="20"/>
              </w:rPr>
              <w:t>I. Overview of Benefits (total for all provisions) – Package of preferred options</w:t>
            </w:r>
          </w:p>
        </w:tc>
      </w:tr>
      <w:tr w:rsidR="00B60846">
        <w:tc>
          <w:tcPr>
            <w:tcW w:w="2552" w:type="dxa"/>
            <w:tcBorders>
              <w:top w:val="single" w:sz="4" w:space="0" w:color="auto"/>
            </w:tcBorders>
            <w:shd w:val="clear" w:color="auto" w:fill="C6D9F1" w:themeFill="text2" w:themeFillTint="33"/>
          </w:tcPr>
          <w:p w:rsidR="00B60846" w:rsidRDefault="008069FF">
            <w:pPr>
              <w:rPr>
                <w:noProof/>
                <w:sz w:val="20"/>
              </w:rPr>
            </w:pPr>
            <w:r>
              <w:rPr>
                <w:noProof/>
                <w:sz w:val="20"/>
              </w:rPr>
              <w:t>Description</w:t>
            </w:r>
          </w:p>
        </w:tc>
        <w:tc>
          <w:tcPr>
            <w:tcW w:w="4111" w:type="dxa"/>
            <w:tcBorders>
              <w:top w:val="single" w:sz="4" w:space="0" w:color="auto"/>
            </w:tcBorders>
            <w:shd w:val="clear" w:color="auto" w:fill="C6D9F1" w:themeFill="text2" w:themeFillTint="33"/>
          </w:tcPr>
          <w:p w:rsidR="00B60846" w:rsidRDefault="008069FF">
            <w:pPr>
              <w:rPr>
                <w:noProof/>
                <w:sz w:val="20"/>
              </w:rPr>
            </w:pPr>
            <w:r>
              <w:rPr>
                <w:noProof/>
                <w:sz w:val="20"/>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rsidR="00B60846" w:rsidRDefault="008069FF">
            <w:pPr>
              <w:rPr>
                <w:noProof/>
                <w:sz w:val="20"/>
              </w:rPr>
            </w:pPr>
            <w:r>
              <w:rPr>
                <w:noProof/>
                <w:sz w:val="20"/>
              </w:rPr>
              <w:t>Main recipient (stakeholder group)</w:t>
            </w:r>
          </w:p>
        </w:tc>
      </w:tr>
      <w:tr w:rsidR="00B60846">
        <w:tc>
          <w:tcPr>
            <w:tcW w:w="10377" w:type="dxa"/>
            <w:gridSpan w:val="3"/>
            <w:tcBorders>
              <w:top w:val="double" w:sz="4" w:space="0" w:color="auto"/>
            </w:tcBorders>
          </w:tcPr>
          <w:p w:rsidR="00B60846" w:rsidRDefault="008069FF">
            <w:pPr>
              <w:rPr>
                <w:b/>
                <w:noProof/>
                <w:sz w:val="20"/>
              </w:rPr>
            </w:pPr>
            <w:r>
              <w:rPr>
                <w:b/>
                <w:noProof/>
                <w:sz w:val="20"/>
              </w:rPr>
              <w:t>A)</w:t>
            </w:r>
            <w:r>
              <w:rPr>
                <w:noProof/>
                <w:sz w:val="20"/>
              </w:rPr>
              <w:t xml:space="preserve"> </w:t>
            </w:r>
            <w:r>
              <w:rPr>
                <w:b/>
                <w:noProof/>
                <w:sz w:val="20"/>
              </w:rPr>
              <w:t>SCOPE</w:t>
            </w:r>
          </w:p>
          <w:p w:rsidR="00B60846" w:rsidRDefault="008069FF">
            <w:pPr>
              <w:pStyle w:val="ListParagraph"/>
              <w:numPr>
                <w:ilvl w:val="0"/>
                <w:numId w:val="23"/>
              </w:numPr>
              <w:rPr>
                <w:noProof/>
                <w:sz w:val="20"/>
              </w:rPr>
            </w:pPr>
            <w:r>
              <w:rPr>
                <w:noProof/>
                <w:sz w:val="20"/>
              </w:rPr>
              <w:t xml:space="preserve">Broadened scope to reflect technological developments for smart electricity grids (elements of Option A.1.1; expanding the category on electricity storage would not be proposed) </w:t>
            </w:r>
          </w:p>
        </w:tc>
      </w:tr>
      <w:tr w:rsidR="00B60846">
        <w:tc>
          <w:tcPr>
            <w:tcW w:w="10377" w:type="dxa"/>
            <w:gridSpan w:val="3"/>
            <w:tcBorders>
              <w:top w:val="double" w:sz="4" w:space="0" w:color="auto"/>
            </w:tcBorders>
          </w:tcPr>
          <w:p w:rsidR="00B60846" w:rsidRDefault="008069FF">
            <w:pPr>
              <w:rPr>
                <w:b/>
                <w:noProof/>
                <w:sz w:val="20"/>
              </w:rPr>
            </w:pPr>
            <w:r>
              <w:rPr>
                <w:noProof/>
                <w:sz w:val="20"/>
              </w:rPr>
              <w:t>Direct benefits</w:t>
            </w:r>
          </w:p>
        </w:tc>
      </w:tr>
      <w:tr w:rsidR="00B60846">
        <w:tc>
          <w:tcPr>
            <w:tcW w:w="2552" w:type="dxa"/>
            <w:tcBorders>
              <w:top w:val="double" w:sz="4" w:space="0" w:color="auto"/>
            </w:tcBorders>
          </w:tcPr>
          <w:p w:rsidR="00B60846" w:rsidRDefault="008069FF">
            <w:pPr>
              <w:rPr>
                <w:noProof/>
                <w:sz w:val="20"/>
              </w:rPr>
            </w:pPr>
            <w:r>
              <w:rPr>
                <w:noProof/>
                <w:sz w:val="20"/>
              </w:rPr>
              <w:t>Reduced transaction costs</w:t>
            </w:r>
          </w:p>
        </w:tc>
        <w:tc>
          <w:tcPr>
            <w:tcW w:w="4111" w:type="dxa"/>
            <w:tcBorders>
              <w:top w:val="double" w:sz="4" w:space="0" w:color="auto"/>
            </w:tcBorders>
            <w:tcMar>
              <w:top w:w="57" w:type="dxa"/>
              <w:left w:w="57" w:type="dxa"/>
              <w:bottom w:w="57" w:type="dxa"/>
              <w:right w:w="57" w:type="dxa"/>
            </w:tcMar>
          </w:tcPr>
          <w:p w:rsidR="00B60846" w:rsidRDefault="008069FF">
            <w:pPr>
              <w:rPr>
                <w:noProof/>
                <w:sz w:val="20"/>
              </w:rPr>
            </w:pPr>
            <w:r>
              <w:rPr>
                <w:noProof/>
                <w:sz w:val="20"/>
              </w:rPr>
              <w:t>Not possible to monetise benefit.</w:t>
            </w:r>
          </w:p>
        </w:tc>
        <w:tc>
          <w:tcPr>
            <w:tcW w:w="3714" w:type="dxa"/>
            <w:tcBorders>
              <w:top w:val="double" w:sz="4" w:space="0" w:color="auto"/>
            </w:tcBorders>
            <w:tcMar>
              <w:top w:w="57" w:type="dxa"/>
              <w:left w:w="57" w:type="dxa"/>
              <w:bottom w:w="57" w:type="dxa"/>
              <w:right w:w="57" w:type="dxa"/>
            </w:tcMar>
          </w:tcPr>
          <w:p w:rsidR="00B60846" w:rsidRDefault="008069FF">
            <w:pPr>
              <w:rPr>
                <w:noProof/>
                <w:sz w:val="20"/>
              </w:rPr>
            </w:pPr>
            <w:r>
              <w:rPr>
                <w:noProof/>
                <w:sz w:val="20"/>
              </w:rPr>
              <w:t>Benefits for project promoters.</w:t>
            </w:r>
          </w:p>
        </w:tc>
      </w:tr>
      <w:tr w:rsidR="00B60846">
        <w:tc>
          <w:tcPr>
            <w:tcW w:w="2552" w:type="dxa"/>
            <w:tcBorders>
              <w:bottom w:val="double" w:sz="4" w:space="0" w:color="auto"/>
            </w:tcBorders>
          </w:tcPr>
          <w:p w:rsidR="00B60846" w:rsidRDefault="008069FF">
            <w:pPr>
              <w:rPr>
                <w:noProof/>
                <w:sz w:val="20"/>
              </w:rPr>
            </w:pPr>
            <w:r>
              <w:rPr>
                <w:noProof/>
                <w:sz w:val="20"/>
              </w:rPr>
              <w:t xml:space="preserve">Facilitate the integration of renewable energy sources at distribution level </w:t>
            </w:r>
          </w:p>
        </w:tc>
        <w:tc>
          <w:tcPr>
            <w:tcW w:w="4111" w:type="dxa"/>
            <w:tcBorders>
              <w:bottom w:val="double" w:sz="4" w:space="0" w:color="auto"/>
            </w:tcBorders>
            <w:tcMar>
              <w:top w:w="57" w:type="dxa"/>
              <w:left w:w="57" w:type="dxa"/>
              <w:bottom w:w="57" w:type="dxa"/>
              <w:right w:w="57" w:type="dxa"/>
            </w:tcMar>
          </w:tcPr>
          <w:p w:rsidR="00B60846" w:rsidRDefault="008069FF">
            <w:pPr>
              <w:rPr>
                <w:noProof/>
                <w:sz w:val="20"/>
              </w:rPr>
            </w:pPr>
            <w:r>
              <w:rPr>
                <w:noProof/>
                <w:sz w:val="20"/>
              </w:rPr>
              <w:t>Not possible to monetise benefit.</w:t>
            </w:r>
          </w:p>
        </w:tc>
        <w:tc>
          <w:tcPr>
            <w:tcW w:w="3714" w:type="dxa"/>
            <w:tcBorders>
              <w:bottom w:val="double" w:sz="4" w:space="0" w:color="auto"/>
            </w:tcBorders>
            <w:tcMar>
              <w:top w:w="57" w:type="dxa"/>
              <w:left w:w="57" w:type="dxa"/>
              <w:bottom w:w="57" w:type="dxa"/>
              <w:right w:w="57" w:type="dxa"/>
            </w:tcMar>
          </w:tcPr>
          <w:p w:rsidR="00B60846" w:rsidRDefault="008069FF">
            <w:pPr>
              <w:rPr>
                <w:noProof/>
                <w:sz w:val="20"/>
              </w:rPr>
            </w:pPr>
            <w:r>
              <w:rPr>
                <w:noProof/>
                <w:sz w:val="20"/>
              </w:rPr>
              <w:t>Benefits for owners of renewable energy generation units at distribution level.</w:t>
            </w:r>
          </w:p>
        </w:tc>
      </w:tr>
      <w:tr w:rsidR="00B60846">
        <w:tc>
          <w:tcPr>
            <w:tcW w:w="10377" w:type="dxa"/>
            <w:gridSpan w:val="3"/>
            <w:shd w:val="clear" w:color="auto" w:fill="F2F2F2" w:themeFill="background1" w:themeFillShade="F2"/>
          </w:tcPr>
          <w:p w:rsidR="00B60846" w:rsidRDefault="008069FF">
            <w:pPr>
              <w:rPr>
                <w:noProof/>
                <w:sz w:val="20"/>
              </w:rPr>
            </w:pPr>
            <w:r>
              <w:rPr>
                <w:noProof/>
                <w:sz w:val="20"/>
              </w:rPr>
              <w:t>Indirect benefits</w:t>
            </w:r>
          </w:p>
        </w:tc>
      </w:tr>
      <w:tr w:rsidR="00B60846">
        <w:tc>
          <w:tcPr>
            <w:tcW w:w="2552" w:type="dxa"/>
            <w:tcBorders>
              <w:top w:val="double" w:sz="4" w:space="0" w:color="auto"/>
            </w:tcBorders>
          </w:tcPr>
          <w:p w:rsidR="00B60846" w:rsidRDefault="008069FF">
            <w:pPr>
              <w:rPr>
                <w:noProof/>
                <w:sz w:val="20"/>
              </w:rPr>
            </w:pPr>
            <w:r>
              <w:rPr>
                <w:noProof/>
                <w:sz w:val="20"/>
              </w:rPr>
              <w:t xml:space="preserve">Provision </w:t>
            </w:r>
            <w:r>
              <w:rPr>
                <w:noProof/>
                <w:sz w:val="20"/>
              </w:rPr>
              <w:t>of demand-side flexibility by consumer connected to the distribution grid</w:t>
            </w:r>
          </w:p>
        </w:tc>
        <w:tc>
          <w:tcPr>
            <w:tcW w:w="4111" w:type="dxa"/>
            <w:tcBorders>
              <w:top w:val="double" w:sz="4" w:space="0" w:color="auto"/>
            </w:tcBorders>
            <w:tcMar>
              <w:top w:w="57" w:type="dxa"/>
              <w:left w:w="57" w:type="dxa"/>
              <w:bottom w:w="57" w:type="dxa"/>
              <w:right w:w="57" w:type="dxa"/>
            </w:tcMar>
          </w:tcPr>
          <w:p w:rsidR="00B60846" w:rsidRDefault="008069FF">
            <w:pPr>
              <w:rPr>
                <w:noProof/>
                <w:sz w:val="20"/>
              </w:rPr>
            </w:pPr>
            <w:r>
              <w:rPr>
                <w:noProof/>
                <w:sz w:val="20"/>
              </w:rPr>
              <w:t>Not possible to monetise benefit.</w:t>
            </w:r>
          </w:p>
          <w:p w:rsidR="00B60846" w:rsidRDefault="008069FF">
            <w:pPr>
              <w:rPr>
                <w:noProof/>
                <w:sz w:val="20"/>
              </w:rPr>
            </w:pPr>
            <w:r>
              <w:rPr>
                <w:noProof/>
                <w:sz w:val="20"/>
              </w:rPr>
              <w:t>Higher penetration of smart grids will allow for 120 GW-150 GW of flexible load available by 2045</w:t>
            </w:r>
          </w:p>
        </w:tc>
        <w:tc>
          <w:tcPr>
            <w:tcW w:w="3714" w:type="dxa"/>
            <w:tcBorders>
              <w:top w:val="double" w:sz="4" w:space="0" w:color="auto"/>
            </w:tcBorders>
            <w:tcMar>
              <w:top w:w="57" w:type="dxa"/>
              <w:left w:w="57" w:type="dxa"/>
              <w:bottom w:w="57" w:type="dxa"/>
              <w:right w:w="57" w:type="dxa"/>
            </w:tcMar>
          </w:tcPr>
          <w:p w:rsidR="00B60846" w:rsidRDefault="008069FF">
            <w:pPr>
              <w:rPr>
                <w:noProof/>
                <w:sz w:val="20"/>
              </w:rPr>
            </w:pPr>
            <w:r>
              <w:rPr>
                <w:noProof/>
                <w:sz w:val="20"/>
              </w:rPr>
              <w:t xml:space="preserve">Benefits identified for citizens and society as a </w:t>
            </w:r>
            <w:r>
              <w:rPr>
                <w:noProof/>
                <w:sz w:val="20"/>
              </w:rPr>
              <w:t>whole, transmission system operators</w:t>
            </w:r>
          </w:p>
        </w:tc>
      </w:tr>
      <w:tr w:rsidR="00B60846">
        <w:tc>
          <w:tcPr>
            <w:tcW w:w="2552" w:type="dxa"/>
          </w:tcPr>
          <w:p w:rsidR="00B60846" w:rsidRDefault="008069FF">
            <w:pPr>
              <w:rPr>
                <w:noProof/>
                <w:sz w:val="20"/>
              </w:rPr>
            </w:pPr>
            <w:r>
              <w:rPr>
                <w:noProof/>
                <w:sz w:val="20"/>
              </w:rPr>
              <w:t xml:space="preserve">Support in the uptake of electric cars </w:t>
            </w:r>
          </w:p>
        </w:tc>
        <w:tc>
          <w:tcPr>
            <w:tcW w:w="4111" w:type="dxa"/>
            <w:tcMar>
              <w:top w:w="57" w:type="dxa"/>
              <w:left w:w="57" w:type="dxa"/>
              <w:bottom w:w="57" w:type="dxa"/>
              <w:right w:w="57" w:type="dxa"/>
            </w:tcMar>
          </w:tcPr>
          <w:p w:rsidR="00B60846" w:rsidRDefault="008069FF">
            <w:pPr>
              <w:rPr>
                <w:noProof/>
                <w:sz w:val="20"/>
              </w:rPr>
            </w:pPr>
            <w:r>
              <w:rPr>
                <w:noProof/>
                <w:sz w:val="20"/>
              </w:rPr>
              <w:t>Not possible to monetise benefit.</w:t>
            </w:r>
          </w:p>
        </w:tc>
        <w:tc>
          <w:tcPr>
            <w:tcW w:w="3714" w:type="dxa"/>
            <w:tcMar>
              <w:top w:w="57" w:type="dxa"/>
              <w:left w:w="57" w:type="dxa"/>
              <w:bottom w:w="57" w:type="dxa"/>
              <w:right w:w="57" w:type="dxa"/>
            </w:tcMar>
          </w:tcPr>
          <w:p w:rsidR="00B60846" w:rsidRDefault="008069FF">
            <w:pPr>
              <w:rPr>
                <w:noProof/>
                <w:sz w:val="20"/>
              </w:rPr>
            </w:pPr>
            <w:r>
              <w:rPr>
                <w:noProof/>
                <w:sz w:val="20"/>
              </w:rPr>
              <w:t xml:space="preserve">Benefits identified for citizens and society as a whole </w:t>
            </w:r>
          </w:p>
        </w:tc>
      </w:tr>
      <w:tr w:rsidR="00B60846">
        <w:tc>
          <w:tcPr>
            <w:tcW w:w="2552" w:type="dxa"/>
          </w:tcPr>
          <w:p w:rsidR="00B60846" w:rsidRDefault="008069FF">
            <w:pPr>
              <w:rPr>
                <w:noProof/>
                <w:sz w:val="20"/>
              </w:rPr>
            </w:pPr>
            <w:r>
              <w:rPr>
                <w:noProof/>
                <w:sz w:val="20"/>
              </w:rPr>
              <w:t>C</w:t>
            </w:r>
            <w:r>
              <w:rPr>
                <w:noProof/>
                <w:sz w:val="20"/>
                <w:lang w:val="en-IE"/>
              </w:rPr>
              <w:t xml:space="preserve">omprehensive control and monitoring of the grid would reduce the need for curtailment of renewables and enable competitive and innovative energy services for consumers. </w:t>
            </w:r>
          </w:p>
        </w:tc>
        <w:tc>
          <w:tcPr>
            <w:tcW w:w="4111" w:type="dxa"/>
            <w:tcMar>
              <w:top w:w="57" w:type="dxa"/>
              <w:left w:w="57" w:type="dxa"/>
              <w:bottom w:w="57" w:type="dxa"/>
              <w:right w:w="57" w:type="dxa"/>
            </w:tcMar>
          </w:tcPr>
          <w:p w:rsidR="00B60846" w:rsidRDefault="008069FF">
            <w:pPr>
              <w:rPr>
                <w:noProof/>
                <w:sz w:val="20"/>
                <w:lang w:val="en-IE"/>
              </w:rPr>
            </w:pPr>
            <w:r>
              <w:rPr>
                <w:noProof/>
                <w:sz w:val="20"/>
              </w:rPr>
              <w:t>Not possible to monetise benefit.</w:t>
            </w:r>
          </w:p>
          <w:p w:rsidR="00B60846" w:rsidRDefault="008069FF">
            <w:pPr>
              <w:rPr>
                <w:noProof/>
                <w:sz w:val="20"/>
              </w:rPr>
            </w:pPr>
            <w:r>
              <w:rPr>
                <w:noProof/>
                <w:sz w:val="20"/>
                <w:lang w:val="en-IE"/>
              </w:rPr>
              <w:t>According to the IEA, investments in enhanced digita</w:t>
            </w:r>
            <w:r>
              <w:rPr>
                <w:noProof/>
                <w:sz w:val="20"/>
                <w:lang w:val="en-IE"/>
              </w:rPr>
              <w:t>lisation would reduce curtailment in Europe by 67 TWh by 2040</w:t>
            </w:r>
            <w:r>
              <w:rPr>
                <w:noProof/>
                <w:sz w:val="20"/>
                <w:vertAlign w:val="superscript"/>
              </w:rPr>
              <w:footnoteReference w:id="145"/>
            </w:r>
            <w:r>
              <w:rPr>
                <w:noProof/>
                <w:sz w:val="20"/>
                <w:lang w:val="en-IE"/>
              </w:rPr>
              <w:t>.</w:t>
            </w:r>
          </w:p>
        </w:tc>
        <w:tc>
          <w:tcPr>
            <w:tcW w:w="3714" w:type="dxa"/>
            <w:tcMar>
              <w:top w:w="57" w:type="dxa"/>
              <w:left w:w="57" w:type="dxa"/>
              <w:bottom w:w="57" w:type="dxa"/>
              <w:right w:w="57" w:type="dxa"/>
            </w:tcMar>
          </w:tcPr>
          <w:p w:rsidR="00B60846" w:rsidRDefault="008069FF">
            <w:pPr>
              <w:rPr>
                <w:noProof/>
                <w:sz w:val="20"/>
              </w:rPr>
            </w:pPr>
            <w:r>
              <w:rPr>
                <w:noProof/>
                <w:sz w:val="20"/>
              </w:rPr>
              <w:t>Benefits identified for citizens and society as a whole</w:t>
            </w:r>
          </w:p>
        </w:tc>
      </w:tr>
      <w:tr w:rsidR="00B60846">
        <w:tc>
          <w:tcPr>
            <w:tcW w:w="10377" w:type="dxa"/>
            <w:gridSpan w:val="3"/>
          </w:tcPr>
          <w:p w:rsidR="00B60846" w:rsidRDefault="008069FF">
            <w:pPr>
              <w:pStyle w:val="ListParagraph"/>
              <w:numPr>
                <w:ilvl w:val="0"/>
                <w:numId w:val="23"/>
              </w:numPr>
              <w:rPr>
                <w:noProof/>
                <w:sz w:val="20"/>
              </w:rPr>
            </w:pPr>
            <w:r>
              <w:rPr>
                <w:noProof/>
                <w:sz w:val="20"/>
              </w:rPr>
              <w:t>Limit scope to new and repurposed hydrogen network / Power-to-Gas installations (Option A.2.1) as well as smart gas grids and retrofits</w:t>
            </w:r>
            <w:r>
              <w:rPr>
                <w:noProof/>
                <w:sz w:val="20"/>
              </w:rPr>
              <w:t xml:space="preserve"> of existing natural gas transmission assets for hydrogen admixtures/blends with safeguards in place to ensure renewable and low-carbon gases are transported (elements of Option A.2.2; new transmission pipelines for decarbonised gases and inclusion of adva</w:t>
            </w:r>
            <w:r>
              <w:rPr>
                <w:noProof/>
                <w:sz w:val="20"/>
              </w:rPr>
              <w:t>nced natural gas PCIs would not be proposed)</w:t>
            </w:r>
          </w:p>
        </w:tc>
      </w:tr>
      <w:tr w:rsidR="00B60846">
        <w:tc>
          <w:tcPr>
            <w:tcW w:w="10377" w:type="dxa"/>
            <w:gridSpan w:val="3"/>
          </w:tcPr>
          <w:p w:rsidR="00B60846" w:rsidRDefault="008069FF">
            <w:pPr>
              <w:rPr>
                <w:noProof/>
                <w:sz w:val="20"/>
              </w:rPr>
            </w:pPr>
            <w:r>
              <w:rPr>
                <w:noProof/>
                <w:sz w:val="20"/>
              </w:rPr>
              <w:t>Direct benefits</w:t>
            </w:r>
          </w:p>
        </w:tc>
      </w:tr>
      <w:tr w:rsidR="00B60846">
        <w:tc>
          <w:tcPr>
            <w:tcW w:w="2552" w:type="dxa"/>
          </w:tcPr>
          <w:p w:rsidR="00B60846" w:rsidRDefault="008069FF">
            <w:pPr>
              <w:rPr>
                <w:noProof/>
                <w:sz w:val="20"/>
              </w:rPr>
            </w:pPr>
            <w:r>
              <w:rPr>
                <w:noProof/>
                <w:sz w:val="20"/>
              </w:rPr>
              <w:t xml:space="preserve">Description </w:t>
            </w:r>
          </w:p>
        </w:tc>
        <w:tc>
          <w:tcPr>
            <w:tcW w:w="4111" w:type="dxa"/>
            <w:tcMar>
              <w:top w:w="57" w:type="dxa"/>
              <w:left w:w="57" w:type="dxa"/>
              <w:bottom w:w="57" w:type="dxa"/>
              <w:right w:w="57" w:type="dxa"/>
            </w:tcMar>
          </w:tcPr>
          <w:p w:rsidR="00B60846" w:rsidRDefault="008069FF">
            <w:pPr>
              <w:rPr>
                <w:noProof/>
                <w:sz w:val="20"/>
              </w:rPr>
            </w:pPr>
            <w:r>
              <w:rPr>
                <w:noProof/>
                <w:sz w:val="20"/>
              </w:rPr>
              <w:t>Amounts</w:t>
            </w:r>
          </w:p>
        </w:tc>
        <w:tc>
          <w:tcPr>
            <w:tcW w:w="3714" w:type="dxa"/>
            <w:tcMar>
              <w:top w:w="57" w:type="dxa"/>
              <w:left w:w="57" w:type="dxa"/>
              <w:bottom w:w="57" w:type="dxa"/>
              <w:right w:w="57" w:type="dxa"/>
            </w:tcMar>
          </w:tcPr>
          <w:p w:rsidR="00B60846" w:rsidRDefault="008069FF">
            <w:pPr>
              <w:rPr>
                <w:noProof/>
                <w:sz w:val="20"/>
              </w:rPr>
            </w:pPr>
            <w:r>
              <w:rPr>
                <w:noProof/>
                <w:sz w:val="20"/>
              </w:rPr>
              <w:t>Comments</w:t>
            </w:r>
          </w:p>
        </w:tc>
      </w:tr>
      <w:tr w:rsidR="00B60846">
        <w:tc>
          <w:tcPr>
            <w:tcW w:w="2552" w:type="dxa"/>
          </w:tcPr>
          <w:p w:rsidR="00B60846" w:rsidRDefault="008069FF">
            <w:pPr>
              <w:rPr>
                <w:noProof/>
                <w:sz w:val="20"/>
              </w:rPr>
            </w:pPr>
            <w:r>
              <w:rPr>
                <w:noProof/>
                <w:sz w:val="20"/>
              </w:rPr>
              <w:t>GHG emission reduction from the substitution of fossil fuels by renewable or low-carbon hydrogen</w:t>
            </w:r>
          </w:p>
        </w:tc>
        <w:tc>
          <w:tcPr>
            <w:tcW w:w="4111" w:type="dxa"/>
            <w:tcMar>
              <w:top w:w="57" w:type="dxa"/>
              <w:left w:w="57" w:type="dxa"/>
              <w:bottom w:w="57" w:type="dxa"/>
              <w:right w:w="57" w:type="dxa"/>
            </w:tcMar>
          </w:tcPr>
          <w:p w:rsidR="00B60846" w:rsidRDefault="008069FF">
            <w:pPr>
              <w:rPr>
                <w:noProof/>
                <w:sz w:val="20"/>
              </w:rPr>
            </w:pPr>
            <w:r>
              <w:rPr>
                <w:noProof/>
                <w:sz w:val="20"/>
              </w:rPr>
              <w:t>Not possible to monetise benefit.</w:t>
            </w:r>
          </w:p>
          <w:p w:rsidR="00B60846" w:rsidRDefault="008069FF">
            <w:pPr>
              <w:rPr>
                <w:noProof/>
                <w:sz w:val="20"/>
              </w:rPr>
            </w:pPr>
            <w:r>
              <w:rPr>
                <w:noProof/>
                <w:sz w:val="20"/>
              </w:rPr>
              <w:t xml:space="preserve">In general, GHG emission </w:t>
            </w:r>
            <w:r>
              <w:rPr>
                <w:noProof/>
                <w:sz w:val="20"/>
              </w:rPr>
              <w:t>reduction potential in the range of 20-65 MtCO2/a, corresponding to 1.4%-4.5% of the reduction gap at EU-28 level</w:t>
            </w:r>
          </w:p>
          <w:p w:rsidR="00B60846" w:rsidRDefault="00B60846">
            <w:pPr>
              <w:rPr>
                <w:noProof/>
                <w:sz w:val="20"/>
              </w:rPr>
            </w:pPr>
          </w:p>
        </w:tc>
        <w:tc>
          <w:tcPr>
            <w:tcW w:w="3714" w:type="dxa"/>
            <w:tcMar>
              <w:top w:w="57" w:type="dxa"/>
              <w:left w:w="57" w:type="dxa"/>
              <w:bottom w:w="57" w:type="dxa"/>
              <w:right w:w="57" w:type="dxa"/>
            </w:tcMar>
          </w:tcPr>
          <w:p w:rsidR="00B60846" w:rsidRDefault="008069FF">
            <w:pPr>
              <w:rPr>
                <w:noProof/>
                <w:sz w:val="20"/>
              </w:rPr>
            </w:pPr>
            <w:r>
              <w:rPr>
                <w:noProof/>
                <w:sz w:val="20"/>
              </w:rPr>
              <w:t>Benefits identified for citizens and society as a whole</w:t>
            </w:r>
          </w:p>
        </w:tc>
      </w:tr>
      <w:tr w:rsidR="00B60846">
        <w:tc>
          <w:tcPr>
            <w:tcW w:w="2552" w:type="dxa"/>
          </w:tcPr>
          <w:p w:rsidR="00B60846" w:rsidRDefault="008069FF">
            <w:pPr>
              <w:rPr>
                <w:noProof/>
                <w:sz w:val="20"/>
              </w:rPr>
            </w:pPr>
            <w:r>
              <w:rPr>
                <w:noProof/>
                <w:sz w:val="20"/>
              </w:rPr>
              <w:t xml:space="preserve">GHG emission reduction from the substitution of natural gas with biogas </w:t>
            </w:r>
          </w:p>
          <w:p w:rsidR="00B60846" w:rsidRDefault="00B60846">
            <w:pPr>
              <w:rPr>
                <w:noProof/>
                <w:sz w:val="20"/>
              </w:rPr>
            </w:pPr>
          </w:p>
        </w:tc>
        <w:tc>
          <w:tcPr>
            <w:tcW w:w="4111" w:type="dxa"/>
            <w:tcMar>
              <w:top w:w="57" w:type="dxa"/>
              <w:left w:w="57" w:type="dxa"/>
              <w:bottom w:w="57" w:type="dxa"/>
              <w:right w:w="57" w:type="dxa"/>
            </w:tcMar>
          </w:tcPr>
          <w:p w:rsidR="00B60846" w:rsidRDefault="008069FF">
            <w:pPr>
              <w:rPr>
                <w:noProof/>
                <w:sz w:val="20"/>
              </w:rPr>
            </w:pPr>
            <w:r>
              <w:rPr>
                <w:noProof/>
                <w:sz w:val="20"/>
              </w:rPr>
              <w:t>Not possib</w:t>
            </w:r>
            <w:r>
              <w:rPr>
                <w:noProof/>
                <w:sz w:val="20"/>
              </w:rPr>
              <w:t>le to monetise benefit.</w:t>
            </w:r>
          </w:p>
          <w:p w:rsidR="00B60846" w:rsidRDefault="008069FF">
            <w:pPr>
              <w:rPr>
                <w:noProof/>
                <w:sz w:val="20"/>
              </w:rPr>
            </w:pPr>
            <w:r>
              <w:rPr>
                <w:noProof/>
                <w:sz w:val="20"/>
              </w:rPr>
              <w:t xml:space="preserve">In general, GHG impact ranges from a 156 tCO2eq per TJ reduction to a 17 tCO2eq per TJ increase in emissions </w:t>
            </w:r>
          </w:p>
          <w:p w:rsidR="00B60846" w:rsidRDefault="00B60846">
            <w:pPr>
              <w:rPr>
                <w:noProof/>
                <w:sz w:val="20"/>
              </w:rPr>
            </w:pPr>
          </w:p>
        </w:tc>
        <w:tc>
          <w:tcPr>
            <w:tcW w:w="3714" w:type="dxa"/>
            <w:tcMar>
              <w:top w:w="57" w:type="dxa"/>
              <w:left w:w="57" w:type="dxa"/>
              <w:bottom w:w="57" w:type="dxa"/>
              <w:right w:w="57" w:type="dxa"/>
            </w:tcMar>
          </w:tcPr>
          <w:p w:rsidR="00B60846" w:rsidRDefault="008069FF">
            <w:pPr>
              <w:rPr>
                <w:noProof/>
                <w:sz w:val="20"/>
              </w:rPr>
            </w:pPr>
            <w:r>
              <w:rPr>
                <w:noProof/>
                <w:sz w:val="20"/>
              </w:rPr>
              <w:t>The exact impact will depend on the amount of renewable and low carbon gases injected into the grid and on the difference</w:t>
            </w:r>
            <w:r>
              <w:rPr>
                <w:noProof/>
                <w:sz w:val="20"/>
              </w:rPr>
              <w:t xml:space="preserve"> between the GHG intensity of the specific renewable and low carbon gas and the substituted fuel.</w:t>
            </w:r>
          </w:p>
          <w:p w:rsidR="00B60846" w:rsidRDefault="008069FF">
            <w:pPr>
              <w:rPr>
                <w:noProof/>
                <w:sz w:val="20"/>
              </w:rPr>
            </w:pPr>
            <w:r>
              <w:rPr>
                <w:noProof/>
                <w:sz w:val="20"/>
              </w:rPr>
              <w:t>Benefits identified for citizens and society as a whole</w:t>
            </w:r>
          </w:p>
        </w:tc>
      </w:tr>
      <w:tr w:rsidR="00B60846">
        <w:tc>
          <w:tcPr>
            <w:tcW w:w="2552" w:type="dxa"/>
          </w:tcPr>
          <w:p w:rsidR="00B60846" w:rsidRDefault="008069FF">
            <w:pPr>
              <w:rPr>
                <w:noProof/>
                <w:sz w:val="20"/>
              </w:rPr>
            </w:pPr>
            <w:r>
              <w:rPr>
                <w:noProof/>
                <w:sz w:val="20"/>
              </w:rPr>
              <w:t>Increasingly interconnected hydrogen networks will create an internal market for hydrogen and offer b</w:t>
            </w:r>
            <w:r>
              <w:rPr>
                <w:noProof/>
                <w:sz w:val="20"/>
              </w:rPr>
              <w:t>enefits in terms of competition and security of supply</w:t>
            </w:r>
          </w:p>
        </w:tc>
        <w:tc>
          <w:tcPr>
            <w:tcW w:w="4111" w:type="dxa"/>
            <w:tcMar>
              <w:top w:w="57" w:type="dxa"/>
              <w:left w:w="57" w:type="dxa"/>
              <w:bottom w:w="57" w:type="dxa"/>
              <w:right w:w="57" w:type="dxa"/>
            </w:tcMar>
          </w:tcPr>
          <w:p w:rsidR="00B60846" w:rsidRDefault="008069FF">
            <w:pPr>
              <w:rPr>
                <w:noProof/>
                <w:sz w:val="20"/>
              </w:rPr>
            </w:pPr>
            <w:r>
              <w:rPr>
                <w:noProof/>
                <w:sz w:val="20"/>
              </w:rPr>
              <w:t>Not possible to monetise benefit.</w:t>
            </w:r>
          </w:p>
          <w:p w:rsidR="00B60846" w:rsidRDefault="008069FF">
            <w:pPr>
              <w:rPr>
                <w:noProof/>
                <w:sz w:val="20"/>
                <w:lang w:val="en-IE"/>
              </w:rPr>
            </w:pPr>
            <w:r>
              <w:rPr>
                <w:noProof/>
                <w:sz w:val="20"/>
              </w:rPr>
              <w:t>Up to 70% of additional demand for green hydrogen projected by German TSOs for 2025 and 2030 is expected to be covered by imports of decarbonised hydrogen from the Net</w:t>
            </w:r>
            <w:r>
              <w:rPr>
                <w:noProof/>
                <w:sz w:val="20"/>
              </w:rPr>
              <w:t>herlands</w:t>
            </w:r>
          </w:p>
        </w:tc>
        <w:tc>
          <w:tcPr>
            <w:tcW w:w="3714" w:type="dxa"/>
            <w:tcMar>
              <w:top w:w="57" w:type="dxa"/>
              <w:left w:w="57" w:type="dxa"/>
              <w:bottom w:w="57" w:type="dxa"/>
              <w:right w:w="57" w:type="dxa"/>
            </w:tcMar>
          </w:tcPr>
          <w:p w:rsidR="00B60846" w:rsidRDefault="008069FF">
            <w:pPr>
              <w:rPr>
                <w:noProof/>
                <w:sz w:val="20"/>
              </w:rPr>
            </w:pPr>
            <w:r>
              <w:rPr>
                <w:noProof/>
                <w:sz w:val="20"/>
              </w:rPr>
              <w:t>Benefits for administrations (NCAs), energy producers/ industry</w:t>
            </w:r>
          </w:p>
        </w:tc>
      </w:tr>
      <w:tr w:rsidR="00B60846">
        <w:tc>
          <w:tcPr>
            <w:tcW w:w="10377" w:type="dxa"/>
            <w:gridSpan w:val="3"/>
          </w:tcPr>
          <w:p w:rsidR="00B60846" w:rsidRDefault="008069FF">
            <w:pPr>
              <w:rPr>
                <w:noProof/>
                <w:sz w:val="20"/>
              </w:rPr>
            </w:pPr>
            <w:r>
              <w:rPr>
                <w:noProof/>
                <w:sz w:val="20"/>
              </w:rPr>
              <w:t>Indirect benefits</w:t>
            </w:r>
          </w:p>
        </w:tc>
      </w:tr>
      <w:tr w:rsidR="00B60846">
        <w:tc>
          <w:tcPr>
            <w:tcW w:w="2552" w:type="dxa"/>
          </w:tcPr>
          <w:p w:rsidR="00B60846" w:rsidRDefault="008069FF">
            <w:pPr>
              <w:rPr>
                <w:noProof/>
                <w:sz w:val="20"/>
              </w:rPr>
            </w:pPr>
            <w:r>
              <w:rPr>
                <w:noProof/>
                <w:sz w:val="20"/>
              </w:rPr>
              <w:t>Leveraging investments in hydrogen technologies</w:t>
            </w:r>
          </w:p>
        </w:tc>
        <w:tc>
          <w:tcPr>
            <w:tcW w:w="4111" w:type="dxa"/>
            <w:tcMar>
              <w:top w:w="57" w:type="dxa"/>
              <w:left w:w="57" w:type="dxa"/>
              <w:bottom w:w="57" w:type="dxa"/>
              <w:right w:w="57" w:type="dxa"/>
            </w:tcMar>
          </w:tcPr>
          <w:p w:rsidR="00B60846" w:rsidRDefault="008069FF">
            <w:pPr>
              <w:rPr>
                <w:noProof/>
                <w:sz w:val="20"/>
                <w:lang w:val="en-IE"/>
              </w:rPr>
            </w:pPr>
            <w:r>
              <w:rPr>
                <w:noProof/>
                <w:sz w:val="20"/>
              </w:rPr>
              <w:t xml:space="preserve">In general, depending on the scenario, 7.5 billion or 29 billion EUR of value added can be generated annually in </w:t>
            </w:r>
            <w:r>
              <w:rPr>
                <w:noProof/>
                <w:sz w:val="20"/>
              </w:rPr>
              <w:t>the whole EU-28, by investment in and operation of hydrogen technologies.</w:t>
            </w:r>
          </w:p>
        </w:tc>
        <w:tc>
          <w:tcPr>
            <w:tcW w:w="3714" w:type="dxa"/>
            <w:tcMar>
              <w:top w:w="57" w:type="dxa"/>
              <w:left w:w="57" w:type="dxa"/>
              <w:bottom w:w="57" w:type="dxa"/>
              <w:right w:w="57" w:type="dxa"/>
            </w:tcMar>
          </w:tcPr>
          <w:p w:rsidR="00B60846" w:rsidRDefault="008069FF">
            <w:pPr>
              <w:rPr>
                <w:noProof/>
                <w:sz w:val="20"/>
              </w:rPr>
            </w:pPr>
            <w:r>
              <w:rPr>
                <w:noProof/>
                <w:sz w:val="20"/>
              </w:rPr>
              <w:t>Benefits for energy producers/ industry</w:t>
            </w:r>
          </w:p>
        </w:tc>
      </w:tr>
      <w:tr w:rsidR="00B60846">
        <w:tc>
          <w:tcPr>
            <w:tcW w:w="2552" w:type="dxa"/>
          </w:tcPr>
          <w:p w:rsidR="00B60846" w:rsidRDefault="008069FF">
            <w:pPr>
              <w:rPr>
                <w:noProof/>
                <w:sz w:val="20"/>
              </w:rPr>
            </w:pPr>
            <w:r>
              <w:rPr>
                <w:noProof/>
                <w:sz w:val="20"/>
              </w:rPr>
              <w:t xml:space="preserve">Job creation generated by hydrogen-related investments and operations </w:t>
            </w:r>
          </w:p>
        </w:tc>
        <w:tc>
          <w:tcPr>
            <w:tcW w:w="4111" w:type="dxa"/>
            <w:tcMar>
              <w:top w:w="57" w:type="dxa"/>
              <w:left w:w="57" w:type="dxa"/>
              <w:bottom w:w="57" w:type="dxa"/>
              <w:right w:w="57" w:type="dxa"/>
            </w:tcMar>
          </w:tcPr>
          <w:p w:rsidR="00B60846" w:rsidRDefault="008069FF">
            <w:pPr>
              <w:rPr>
                <w:noProof/>
                <w:sz w:val="20"/>
              </w:rPr>
            </w:pPr>
            <w:r>
              <w:rPr>
                <w:noProof/>
                <w:sz w:val="20"/>
              </w:rPr>
              <w:t>Not possible to monetise benefit.</w:t>
            </w:r>
          </w:p>
          <w:p w:rsidR="00B60846" w:rsidRDefault="008069FF">
            <w:pPr>
              <w:rPr>
                <w:noProof/>
                <w:sz w:val="20"/>
              </w:rPr>
            </w:pPr>
            <w:r>
              <w:rPr>
                <w:noProof/>
                <w:sz w:val="20"/>
              </w:rPr>
              <w:t xml:space="preserve">29100–103 100 direct jobs (in </w:t>
            </w:r>
            <w:r>
              <w:rPr>
                <w:noProof/>
                <w:sz w:val="20"/>
              </w:rPr>
              <w:t>production and operations &amp; maintenance) and contribute to further 74 100–241 150 indirect jobs between 2020 and 2030</w:t>
            </w:r>
          </w:p>
        </w:tc>
        <w:tc>
          <w:tcPr>
            <w:tcW w:w="3714" w:type="dxa"/>
            <w:tcMar>
              <w:top w:w="57" w:type="dxa"/>
              <w:left w:w="57" w:type="dxa"/>
              <w:bottom w:w="57" w:type="dxa"/>
              <w:right w:w="57" w:type="dxa"/>
            </w:tcMar>
          </w:tcPr>
          <w:p w:rsidR="00B60846" w:rsidRDefault="008069FF">
            <w:pPr>
              <w:rPr>
                <w:noProof/>
                <w:sz w:val="20"/>
              </w:rPr>
            </w:pPr>
            <w:r>
              <w:rPr>
                <w:noProof/>
                <w:sz w:val="20"/>
              </w:rPr>
              <w:t>Benefits identified for citizens and society as a whole</w:t>
            </w:r>
          </w:p>
        </w:tc>
      </w:tr>
      <w:tr w:rsidR="00B60846">
        <w:tc>
          <w:tcPr>
            <w:tcW w:w="2552" w:type="dxa"/>
          </w:tcPr>
          <w:p w:rsidR="00B60846" w:rsidRDefault="008069FF">
            <w:pPr>
              <w:rPr>
                <w:noProof/>
                <w:sz w:val="20"/>
              </w:rPr>
            </w:pPr>
            <w:r>
              <w:rPr>
                <w:noProof/>
                <w:sz w:val="20"/>
              </w:rPr>
              <w:t>Job creation generated by installed capacity of renewable hydrogen electrolysers</w:t>
            </w:r>
          </w:p>
        </w:tc>
        <w:tc>
          <w:tcPr>
            <w:tcW w:w="4111" w:type="dxa"/>
            <w:tcMar>
              <w:top w:w="57" w:type="dxa"/>
              <w:left w:w="57" w:type="dxa"/>
              <w:bottom w:w="57" w:type="dxa"/>
              <w:right w:w="57" w:type="dxa"/>
            </w:tcMar>
          </w:tcPr>
          <w:p w:rsidR="00B60846" w:rsidRDefault="008069FF">
            <w:pPr>
              <w:rPr>
                <w:noProof/>
                <w:sz w:val="20"/>
              </w:rPr>
            </w:pPr>
            <w:r>
              <w:rPr>
                <w:noProof/>
                <w:sz w:val="20"/>
              </w:rPr>
              <w:t>Not possible to monetise benefit.</w:t>
            </w:r>
          </w:p>
          <w:p w:rsidR="00B60846" w:rsidRDefault="008069FF">
            <w:pPr>
              <w:rPr>
                <w:noProof/>
                <w:sz w:val="20"/>
              </w:rPr>
            </w:pPr>
            <w:r>
              <w:rPr>
                <w:noProof/>
                <w:sz w:val="20"/>
              </w:rPr>
              <w:t>Between 140,000 and 170,000 jobs for manufacturing and maintenance of 2x40 GW electrolyser capacity up to 2030.</w:t>
            </w:r>
          </w:p>
        </w:tc>
        <w:tc>
          <w:tcPr>
            <w:tcW w:w="3714" w:type="dxa"/>
            <w:tcMar>
              <w:top w:w="57" w:type="dxa"/>
              <w:left w:w="57" w:type="dxa"/>
              <w:bottom w:w="57" w:type="dxa"/>
              <w:right w:w="57" w:type="dxa"/>
            </w:tcMar>
          </w:tcPr>
          <w:p w:rsidR="00B60846" w:rsidRDefault="008069FF">
            <w:pPr>
              <w:rPr>
                <w:noProof/>
                <w:sz w:val="20"/>
              </w:rPr>
            </w:pPr>
            <w:r>
              <w:rPr>
                <w:noProof/>
                <w:sz w:val="20"/>
              </w:rPr>
              <w:t>Benefits identified for citizens and society as a whole</w:t>
            </w:r>
          </w:p>
        </w:tc>
      </w:tr>
      <w:tr w:rsidR="00B60846">
        <w:tc>
          <w:tcPr>
            <w:tcW w:w="2552" w:type="dxa"/>
          </w:tcPr>
          <w:p w:rsidR="00B60846" w:rsidRDefault="008069FF">
            <w:pPr>
              <w:rPr>
                <w:noProof/>
                <w:sz w:val="20"/>
              </w:rPr>
            </w:pPr>
            <w:r>
              <w:rPr>
                <w:noProof/>
                <w:sz w:val="20"/>
              </w:rPr>
              <w:t xml:space="preserve">Avoidance of stranded assets through the conversion </w:t>
            </w:r>
            <w:r>
              <w:rPr>
                <w:noProof/>
                <w:sz w:val="20"/>
              </w:rPr>
              <w:t>of existing natural gas assets into dedicated hydrogen pipelines</w:t>
            </w:r>
          </w:p>
        </w:tc>
        <w:tc>
          <w:tcPr>
            <w:tcW w:w="4111" w:type="dxa"/>
            <w:tcMar>
              <w:top w:w="57" w:type="dxa"/>
              <w:left w:w="57" w:type="dxa"/>
              <w:bottom w:w="57" w:type="dxa"/>
              <w:right w:w="57" w:type="dxa"/>
            </w:tcMar>
          </w:tcPr>
          <w:p w:rsidR="00B60846" w:rsidRDefault="008069FF">
            <w:pPr>
              <w:rPr>
                <w:noProof/>
                <w:sz w:val="20"/>
              </w:rPr>
            </w:pPr>
            <w:r>
              <w:rPr>
                <w:noProof/>
                <w:sz w:val="20"/>
              </w:rPr>
              <w:t>Reduction of up to 90% compared to new build</w:t>
            </w:r>
          </w:p>
        </w:tc>
        <w:tc>
          <w:tcPr>
            <w:tcW w:w="3714" w:type="dxa"/>
            <w:tcMar>
              <w:top w:w="57" w:type="dxa"/>
              <w:left w:w="57" w:type="dxa"/>
              <w:bottom w:w="57" w:type="dxa"/>
              <w:right w:w="57" w:type="dxa"/>
            </w:tcMar>
          </w:tcPr>
          <w:p w:rsidR="00B60846" w:rsidRDefault="008069FF">
            <w:pPr>
              <w:rPr>
                <w:noProof/>
                <w:sz w:val="20"/>
              </w:rPr>
            </w:pPr>
            <w:r>
              <w:rPr>
                <w:noProof/>
                <w:sz w:val="20"/>
              </w:rPr>
              <w:t>Benefits for administrations (NCAs), energy producers/ industry</w:t>
            </w:r>
          </w:p>
        </w:tc>
      </w:tr>
      <w:tr w:rsidR="00B60846">
        <w:tc>
          <w:tcPr>
            <w:tcW w:w="10377" w:type="dxa"/>
            <w:gridSpan w:val="3"/>
          </w:tcPr>
          <w:p w:rsidR="00B60846" w:rsidRDefault="008069FF">
            <w:pPr>
              <w:rPr>
                <w:b/>
                <w:noProof/>
                <w:sz w:val="20"/>
              </w:rPr>
            </w:pPr>
            <w:r>
              <w:rPr>
                <w:b/>
                <w:noProof/>
                <w:sz w:val="20"/>
              </w:rPr>
              <w:t>B) GOVERNANCE / INFRASTRUCTURE PLANNING</w:t>
            </w:r>
          </w:p>
          <w:p w:rsidR="00B60846" w:rsidRDefault="008069FF">
            <w:pPr>
              <w:pStyle w:val="ListParagraph"/>
              <w:numPr>
                <w:ilvl w:val="0"/>
                <w:numId w:val="24"/>
              </w:numPr>
              <w:rPr>
                <w:noProof/>
                <w:sz w:val="20"/>
              </w:rPr>
            </w:pPr>
            <w:r>
              <w:rPr>
                <w:noProof/>
                <w:sz w:val="20"/>
              </w:rPr>
              <w:t>Integrated offshore renewable development</w:t>
            </w:r>
            <w:r>
              <w:rPr>
                <w:noProof/>
                <w:sz w:val="20"/>
              </w:rPr>
              <w:t xml:space="preserve"> plans per each sea basin for better infrastructure planning and project implementation (Option B.1.1); strengthened governance of the TYNDP planning and preparation and sustainability of the gas infrastructure categories as proposed under the preferred op</w:t>
            </w:r>
            <w:r>
              <w:rPr>
                <w:noProof/>
                <w:sz w:val="20"/>
              </w:rPr>
              <w:t>tion on “Scope” (Option B.2.1)</w:t>
            </w:r>
          </w:p>
        </w:tc>
      </w:tr>
      <w:tr w:rsidR="00B60846">
        <w:tc>
          <w:tcPr>
            <w:tcW w:w="10377" w:type="dxa"/>
            <w:gridSpan w:val="3"/>
          </w:tcPr>
          <w:p w:rsidR="00B60846" w:rsidRDefault="008069FF">
            <w:pPr>
              <w:rPr>
                <w:noProof/>
                <w:sz w:val="20"/>
              </w:rPr>
            </w:pPr>
            <w:r>
              <w:rPr>
                <w:noProof/>
                <w:sz w:val="20"/>
              </w:rPr>
              <w:t>Direct benefits</w:t>
            </w:r>
          </w:p>
        </w:tc>
      </w:tr>
      <w:tr w:rsidR="00B60846">
        <w:tc>
          <w:tcPr>
            <w:tcW w:w="2552" w:type="dxa"/>
          </w:tcPr>
          <w:p w:rsidR="00B60846" w:rsidRDefault="008069FF">
            <w:pPr>
              <w:rPr>
                <w:noProof/>
                <w:sz w:val="20"/>
              </w:rPr>
            </w:pPr>
            <w:r>
              <w:rPr>
                <w:noProof/>
                <w:sz w:val="20"/>
              </w:rPr>
              <w:t>Deployment cost savings</w:t>
            </w:r>
          </w:p>
        </w:tc>
        <w:tc>
          <w:tcPr>
            <w:tcW w:w="4111" w:type="dxa"/>
            <w:tcMar>
              <w:top w:w="57" w:type="dxa"/>
              <w:left w:w="57" w:type="dxa"/>
              <w:bottom w:w="57" w:type="dxa"/>
              <w:right w:w="57" w:type="dxa"/>
            </w:tcMar>
          </w:tcPr>
          <w:p w:rsidR="00B60846" w:rsidRDefault="008069FF">
            <w:pPr>
              <w:rPr>
                <w:noProof/>
                <w:sz w:val="20"/>
              </w:rPr>
            </w:pPr>
            <w:r>
              <w:rPr>
                <w:noProof/>
                <w:sz w:val="20"/>
              </w:rPr>
              <w:t>10 percent in cost savings, equivalent to between EUR 300 million and EUR 2500 million for five projects alone, depending of the size of the comparable conventional projects</w:t>
            </w:r>
          </w:p>
        </w:tc>
        <w:tc>
          <w:tcPr>
            <w:tcW w:w="3714" w:type="dxa"/>
            <w:tcMar>
              <w:top w:w="57" w:type="dxa"/>
              <w:left w:w="57" w:type="dxa"/>
              <w:bottom w:w="57" w:type="dxa"/>
              <w:right w:w="57" w:type="dxa"/>
            </w:tcMar>
          </w:tcPr>
          <w:p w:rsidR="00B60846" w:rsidRDefault="008069FF">
            <w:pPr>
              <w:rPr>
                <w:noProof/>
                <w:sz w:val="20"/>
              </w:rPr>
            </w:pPr>
            <w:r>
              <w:rPr>
                <w:noProof/>
                <w:sz w:val="20"/>
              </w:rPr>
              <w:t xml:space="preserve">Benefits </w:t>
            </w:r>
            <w:r>
              <w:rPr>
                <w:noProof/>
                <w:sz w:val="20"/>
              </w:rPr>
              <w:t>identified for citizens and society as a whole, project promoters (including transmission system operators), administrations (NCAs)</w:t>
            </w:r>
          </w:p>
        </w:tc>
      </w:tr>
      <w:tr w:rsidR="00B60846">
        <w:tc>
          <w:tcPr>
            <w:tcW w:w="2552" w:type="dxa"/>
          </w:tcPr>
          <w:p w:rsidR="00B60846" w:rsidRDefault="008069FF">
            <w:pPr>
              <w:rPr>
                <w:noProof/>
                <w:sz w:val="20"/>
              </w:rPr>
            </w:pPr>
            <w:r>
              <w:rPr>
                <w:noProof/>
                <w:sz w:val="20"/>
              </w:rPr>
              <w:t>GHG emission reduction from the substitution of fossil fuels by offshore renewable energy.</w:t>
            </w:r>
          </w:p>
        </w:tc>
        <w:tc>
          <w:tcPr>
            <w:tcW w:w="4111" w:type="dxa"/>
            <w:tcMar>
              <w:top w:w="57" w:type="dxa"/>
              <w:left w:w="57" w:type="dxa"/>
              <w:bottom w:w="57" w:type="dxa"/>
              <w:right w:w="57" w:type="dxa"/>
            </w:tcMar>
          </w:tcPr>
          <w:p w:rsidR="00B60846" w:rsidRDefault="008069FF">
            <w:pPr>
              <w:rPr>
                <w:noProof/>
                <w:sz w:val="20"/>
              </w:rPr>
            </w:pPr>
            <w:r>
              <w:rPr>
                <w:noProof/>
                <w:sz w:val="20"/>
              </w:rPr>
              <w:t>Not possible to monetise benefit</w:t>
            </w:r>
            <w:r>
              <w:rPr>
                <w:noProof/>
                <w:sz w:val="20"/>
              </w:rPr>
              <w:t>.</w:t>
            </w:r>
          </w:p>
          <w:p w:rsidR="00B60846" w:rsidRDefault="008069FF">
            <w:pPr>
              <w:rPr>
                <w:noProof/>
                <w:sz w:val="20"/>
              </w:rPr>
            </w:pPr>
            <w:r>
              <w:rPr>
                <w:noProof/>
                <w:sz w:val="20"/>
              </w:rPr>
              <w:t>Given the expected deployment the emissions reductions can be considered significant in a mid-term perspective. These would depend on the actual deployment rate and the greenhouse gas intensity of the electricity it replaces. This is influenced by variou</w:t>
            </w:r>
            <w:r>
              <w:rPr>
                <w:noProof/>
                <w:sz w:val="20"/>
              </w:rPr>
              <w:t>s factors including demand and supply patterns, price sensitivities, localisations, grid congestions</w:t>
            </w:r>
          </w:p>
        </w:tc>
        <w:tc>
          <w:tcPr>
            <w:tcW w:w="3714" w:type="dxa"/>
            <w:tcMar>
              <w:top w:w="57" w:type="dxa"/>
              <w:left w:w="57" w:type="dxa"/>
              <w:bottom w:w="57" w:type="dxa"/>
              <w:right w:w="57" w:type="dxa"/>
            </w:tcMar>
          </w:tcPr>
          <w:p w:rsidR="00B60846" w:rsidRDefault="008069FF">
            <w:pPr>
              <w:rPr>
                <w:noProof/>
                <w:sz w:val="20"/>
              </w:rPr>
            </w:pPr>
            <w:r>
              <w:rPr>
                <w:noProof/>
                <w:sz w:val="20"/>
              </w:rPr>
              <w:t>Benefits identified for citizens and society as a whole</w:t>
            </w:r>
          </w:p>
        </w:tc>
      </w:tr>
      <w:tr w:rsidR="00B60846">
        <w:tc>
          <w:tcPr>
            <w:tcW w:w="10377" w:type="dxa"/>
            <w:gridSpan w:val="3"/>
          </w:tcPr>
          <w:p w:rsidR="00B60846" w:rsidRDefault="008069FF">
            <w:pPr>
              <w:rPr>
                <w:noProof/>
                <w:sz w:val="20"/>
              </w:rPr>
            </w:pPr>
            <w:r>
              <w:rPr>
                <w:noProof/>
                <w:sz w:val="20"/>
              </w:rPr>
              <w:t>Indirect benefits</w:t>
            </w:r>
          </w:p>
        </w:tc>
      </w:tr>
      <w:tr w:rsidR="00B60846">
        <w:tc>
          <w:tcPr>
            <w:tcW w:w="2552" w:type="dxa"/>
          </w:tcPr>
          <w:p w:rsidR="00B60846" w:rsidRDefault="008069FF">
            <w:pPr>
              <w:rPr>
                <w:noProof/>
                <w:sz w:val="20"/>
              </w:rPr>
            </w:pPr>
            <w:r>
              <w:rPr>
                <w:noProof/>
                <w:sz w:val="20"/>
              </w:rPr>
              <w:t>Job creation in offshore RES sectors (wind, wave, tidal, floating solar)</w:t>
            </w:r>
          </w:p>
        </w:tc>
        <w:tc>
          <w:tcPr>
            <w:tcW w:w="4111" w:type="dxa"/>
            <w:tcMar>
              <w:top w:w="57" w:type="dxa"/>
              <w:left w:w="57" w:type="dxa"/>
              <w:bottom w:w="57" w:type="dxa"/>
              <w:right w:w="57" w:type="dxa"/>
            </w:tcMar>
          </w:tcPr>
          <w:p w:rsidR="00B60846" w:rsidRDefault="008069FF">
            <w:pPr>
              <w:rPr>
                <w:noProof/>
                <w:sz w:val="20"/>
              </w:rPr>
            </w:pPr>
            <w:r>
              <w:rPr>
                <w:noProof/>
                <w:sz w:val="20"/>
              </w:rPr>
              <w:t xml:space="preserve">Not </w:t>
            </w:r>
            <w:r>
              <w:rPr>
                <w:noProof/>
                <w:sz w:val="20"/>
              </w:rPr>
              <w:t>possible to monetise benefit.</w:t>
            </w:r>
          </w:p>
          <w:p w:rsidR="00B60846" w:rsidRDefault="008069FF">
            <w:pPr>
              <w:rPr>
                <w:noProof/>
                <w:sz w:val="20"/>
              </w:rPr>
            </w:pPr>
            <w:r>
              <w:rPr>
                <w:noProof/>
                <w:sz w:val="20"/>
              </w:rPr>
              <w:t>Approx. 520 000 jobs, as follows:</w:t>
            </w:r>
          </w:p>
          <w:p w:rsidR="00B60846" w:rsidRDefault="008069FF">
            <w:pPr>
              <w:pStyle w:val="ListParagraph"/>
              <w:numPr>
                <w:ilvl w:val="0"/>
                <w:numId w:val="38"/>
              </w:numPr>
              <w:rPr>
                <w:noProof/>
                <w:sz w:val="20"/>
              </w:rPr>
            </w:pPr>
            <w:r>
              <w:rPr>
                <w:noProof/>
                <w:sz w:val="20"/>
              </w:rPr>
              <w:t>Increase from current 77,000 jobs in offshore wind to more than 200,000 jobs.</w:t>
            </w:r>
          </w:p>
          <w:p w:rsidR="00B60846" w:rsidRDefault="008069FF">
            <w:pPr>
              <w:pStyle w:val="ListParagraph"/>
              <w:numPr>
                <w:ilvl w:val="0"/>
                <w:numId w:val="38"/>
              </w:numPr>
              <w:rPr>
                <w:noProof/>
                <w:sz w:val="20"/>
              </w:rPr>
            </w:pPr>
            <w:r>
              <w:rPr>
                <w:noProof/>
                <w:sz w:val="20"/>
              </w:rPr>
              <w:t>400,000 jobs in the ocean energy sector (e.g. wave, tidal, floating solar)  by 2050</w:t>
            </w:r>
          </w:p>
        </w:tc>
        <w:tc>
          <w:tcPr>
            <w:tcW w:w="3714" w:type="dxa"/>
            <w:tcMar>
              <w:top w:w="57" w:type="dxa"/>
              <w:left w:w="57" w:type="dxa"/>
              <w:bottom w:w="57" w:type="dxa"/>
              <w:right w:w="57" w:type="dxa"/>
            </w:tcMar>
          </w:tcPr>
          <w:p w:rsidR="00B60846" w:rsidRDefault="008069FF">
            <w:pPr>
              <w:rPr>
                <w:noProof/>
                <w:sz w:val="20"/>
              </w:rPr>
            </w:pPr>
            <w:r>
              <w:rPr>
                <w:noProof/>
                <w:sz w:val="20"/>
              </w:rPr>
              <w:t>Benefits identified for citize</w:t>
            </w:r>
            <w:r>
              <w:rPr>
                <w:noProof/>
                <w:sz w:val="20"/>
              </w:rPr>
              <w:t>ns and society as a whole</w:t>
            </w:r>
          </w:p>
        </w:tc>
      </w:tr>
      <w:tr w:rsidR="00B60846">
        <w:tc>
          <w:tcPr>
            <w:tcW w:w="10377" w:type="dxa"/>
            <w:gridSpan w:val="3"/>
          </w:tcPr>
          <w:p w:rsidR="00B60846" w:rsidRDefault="008069FF">
            <w:pPr>
              <w:rPr>
                <w:b/>
                <w:noProof/>
                <w:sz w:val="20"/>
              </w:rPr>
            </w:pPr>
            <w:r>
              <w:rPr>
                <w:b/>
                <w:noProof/>
                <w:sz w:val="20"/>
              </w:rPr>
              <w:t>C) PERMITTING AND PUBLIC PARTICIPATION</w:t>
            </w:r>
          </w:p>
          <w:p w:rsidR="00B60846" w:rsidRDefault="008069FF">
            <w:pPr>
              <w:pStyle w:val="ListParagraph"/>
              <w:numPr>
                <w:ilvl w:val="0"/>
                <w:numId w:val="25"/>
              </w:numPr>
              <w:rPr>
                <w:noProof/>
                <w:sz w:val="20"/>
              </w:rPr>
            </w:pPr>
            <w:r>
              <w:rPr>
                <w:noProof/>
                <w:sz w:val="20"/>
              </w:rPr>
              <w:t xml:space="preserve">Accelerating the completion of the permitting process though proposing to use preferential treatment for the PCIs on court proceedings (Option C.1.1. without sub-option on shortening of the </w:t>
            </w:r>
            <w:r>
              <w:rPr>
                <w:noProof/>
                <w:sz w:val="20"/>
              </w:rPr>
              <w:t>time limit for the permitting process); one-stop shop per sea basin for offshore renewable projects (Option C.1.2)</w:t>
            </w:r>
          </w:p>
        </w:tc>
      </w:tr>
      <w:tr w:rsidR="00B60846">
        <w:tc>
          <w:tcPr>
            <w:tcW w:w="10377" w:type="dxa"/>
            <w:gridSpan w:val="3"/>
          </w:tcPr>
          <w:p w:rsidR="00B60846" w:rsidRDefault="008069FF">
            <w:pPr>
              <w:rPr>
                <w:noProof/>
                <w:sz w:val="20"/>
              </w:rPr>
            </w:pPr>
            <w:r>
              <w:rPr>
                <w:noProof/>
                <w:sz w:val="20"/>
              </w:rPr>
              <w:t>Direct benefits</w:t>
            </w:r>
          </w:p>
        </w:tc>
      </w:tr>
      <w:tr w:rsidR="00B60846">
        <w:tc>
          <w:tcPr>
            <w:tcW w:w="2552" w:type="dxa"/>
          </w:tcPr>
          <w:p w:rsidR="00B60846" w:rsidRDefault="008069FF">
            <w:pPr>
              <w:rPr>
                <w:noProof/>
                <w:sz w:val="20"/>
              </w:rPr>
            </w:pPr>
            <w:r>
              <w:rPr>
                <w:noProof/>
                <w:sz w:val="20"/>
              </w:rPr>
              <w:t>Avoidance of delay costs due to court proceedings</w:t>
            </w:r>
          </w:p>
        </w:tc>
        <w:tc>
          <w:tcPr>
            <w:tcW w:w="4111" w:type="dxa"/>
            <w:tcMar>
              <w:top w:w="57" w:type="dxa"/>
              <w:left w:w="57" w:type="dxa"/>
              <w:bottom w:w="57" w:type="dxa"/>
              <w:right w:w="57" w:type="dxa"/>
            </w:tcMar>
          </w:tcPr>
          <w:p w:rsidR="00B60846" w:rsidRDefault="008069FF">
            <w:pPr>
              <w:rPr>
                <w:noProof/>
                <w:sz w:val="20"/>
              </w:rPr>
            </w:pPr>
            <w:r>
              <w:rPr>
                <w:rFonts w:eastAsiaTheme="minorEastAsia"/>
                <w:noProof/>
                <w:color w:val="000000"/>
                <w:sz w:val="20"/>
              </w:rPr>
              <w:t xml:space="preserve">A delay of 2 years due to an average court procedure was estimated at a </w:t>
            </w:r>
            <w:r>
              <w:rPr>
                <w:rFonts w:eastAsiaTheme="minorEastAsia"/>
                <w:noProof/>
                <w:color w:val="000000"/>
                <w:sz w:val="20"/>
              </w:rPr>
              <w:t>cost of 150 million €</w:t>
            </w:r>
            <w:r>
              <w:rPr>
                <w:rFonts w:eastAsiaTheme="minorEastAsia"/>
                <w:noProof/>
                <w:sz w:val="20"/>
                <w:vertAlign w:val="superscript"/>
              </w:rPr>
              <w:footnoteReference w:id="146"/>
            </w:r>
            <w:r>
              <w:rPr>
                <w:rFonts w:eastAsiaTheme="minorEastAsia"/>
                <w:noProof/>
                <w:color w:val="000000"/>
                <w:sz w:val="20"/>
              </w:rPr>
              <w:t>.</w:t>
            </w:r>
          </w:p>
        </w:tc>
        <w:tc>
          <w:tcPr>
            <w:tcW w:w="3714" w:type="dxa"/>
            <w:tcMar>
              <w:top w:w="57" w:type="dxa"/>
              <w:left w:w="57" w:type="dxa"/>
              <w:bottom w:w="57" w:type="dxa"/>
              <w:right w:w="57" w:type="dxa"/>
            </w:tcMar>
          </w:tcPr>
          <w:p w:rsidR="00B60846" w:rsidRDefault="008069FF">
            <w:pPr>
              <w:rPr>
                <w:noProof/>
                <w:sz w:val="20"/>
              </w:rPr>
            </w:pPr>
            <w:r>
              <w:rPr>
                <w:noProof/>
                <w:sz w:val="20"/>
              </w:rPr>
              <w:t>Benefits identified for society at large, but also for project promoters (including transmission system operators), administrations (NCAs)</w:t>
            </w:r>
          </w:p>
        </w:tc>
      </w:tr>
    </w:tbl>
    <w:p w:rsidR="00B60846" w:rsidRDefault="00B60846">
      <w:pPr>
        <w:rPr>
          <w:noProof/>
        </w:rPr>
      </w:pPr>
    </w:p>
    <w:p w:rsidR="00B60846" w:rsidRDefault="008069FF">
      <w:pPr>
        <w:rPr>
          <w:noProof/>
        </w:rPr>
      </w:pPr>
      <w:r>
        <w:rPr>
          <w:noProof/>
        </w:rPr>
        <w:t xml:space="preserve">For assessing the </w:t>
      </w:r>
      <w:r>
        <w:rPr>
          <w:b/>
          <w:noProof/>
        </w:rPr>
        <w:t>costs</w:t>
      </w:r>
      <w:r>
        <w:rPr>
          <w:noProof/>
        </w:rPr>
        <w:t xml:space="preserve"> of the package of preferred policy options, the analysis distinguishes between </w:t>
      </w:r>
      <w:r>
        <w:rPr>
          <w:i/>
          <w:noProof/>
        </w:rPr>
        <w:t>direct costs</w:t>
      </w:r>
      <w:r>
        <w:rPr>
          <w:noProof/>
        </w:rPr>
        <w:t xml:space="preserve"> and </w:t>
      </w:r>
      <w:r>
        <w:rPr>
          <w:i/>
          <w:noProof/>
        </w:rPr>
        <w:t>indirect costs</w:t>
      </w:r>
      <w:r>
        <w:rPr>
          <w:noProof/>
        </w:rPr>
        <w:t>.</w:t>
      </w:r>
      <w:r>
        <w:rPr>
          <w:rStyle w:val="FootnoteReference"/>
          <w:noProof/>
        </w:rPr>
        <w:footnoteReference w:id="147"/>
      </w:r>
      <w:r>
        <w:rPr>
          <w:noProof/>
        </w:rPr>
        <w:t xml:space="preserve"> </w:t>
      </w:r>
    </w:p>
    <w:p w:rsidR="00B60846" w:rsidRDefault="008069FF">
      <w:pPr>
        <w:rPr>
          <w:noProof/>
        </w:rPr>
      </w:pPr>
      <w:r>
        <w:rPr>
          <w:noProof/>
        </w:rPr>
        <w:t>The TEN-E Regulation does not introduce any regulatory charges, such as fees, levies, taxes, etc. The package of preferred policy options res</w:t>
      </w:r>
      <w:r>
        <w:rPr>
          <w:noProof/>
        </w:rPr>
        <w:t xml:space="preserve">ults in </w:t>
      </w:r>
      <w:r>
        <w:rPr>
          <w:i/>
          <w:noProof/>
        </w:rPr>
        <w:t>direct costs</w:t>
      </w:r>
      <w:r>
        <w:rPr>
          <w:noProof/>
        </w:rPr>
        <w:t xml:space="preserve"> in terms of compliance costs and administrative burden for businesses (mainly project promoters) and administrations (national competent authorities, national regulatory authorities, the Commission, and ACER) in order to comply with su</w:t>
      </w:r>
      <w:r>
        <w:rPr>
          <w:noProof/>
        </w:rPr>
        <w:t xml:space="preserve">bstantive obligations or requirements contained therein. The application of the package of preferred options results in </w:t>
      </w:r>
      <w:r>
        <w:rPr>
          <w:i/>
          <w:noProof/>
        </w:rPr>
        <w:t>indirect costs</w:t>
      </w:r>
      <w:r>
        <w:rPr>
          <w:noProof/>
        </w:rPr>
        <w:t xml:space="preserve"> for citizens/consumers, businesses and administrations through an increase in network tariffs to finance investments in t</w:t>
      </w:r>
      <w:r>
        <w:rPr>
          <w:noProof/>
        </w:rPr>
        <w:t>he regulatory asset base (RAB). However, CEF financial assistance can alleviate the impact on network tariffs in case a PCI shows significant externalities in terms of security of supply, solidarity, or innovation.</w:t>
      </w:r>
    </w:p>
    <w:p w:rsidR="00B60846" w:rsidRDefault="008069FF">
      <w:pPr>
        <w:rPr>
          <w:noProof/>
        </w:rPr>
      </w:pPr>
      <w:r>
        <w:rPr>
          <w:noProof/>
        </w:rPr>
        <w:t>The below table summarises the direct and</w:t>
      </w:r>
      <w:r>
        <w:rPr>
          <w:noProof/>
        </w:rPr>
        <w:t xml:space="preserve"> indirect costs for those actions of the package of preferred policy for which costs have been identified compared to the baseline. It is not possible to estimate these costs for all actions at this stage but they are considered as non-significant. The add</w:t>
      </w:r>
      <w:r>
        <w:rPr>
          <w:noProof/>
        </w:rPr>
        <w:t>itional costs would be marginal compared to the current costs which have been evaluated to be in the range of EUR 25 to 50 million and considered low when compared to the benefits.</w:t>
      </w:r>
      <w:r>
        <w:rPr>
          <w:rStyle w:val="FootnoteReference"/>
          <w:noProof/>
        </w:rPr>
        <w:footnoteReference w:id="148"/>
      </w:r>
      <w:r>
        <w:rPr>
          <w:noProof/>
        </w:rPr>
        <w:t xml:space="preserve"> </w:t>
      </w:r>
    </w:p>
    <w:p w:rsidR="00B60846" w:rsidRDefault="008069FF">
      <w:pPr>
        <w:rPr>
          <w:noProof/>
        </w:rPr>
      </w:pPr>
      <w:r>
        <w:rPr>
          <w:noProof/>
        </w:rPr>
        <w:t xml:space="preserve">Additional </w:t>
      </w:r>
      <w:r>
        <w:rPr>
          <w:i/>
          <w:noProof/>
        </w:rPr>
        <w:t>enforcement costs</w:t>
      </w:r>
      <w:r>
        <w:rPr>
          <w:noProof/>
        </w:rPr>
        <w:t xml:space="preserve"> at national and EU level will depend on the </w:t>
      </w:r>
      <w:r>
        <w:rPr>
          <w:noProof/>
        </w:rPr>
        <w:t xml:space="preserve">implementation. </w:t>
      </w:r>
    </w:p>
    <w:p w:rsidR="00B60846" w:rsidRDefault="00B60846">
      <w:pPr>
        <w:rPr>
          <w:noProof/>
        </w:rPr>
      </w:pPr>
    </w:p>
    <w:tbl>
      <w:tblPr>
        <w:tblStyle w:val="CV11"/>
        <w:tblW w:w="10073"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134"/>
        <w:gridCol w:w="1446"/>
        <w:gridCol w:w="1054"/>
        <w:gridCol w:w="1417"/>
        <w:gridCol w:w="9"/>
        <w:gridCol w:w="1125"/>
        <w:gridCol w:w="1276"/>
        <w:gridCol w:w="9"/>
      </w:tblGrid>
      <w:tr w:rsidR="00B60846">
        <w:tc>
          <w:tcPr>
            <w:tcW w:w="10073" w:type="dxa"/>
            <w:gridSpan w:val="10"/>
            <w:shd w:val="clear" w:color="auto" w:fill="C6D9F1" w:themeFill="text2" w:themeFillTint="33"/>
            <w:tcMar>
              <w:top w:w="57" w:type="dxa"/>
              <w:left w:w="57" w:type="dxa"/>
              <w:bottom w:w="57" w:type="dxa"/>
              <w:right w:w="57" w:type="dxa"/>
            </w:tcMar>
          </w:tcPr>
          <w:p w:rsidR="00B60846" w:rsidRDefault="008069FF">
            <w:pPr>
              <w:rPr>
                <w:noProof/>
                <w:sz w:val="20"/>
              </w:rPr>
            </w:pPr>
            <w:r>
              <w:rPr>
                <w:noProof/>
                <w:sz w:val="20"/>
              </w:rPr>
              <w:t>II. Overview of costs – Package of preferred options</w:t>
            </w:r>
          </w:p>
        </w:tc>
      </w:tr>
      <w:tr w:rsidR="00B60846">
        <w:tc>
          <w:tcPr>
            <w:tcW w:w="2603"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B60846" w:rsidRDefault="00B60846">
            <w:pPr>
              <w:rPr>
                <w:noProof/>
                <w:sz w:val="20"/>
              </w:rPr>
            </w:pPr>
          </w:p>
        </w:tc>
        <w:tc>
          <w:tcPr>
            <w:tcW w:w="2580" w:type="dxa"/>
            <w:gridSpan w:val="2"/>
            <w:tcBorders>
              <w:left w:val="double" w:sz="4" w:space="0" w:color="auto"/>
            </w:tcBorders>
            <w:tcMar>
              <w:top w:w="57" w:type="dxa"/>
              <w:left w:w="57" w:type="dxa"/>
              <w:bottom w:w="57" w:type="dxa"/>
              <w:right w:w="57" w:type="dxa"/>
            </w:tcMar>
          </w:tcPr>
          <w:p w:rsidR="00B60846" w:rsidRDefault="008069FF">
            <w:pPr>
              <w:rPr>
                <w:noProof/>
                <w:sz w:val="20"/>
              </w:rPr>
            </w:pPr>
            <w:r>
              <w:rPr>
                <w:noProof/>
                <w:sz w:val="20"/>
              </w:rPr>
              <w:t xml:space="preserve">Citizens/Consumers </w:t>
            </w:r>
          </w:p>
        </w:tc>
        <w:tc>
          <w:tcPr>
            <w:tcW w:w="2480" w:type="dxa"/>
            <w:gridSpan w:val="3"/>
            <w:tcMar>
              <w:top w:w="57" w:type="dxa"/>
              <w:left w:w="57" w:type="dxa"/>
              <w:bottom w:w="57" w:type="dxa"/>
              <w:right w:w="57" w:type="dxa"/>
            </w:tcMar>
          </w:tcPr>
          <w:p w:rsidR="00B60846" w:rsidRDefault="008069FF">
            <w:pPr>
              <w:rPr>
                <w:noProof/>
                <w:sz w:val="20"/>
              </w:rPr>
            </w:pPr>
            <w:r>
              <w:rPr>
                <w:noProof/>
                <w:sz w:val="20"/>
              </w:rPr>
              <w:t>Businesses</w:t>
            </w:r>
          </w:p>
        </w:tc>
        <w:tc>
          <w:tcPr>
            <w:tcW w:w="2410" w:type="dxa"/>
            <w:gridSpan w:val="3"/>
            <w:tcMar>
              <w:top w:w="57" w:type="dxa"/>
              <w:left w:w="57" w:type="dxa"/>
              <w:bottom w:w="57" w:type="dxa"/>
              <w:right w:w="57" w:type="dxa"/>
            </w:tcMar>
          </w:tcPr>
          <w:p w:rsidR="00B60846" w:rsidRDefault="008069FF">
            <w:pPr>
              <w:rPr>
                <w:noProof/>
                <w:sz w:val="20"/>
              </w:rPr>
            </w:pPr>
            <w:r>
              <w:rPr>
                <w:noProof/>
                <w:sz w:val="20"/>
              </w:rPr>
              <w:t>Administrations</w:t>
            </w:r>
          </w:p>
        </w:tc>
      </w:tr>
      <w:tr w:rsidR="00B60846">
        <w:trPr>
          <w:gridAfter w:val="1"/>
          <w:wAfter w:w="9" w:type="dxa"/>
        </w:trPr>
        <w:tc>
          <w:tcPr>
            <w:tcW w:w="2603"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B60846" w:rsidRDefault="00B60846">
            <w:pPr>
              <w:rPr>
                <w:noProof/>
                <w:sz w:val="20"/>
              </w:rPr>
            </w:pPr>
          </w:p>
        </w:tc>
        <w:tc>
          <w:tcPr>
            <w:tcW w:w="1134" w:type="dxa"/>
            <w:tcBorders>
              <w:left w:val="double" w:sz="4" w:space="0" w:color="auto"/>
              <w:bottom w:val="double" w:sz="4" w:space="0" w:color="auto"/>
            </w:tcBorders>
            <w:tcMar>
              <w:top w:w="57" w:type="dxa"/>
              <w:left w:w="57" w:type="dxa"/>
              <w:bottom w:w="57" w:type="dxa"/>
              <w:right w:w="57" w:type="dxa"/>
            </w:tcMar>
          </w:tcPr>
          <w:p w:rsidR="00B60846" w:rsidRDefault="008069FF">
            <w:pPr>
              <w:rPr>
                <w:noProof/>
                <w:sz w:val="20"/>
              </w:rPr>
            </w:pPr>
            <w:r>
              <w:rPr>
                <w:noProof/>
                <w:sz w:val="20"/>
              </w:rPr>
              <w:t>One-off</w:t>
            </w:r>
          </w:p>
        </w:tc>
        <w:tc>
          <w:tcPr>
            <w:tcW w:w="1446" w:type="dxa"/>
            <w:tcBorders>
              <w:bottom w:val="double" w:sz="4" w:space="0" w:color="auto"/>
            </w:tcBorders>
            <w:tcMar>
              <w:top w:w="57" w:type="dxa"/>
              <w:left w:w="57" w:type="dxa"/>
              <w:bottom w:w="57" w:type="dxa"/>
              <w:right w:w="57" w:type="dxa"/>
            </w:tcMar>
          </w:tcPr>
          <w:p w:rsidR="00B60846" w:rsidRDefault="008069FF">
            <w:pPr>
              <w:rPr>
                <w:noProof/>
                <w:sz w:val="20"/>
              </w:rPr>
            </w:pPr>
            <w:r>
              <w:rPr>
                <w:noProof/>
                <w:sz w:val="20"/>
              </w:rPr>
              <w:t>Recurrent</w:t>
            </w:r>
          </w:p>
        </w:tc>
        <w:tc>
          <w:tcPr>
            <w:tcW w:w="1054" w:type="dxa"/>
            <w:tcBorders>
              <w:bottom w:val="double" w:sz="4" w:space="0" w:color="auto"/>
            </w:tcBorders>
            <w:tcMar>
              <w:top w:w="57" w:type="dxa"/>
              <w:left w:w="57" w:type="dxa"/>
              <w:bottom w:w="57" w:type="dxa"/>
              <w:right w:w="57" w:type="dxa"/>
            </w:tcMar>
          </w:tcPr>
          <w:p w:rsidR="00B60846" w:rsidRDefault="008069FF">
            <w:pPr>
              <w:rPr>
                <w:noProof/>
                <w:sz w:val="20"/>
              </w:rPr>
            </w:pPr>
            <w:r>
              <w:rPr>
                <w:noProof/>
                <w:sz w:val="20"/>
              </w:rPr>
              <w:t>One-off</w:t>
            </w:r>
          </w:p>
        </w:tc>
        <w:tc>
          <w:tcPr>
            <w:tcW w:w="1417" w:type="dxa"/>
            <w:tcBorders>
              <w:bottom w:val="double" w:sz="4" w:space="0" w:color="auto"/>
            </w:tcBorders>
            <w:tcMar>
              <w:top w:w="57" w:type="dxa"/>
              <w:left w:w="57" w:type="dxa"/>
              <w:bottom w:w="57" w:type="dxa"/>
              <w:right w:w="57" w:type="dxa"/>
            </w:tcMar>
          </w:tcPr>
          <w:p w:rsidR="00B60846" w:rsidRDefault="008069FF">
            <w:pPr>
              <w:rPr>
                <w:noProof/>
                <w:sz w:val="20"/>
              </w:rPr>
            </w:pPr>
            <w:r>
              <w:rPr>
                <w:noProof/>
                <w:sz w:val="20"/>
              </w:rPr>
              <w:t>Recurrent</w:t>
            </w:r>
          </w:p>
        </w:tc>
        <w:tc>
          <w:tcPr>
            <w:tcW w:w="1134" w:type="dxa"/>
            <w:gridSpan w:val="2"/>
            <w:tcBorders>
              <w:bottom w:val="double" w:sz="4" w:space="0" w:color="auto"/>
            </w:tcBorders>
            <w:tcMar>
              <w:top w:w="57" w:type="dxa"/>
              <w:left w:w="57" w:type="dxa"/>
              <w:bottom w:w="57" w:type="dxa"/>
              <w:right w:w="57" w:type="dxa"/>
            </w:tcMar>
          </w:tcPr>
          <w:p w:rsidR="00B60846" w:rsidRDefault="008069FF">
            <w:pPr>
              <w:rPr>
                <w:noProof/>
                <w:sz w:val="20"/>
              </w:rPr>
            </w:pPr>
            <w:r>
              <w:rPr>
                <w:noProof/>
                <w:sz w:val="20"/>
              </w:rPr>
              <w:t>One-off</w:t>
            </w:r>
          </w:p>
        </w:tc>
        <w:tc>
          <w:tcPr>
            <w:tcW w:w="1276" w:type="dxa"/>
            <w:tcBorders>
              <w:bottom w:val="double" w:sz="4" w:space="0" w:color="auto"/>
            </w:tcBorders>
            <w:tcMar>
              <w:top w:w="57" w:type="dxa"/>
              <w:left w:w="57" w:type="dxa"/>
              <w:bottom w:w="57" w:type="dxa"/>
              <w:right w:w="57" w:type="dxa"/>
            </w:tcMar>
          </w:tcPr>
          <w:p w:rsidR="00B60846" w:rsidRDefault="008069FF">
            <w:pPr>
              <w:rPr>
                <w:noProof/>
                <w:sz w:val="20"/>
              </w:rPr>
            </w:pPr>
            <w:r>
              <w:rPr>
                <w:noProof/>
                <w:sz w:val="20"/>
              </w:rPr>
              <w:t>Recurrent</w:t>
            </w:r>
          </w:p>
        </w:tc>
      </w:tr>
      <w:tr w:rsidR="00B60846">
        <w:trPr>
          <w:gridAfter w:val="1"/>
          <w:wAfter w:w="9" w:type="dxa"/>
          <w:trHeight w:val="307"/>
        </w:trPr>
        <w:tc>
          <w:tcPr>
            <w:tcW w:w="993" w:type="dxa"/>
            <w:vMerge w:val="restart"/>
            <w:tcMar>
              <w:top w:w="57" w:type="dxa"/>
              <w:left w:w="57" w:type="dxa"/>
              <w:bottom w:w="57" w:type="dxa"/>
              <w:right w:w="57" w:type="dxa"/>
            </w:tcMar>
            <w:vAlign w:val="center"/>
          </w:tcPr>
          <w:p w:rsidR="00B60846" w:rsidRDefault="008069FF">
            <w:pPr>
              <w:rPr>
                <w:noProof/>
                <w:sz w:val="20"/>
              </w:rPr>
            </w:pPr>
            <w:r>
              <w:rPr>
                <w:noProof/>
                <w:sz w:val="20"/>
              </w:rPr>
              <w:t>Action (a)  Broadened scope for regulated assets (smart grids)</w:t>
            </w:r>
          </w:p>
        </w:tc>
        <w:tc>
          <w:tcPr>
            <w:tcW w:w="1610" w:type="dxa"/>
            <w:tcBorders>
              <w:right w:val="double" w:sz="4" w:space="0" w:color="auto"/>
            </w:tcBorders>
            <w:tcMar>
              <w:top w:w="57" w:type="dxa"/>
              <w:left w:w="57" w:type="dxa"/>
              <w:bottom w:w="57" w:type="dxa"/>
              <w:right w:w="57" w:type="dxa"/>
            </w:tcMar>
            <w:vAlign w:val="center"/>
          </w:tcPr>
          <w:p w:rsidR="00B60846" w:rsidRDefault="008069FF">
            <w:pPr>
              <w:rPr>
                <w:noProof/>
                <w:sz w:val="20"/>
              </w:rPr>
            </w:pPr>
            <w:r>
              <w:rPr>
                <w:noProof/>
                <w:sz w:val="20"/>
              </w:rPr>
              <w:t>Direct costs</w:t>
            </w:r>
          </w:p>
        </w:tc>
        <w:tc>
          <w:tcPr>
            <w:tcW w:w="1134" w:type="dxa"/>
            <w:tcBorders>
              <w:left w:val="double" w:sz="4" w:space="0" w:color="auto"/>
            </w:tcBorders>
            <w:tcMar>
              <w:top w:w="57" w:type="dxa"/>
              <w:left w:w="57" w:type="dxa"/>
              <w:bottom w:w="57" w:type="dxa"/>
              <w:right w:w="57" w:type="dxa"/>
            </w:tcMar>
          </w:tcPr>
          <w:p w:rsidR="00B60846" w:rsidRDefault="00B60846">
            <w:pPr>
              <w:rPr>
                <w:noProof/>
                <w:sz w:val="20"/>
              </w:rPr>
            </w:pPr>
          </w:p>
        </w:tc>
        <w:tc>
          <w:tcPr>
            <w:tcW w:w="1446" w:type="dxa"/>
            <w:tcMar>
              <w:top w:w="57" w:type="dxa"/>
              <w:left w:w="57" w:type="dxa"/>
              <w:bottom w:w="57" w:type="dxa"/>
              <w:right w:w="57" w:type="dxa"/>
            </w:tcMar>
          </w:tcPr>
          <w:p w:rsidR="00B60846" w:rsidRDefault="00B60846">
            <w:pPr>
              <w:rPr>
                <w:noProof/>
                <w:sz w:val="20"/>
              </w:rPr>
            </w:pPr>
          </w:p>
        </w:tc>
        <w:tc>
          <w:tcPr>
            <w:tcW w:w="1054" w:type="dxa"/>
            <w:tcMar>
              <w:top w:w="57" w:type="dxa"/>
              <w:left w:w="57" w:type="dxa"/>
              <w:bottom w:w="57" w:type="dxa"/>
              <w:right w:w="57" w:type="dxa"/>
            </w:tcMar>
          </w:tcPr>
          <w:p w:rsidR="00B60846" w:rsidRDefault="00B60846">
            <w:pPr>
              <w:rPr>
                <w:noProof/>
                <w:sz w:val="20"/>
              </w:rPr>
            </w:pPr>
          </w:p>
        </w:tc>
        <w:tc>
          <w:tcPr>
            <w:tcW w:w="1417" w:type="dxa"/>
            <w:tcMar>
              <w:top w:w="57" w:type="dxa"/>
              <w:left w:w="57" w:type="dxa"/>
              <w:bottom w:w="57" w:type="dxa"/>
              <w:right w:w="57" w:type="dxa"/>
            </w:tcMar>
          </w:tcPr>
          <w:p w:rsidR="00B60846" w:rsidRDefault="008069FF">
            <w:pPr>
              <w:rPr>
                <w:noProof/>
                <w:sz w:val="20"/>
              </w:rPr>
            </w:pPr>
            <w:r>
              <w:rPr>
                <w:noProof/>
                <w:sz w:val="20"/>
              </w:rPr>
              <w:t>Administrative burden (project promoters):  participation in regional group meetings, collection and submission of information required for network planning, monitoring and reporting</w:t>
            </w:r>
          </w:p>
        </w:tc>
        <w:tc>
          <w:tcPr>
            <w:tcW w:w="1134" w:type="dxa"/>
            <w:gridSpan w:val="2"/>
            <w:tcMar>
              <w:top w:w="57" w:type="dxa"/>
              <w:left w:w="57" w:type="dxa"/>
              <w:bottom w:w="57" w:type="dxa"/>
              <w:right w:w="57" w:type="dxa"/>
            </w:tcMar>
          </w:tcPr>
          <w:p w:rsidR="00B60846" w:rsidRDefault="00B60846">
            <w:pPr>
              <w:rPr>
                <w:noProof/>
                <w:sz w:val="20"/>
              </w:rPr>
            </w:pPr>
          </w:p>
        </w:tc>
        <w:tc>
          <w:tcPr>
            <w:tcW w:w="1276" w:type="dxa"/>
            <w:tcMar>
              <w:top w:w="57" w:type="dxa"/>
              <w:left w:w="57" w:type="dxa"/>
              <w:bottom w:w="57" w:type="dxa"/>
              <w:right w:w="57" w:type="dxa"/>
            </w:tcMar>
          </w:tcPr>
          <w:p w:rsidR="00B60846" w:rsidRDefault="008069FF">
            <w:pPr>
              <w:rPr>
                <w:noProof/>
                <w:sz w:val="20"/>
              </w:rPr>
            </w:pPr>
            <w:r>
              <w:rPr>
                <w:noProof/>
                <w:sz w:val="20"/>
              </w:rPr>
              <w:t xml:space="preserve">Administrative burden: participation in regional group meetings (NRAs), </w:t>
            </w:r>
            <w:r>
              <w:rPr>
                <w:noProof/>
                <w:sz w:val="20"/>
              </w:rPr>
              <w:t xml:space="preserve">organisation of regional group meetings, monitoring </w:t>
            </w:r>
          </w:p>
        </w:tc>
      </w:tr>
      <w:tr w:rsidR="00B60846">
        <w:trPr>
          <w:gridAfter w:val="1"/>
          <w:wAfter w:w="9" w:type="dxa"/>
        </w:trPr>
        <w:tc>
          <w:tcPr>
            <w:tcW w:w="993" w:type="dxa"/>
            <w:vMerge/>
            <w:tcMar>
              <w:top w:w="57" w:type="dxa"/>
              <w:left w:w="57" w:type="dxa"/>
              <w:bottom w:w="57" w:type="dxa"/>
              <w:right w:w="57" w:type="dxa"/>
            </w:tcMar>
          </w:tcPr>
          <w:p w:rsidR="00B60846" w:rsidRDefault="00B60846">
            <w:pPr>
              <w:rPr>
                <w:noProof/>
                <w:sz w:val="20"/>
              </w:rPr>
            </w:pPr>
          </w:p>
        </w:tc>
        <w:tc>
          <w:tcPr>
            <w:tcW w:w="1610" w:type="dxa"/>
            <w:tcBorders>
              <w:right w:val="double" w:sz="4" w:space="0" w:color="auto"/>
            </w:tcBorders>
            <w:tcMar>
              <w:top w:w="57" w:type="dxa"/>
              <w:left w:w="57" w:type="dxa"/>
              <w:bottom w:w="57" w:type="dxa"/>
              <w:right w:w="57" w:type="dxa"/>
            </w:tcMar>
          </w:tcPr>
          <w:p w:rsidR="00B60846" w:rsidRDefault="008069FF">
            <w:pPr>
              <w:rPr>
                <w:noProof/>
                <w:sz w:val="20"/>
              </w:rPr>
            </w:pPr>
            <w:r>
              <w:rPr>
                <w:noProof/>
                <w:sz w:val="20"/>
              </w:rPr>
              <w:t>Indirect costs</w:t>
            </w:r>
          </w:p>
        </w:tc>
        <w:tc>
          <w:tcPr>
            <w:tcW w:w="1134" w:type="dxa"/>
            <w:tcBorders>
              <w:left w:val="double" w:sz="4" w:space="0" w:color="auto"/>
            </w:tcBorders>
            <w:tcMar>
              <w:top w:w="57" w:type="dxa"/>
              <w:left w:w="57" w:type="dxa"/>
              <w:bottom w:w="57" w:type="dxa"/>
              <w:right w:w="57" w:type="dxa"/>
            </w:tcMar>
          </w:tcPr>
          <w:p w:rsidR="00B60846" w:rsidRDefault="00B60846">
            <w:pPr>
              <w:rPr>
                <w:noProof/>
                <w:sz w:val="20"/>
              </w:rPr>
            </w:pPr>
          </w:p>
        </w:tc>
        <w:tc>
          <w:tcPr>
            <w:tcW w:w="1446" w:type="dxa"/>
            <w:tcMar>
              <w:top w:w="57" w:type="dxa"/>
              <w:left w:w="57" w:type="dxa"/>
              <w:bottom w:w="57" w:type="dxa"/>
              <w:right w:w="57" w:type="dxa"/>
            </w:tcMar>
          </w:tcPr>
          <w:p w:rsidR="00B60846" w:rsidRDefault="008069FF">
            <w:pPr>
              <w:rPr>
                <w:noProof/>
                <w:sz w:val="20"/>
              </w:rPr>
            </w:pPr>
            <w:r>
              <w:rPr>
                <w:noProof/>
                <w:sz w:val="20"/>
              </w:rPr>
              <w:t>Potential increase of network tariffs</w:t>
            </w:r>
          </w:p>
        </w:tc>
        <w:tc>
          <w:tcPr>
            <w:tcW w:w="1054" w:type="dxa"/>
            <w:tcMar>
              <w:top w:w="57" w:type="dxa"/>
              <w:left w:w="57" w:type="dxa"/>
              <w:bottom w:w="57" w:type="dxa"/>
              <w:right w:w="57" w:type="dxa"/>
            </w:tcMar>
          </w:tcPr>
          <w:p w:rsidR="00B60846" w:rsidRDefault="00B60846">
            <w:pPr>
              <w:rPr>
                <w:noProof/>
                <w:sz w:val="20"/>
              </w:rPr>
            </w:pPr>
          </w:p>
        </w:tc>
        <w:tc>
          <w:tcPr>
            <w:tcW w:w="1417" w:type="dxa"/>
            <w:tcMar>
              <w:top w:w="57" w:type="dxa"/>
              <w:left w:w="57" w:type="dxa"/>
              <w:bottom w:w="57" w:type="dxa"/>
              <w:right w:w="57" w:type="dxa"/>
            </w:tcMar>
          </w:tcPr>
          <w:p w:rsidR="00B60846" w:rsidRDefault="008069FF">
            <w:pPr>
              <w:rPr>
                <w:noProof/>
                <w:sz w:val="20"/>
              </w:rPr>
            </w:pPr>
            <w:r>
              <w:rPr>
                <w:noProof/>
                <w:sz w:val="20"/>
              </w:rPr>
              <w:t xml:space="preserve">Potential increase of network </w:t>
            </w:r>
          </w:p>
        </w:tc>
        <w:tc>
          <w:tcPr>
            <w:tcW w:w="1134" w:type="dxa"/>
            <w:gridSpan w:val="2"/>
            <w:tcMar>
              <w:top w:w="57" w:type="dxa"/>
              <w:left w:w="57" w:type="dxa"/>
              <w:bottom w:w="57" w:type="dxa"/>
              <w:right w:w="57" w:type="dxa"/>
            </w:tcMar>
          </w:tcPr>
          <w:p w:rsidR="00B60846" w:rsidRDefault="00B60846">
            <w:pPr>
              <w:rPr>
                <w:noProof/>
                <w:sz w:val="20"/>
              </w:rPr>
            </w:pPr>
          </w:p>
        </w:tc>
        <w:tc>
          <w:tcPr>
            <w:tcW w:w="1276" w:type="dxa"/>
            <w:tcMar>
              <w:top w:w="57" w:type="dxa"/>
              <w:left w:w="57" w:type="dxa"/>
              <w:bottom w:w="57" w:type="dxa"/>
              <w:right w:w="57" w:type="dxa"/>
            </w:tcMar>
          </w:tcPr>
          <w:p w:rsidR="00B60846" w:rsidRDefault="008069FF">
            <w:pPr>
              <w:rPr>
                <w:noProof/>
                <w:sz w:val="20"/>
              </w:rPr>
            </w:pPr>
            <w:r>
              <w:rPr>
                <w:noProof/>
                <w:sz w:val="20"/>
              </w:rPr>
              <w:t xml:space="preserve">Potential increase of network tariffs </w:t>
            </w:r>
          </w:p>
        </w:tc>
      </w:tr>
      <w:tr w:rsidR="00B60846">
        <w:trPr>
          <w:gridAfter w:val="1"/>
          <w:wAfter w:w="9" w:type="dxa"/>
        </w:trPr>
        <w:tc>
          <w:tcPr>
            <w:tcW w:w="993" w:type="dxa"/>
            <w:vMerge w:val="restart"/>
            <w:tcBorders>
              <w:top w:val="double" w:sz="4" w:space="0" w:color="auto"/>
            </w:tcBorders>
            <w:tcMar>
              <w:top w:w="57" w:type="dxa"/>
              <w:left w:w="57" w:type="dxa"/>
              <w:bottom w:w="57" w:type="dxa"/>
              <w:right w:w="57" w:type="dxa"/>
            </w:tcMar>
          </w:tcPr>
          <w:p w:rsidR="00B60846" w:rsidRDefault="008069FF">
            <w:pPr>
              <w:rPr>
                <w:noProof/>
                <w:sz w:val="20"/>
              </w:rPr>
            </w:pPr>
            <w:r>
              <w:rPr>
                <w:noProof/>
                <w:sz w:val="20"/>
              </w:rPr>
              <w:t>Action (b)  Establishment of integrated offshore development plans</w:t>
            </w:r>
          </w:p>
        </w:tc>
        <w:tc>
          <w:tcPr>
            <w:tcW w:w="1610" w:type="dxa"/>
            <w:tcBorders>
              <w:top w:val="double" w:sz="4" w:space="0" w:color="auto"/>
              <w:right w:val="double" w:sz="4" w:space="0" w:color="auto"/>
            </w:tcBorders>
            <w:tcMar>
              <w:top w:w="57" w:type="dxa"/>
              <w:left w:w="57" w:type="dxa"/>
              <w:bottom w:w="57" w:type="dxa"/>
              <w:right w:w="57" w:type="dxa"/>
            </w:tcMar>
            <w:vAlign w:val="center"/>
          </w:tcPr>
          <w:p w:rsidR="00B60846" w:rsidRDefault="008069FF">
            <w:pPr>
              <w:rPr>
                <w:noProof/>
                <w:sz w:val="20"/>
              </w:rPr>
            </w:pPr>
            <w:r>
              <w:rPr>
                <w:noProof/>
                <w:sz w:val="20"/>
              </w:rPr>
              <w:t xml:space="preserve">Direct </w:t>
            </w:r>
            <w:r>
              <w:rPr>
                <w:noProof/>
                <w:sz w:val="20"/>
              </w:rPr>
              <w:t>costs</w:t>
            </w:r>
          </w:p>
        </w:tc>
        <w:tc>
          <w:tcPr>
            <w:tcW w:w="1134" w:type="dxa"/>
            <w:tcBorders>
              <w:top w:val="double" w:sz="4" w:space="0" w:color="auto"/>
              <w:left w:val="double" w:sz="4" w:space="0" w:color="auto"/>
            </w:tcBorders>
            <w:tcMar>
              <w:top w:w="57" w:type="dxa"/>
              <w:left w:w="57" w:type="dxa"/>
              <w:bottom w:w="57" w:type="dxa"/>
              <w:right w:w="57" w:type="dxa"/>
            </w:tcMar>
          </w:tcPr>
          <w:p w:rsidR="00B60846" w:rsidRDefault="00B60846">
            <w:pPr>
              <w:rPr>
                <w:noProof/>
                <w:sz w:val="20"/>
              </w:rPr>
            </w:pPr>
          </w:p>
        </w:tc>
        <w:tc>
          <w:tcPr>
            <w:tcW w:w="1446" w:type="dxa"/>
            <w:tcBorders>
              <w:top w:val="double" w:sz="4" w:space="0" w:color="auto"/>
            </w:tcBorders>
            <w:tcMar>
              <w:top w:w="57" w:type="dxa"/>
              <w:left w:w="57" w:type="dxa"/>
              <w:bottom w:w="57" w:type="dxa"/>
              <w:right w:w="57" w:type="dxa"/>
            </w:tcMar>
          </w:tcPr>
          <w:p w:rsidR="00B60846" w:rsidRDefault="00B60846">
            <w:pPr>
              <w:rPr>
                <w:noProof/>
                <w:sz w:val="20"/>
              </w:rPr>
            </w:pPr>
          </w:p>
        </w:tc>
        <w:tc>
          <w:tcPr>
            <w:tcW w:w="1054" w:type="dxa"/>
            <w:tcBorders>
              <w:top w:val="double" w:sz="4" w:space="0" w:color="auto"/>
            </w:tcBorders>
            <w:tcMar>
              <w:top w:w="57" w:type="dxa"/>
              <w:left w:w="57" w:type="dxa"/>
              <w:bottom w:w="57" w:type="dxa"/>
              <w:right w:w="57" w:type="dxa"/>
            </w:tcMar>
          </w:tcPr>
          <w:p w:rsidR="00B60846" w:rsidRDefault="00B60846">
            <w:pPr>
              <w:rPr>
                <w:noProof/>
                <w:sz w:val="20"/>
              </w:rPr>
            </w:pPr>
          </w:p>
        </w:tc>
        <w:tc>
          <w:tcPr>
            <w:tcW w:w="1417" w:type="dxa"/>
            <w:tcBorders>
              <w:top w:val="double" w:sz="4" w:space="0" w:color="auto"/>
            </w:tcBorders>
            <w:tcMar>
              <w:top w:w="57" w:type="dxa"/>
              <w:left w:w="57" w:type="dxa"/>
              <w:bottom w:w="57" w:type="dxa"/>
              <w:right w:w="57" w:type="dxa"/>
            </w:tcMar>
          </w:tcPr>
          <w:p w:rsidR="00B60846" w:rsidRDefault="008069FF">
            <w:pPr>
              <w:rPr>
                <w:noProof/>
                <w:sz w:val="20"/>
              </w:rPr>
            </w:pPr>
            <w:r>
              <w:rPr>
                <w:noProof/>
                <w:sz w:val="20"/>
              </w:rPr>
              <w:t>Administrative costs (mainly TSOs /  ENTSOs): participation in regional group meetings, collection and submission of information required for network planning</w:t>
            </w:r>
          </w:p>
        </w:tc>
        <w:tc>
          <w:tcPr>
            <w:tcW w:w="1134" w:type="dxa"/>
            <w:gridSpan w:val="2"/>
            <w:tcBorders>
              <w:top w:val="double" w:sz="4" w:space="0" w:color="auto"/>
            </w:tcBorders>
            <w:tcMar>
              <w:top w:w="57" w:type="dxa"/>
              <w:left w:w="57" w:type="dxa"/>
              <w:bottom w:w="57" w:type="dxa"/>
              <w:right w:w="57" w:type="dxa"/>
            </w:tcMar>
          </w:tcPr>
          <w:p w:rsidR="00B60846" w:rsidRDefault="00B60846">
            <w:pPr>
              <w:rPr>
                <w:noProof/>
                <w:sz w:val="20"/>
              </w:rPr>
            </w:pPr>
          </w:p>
        </w:tc>
        <w:tc>
          <w:tcPr>
            <w:tcW w:w="1276" w:type="dxa"/>
            <w:tcBorders>
              <w:top w:val="double" w:sz="4" w:space="0" w:color="auto"/>
            </w:tcBorders>
            <w:tcMar>
              <w:top w:w="57" w:type="dxa"/>
              <w:left w:w="57" w:type="dxa"/>
              <w:bottom w:w="57" w:type="dxa"/>
              <w:right w:w="57" w:type="dxa"/>
            </w:tcMar>
          </w:tcPr>
          <w:p w:rsidR="00B60846" w:rsidRDefault="008069FF">
            <w:pPr>
              <w:rPr>
                <w:noProof/>
                <w:sz w:val="20"/>
              </w:rPr>
            </w:pPr>
            <w:r>
              <w:rPr>
                <w:noProof/>
                <w:sz w:val="20"/>
              </w:rPr>
              <w:t>Administrative burden: participation in regional group meetings (NRAs, ACER), organisat</w:t>
            </w:r>
            <w:r>
              <w:rPr>
                <w:noProof/>
                <w:sz w:val="20"/>
              </w:rPr>
              <w:t>ion of regional group meetings, monitoring (Commission, ACER)</w:t>
            </w:r>
          </w:p>
        </w:tc>
      </w:tr>
      <w:tr w:rsidR="00B60846">
        <w:trPr>
          <w:gridAfter w:val="1"/>
          <w:wAfter w:w="9" w:type="dxa"/>
        </w:trPr>
        <w:tc>
          <w:tcPr>
            <w:tcW w:w="993" w:type="dxa"/>
            <w:vMerge/>
            <w:tcMar>
              <w:top w:w="57" w:type="dxa"/>
              <w:left w:w="57" w:type="dxa"/>
              <w:bottom w:w="57" w:type="dxa"/>
              <w:right w:w="57" w:type="dxa"/>
            </w:tcMar>
          </w:tcPr>
          <w:p w:rsidR="00B60846" w:rsidRDefault="00B60846">
            <w:pPr>
              <w:rPr>
                <w:noProof/>
                <w:sz w:val="20"/>
              </w:rPr>
            </w:pPr>
          </w:p>
        </w:tc>
        <w:tc>
          <w:tcPr>
            <w:tcW w:w="1610" w:type="dxa"/>
            <w:tcBorders>
              <w:right w:val="double" w:sz="4" w:space="0" w:color="auto"/>
            </w:tcBorders>
            <w:tcMar>
              <w:top w:w="57" w:type="dxa"/>
              <w:left w:w="57" w:type="dxa"/>
              <w:bottom w:w="57" w:type="dxa"/>
              <w:right w:w="57" w:type="dxa"/>
            </w:tcMar>
          </w:tcPr>
          <w:p w:rsidR="00B60846" w:rsidRDefault="008069FF">
            <w:pPr>
              <w:rPr>
                <w:noProof/>
                <w:sz w:val="20"/>
              </w:rPr>
            </w:pPr>
            <w:r>
              <w:rPr>
                <w:noProof/>
                <w:sz w:val="20"/>
              </w:rPr>
              <w:t>Indirect costs</w:t>
            </w:r>
          </w:p>
        </w:tc>
        <w:tc>
          <w:tcPr>
            <w:tcW w:w="1134" w:type="dxa"/>
            <w:tcBorders>
              <w:left w:val="double" w:sz="4" w:space="0" w:color="auto"/>
            </w:tcBorders>
            <w:tcMar>
              <w:top w:w="57" w:type="dxa"/>
              <w:left w:w="57" w:type="dxa"/>
              <w:bottom w:w="57" w:type="dxa"/>
              <w:right w:w="57" w:type="dxa"/>
            </w:tcMar>
          </w:tcPr>
          <w:p w:rsidR="00B60846" w:rsidRDefault="00B60846">
            <w:pPr>
              <w:rPr>
                <w:noProof/>
                <w:sz w:val="20"/>
              </w:rPr>
            </w:pPr>
          </w:p>
        </w:tc>
        <w:tc>
          <w:tcPr>
            <w:tcW w:w="1446" w:type="dxa"/>
            <w:tcMar>
              <w:top w:w="57" w:type="dxa"/>
              <w:left w:w="57" w:type="dxa"/>
              <w:bottom w:w="57" w:type="dxa"/>
              <w:right w:w="57" w:type="dxa"/>
            </w:tcMar>
          </w:tcPr>
          <w:p w:rsidR="00B60846" w:rsidRDefault="008069FF">
            <w:pPr>
              <w:rPr>
                <w:noProof/>
                <w:sz w:val="20"/>
              </w:rPr>
            </w:pPr>
            <w:r>
              <w:rPr>
                <w:noProof/>
                <w:sz w:val="20"/>
              </w:rPr>
              <w:t>Potential increase of network tariffs</w:t>
            </w:r>
          </w:p>
        </w:tc>
        <w:tc>
          <w:tcPr>
            <w:tcW w:w="1054" w:type="dxa"/>
            <w:tcMar>
              <w:top w:w="57" w:type="dxa"/>
              <w:left w:w="57" w:type="dxa"/>
              <w:bottom w:w="57" w:type="dxa"/>
              <w:right w:w="57" w:type="dxa"/>
            </w:tcMar>
          </w:tcPr>
          <w:p w:rsidR="00B60846" w:rsidRDefault="00B60846">
            <w:pPr>
              <w:rPr>
                <w:noProof/>
                <w:sz w:val="20"/>
              </w:rPr>
            </w:pPr>
          </w:p>
        </w:tc>
        <w:tc>
          <w:tcPr>
            <w:tcW w:w="1417" w:type="dxa"/>
            <w:tcMar>
              <w:top w:w="57" w:type="dxa"/>
              <w:left w:w="57" w:type="dxa"/>
              <w:bottom w:w="57" w:type="dxa"/>
              <w:right w:w="57" w:type="dxa"/>
            </w:tcMar>
          </w:tcPr>
          <w:p w:rsidR="00B60846" w:rsidRDefault="008069FF">
            <w:pPr>
              <w:rPr>
                <w:noProof/>
                <w:sz w:val="20"/>
              </w:rPr>
            </w:pPr>
            <w:r>
              <w:rPr>
                <w:noProof/>
                <w:sz w:val="20"/>
              </w:rPr>
              <w:t>Potential increase of network tariffs</w:t>
            </w:r>
          </w:p>
        </w:tc>
        <w:tc>
          <w:tcPr>
            <w:tcW w:w="1134" w:type="dxa"/>
            <w:gridSpan w:val="2"/>
            <w:tcMar>
              <w:top w:w="57" w:type="dxa"/>
              <w:left w:w="57" w:type="dxa"/>
              <w:bottom w:w="57" w:type="dxa"/>
              <w:right w:w="57" w:type="dxa"/>
            </w:tcMar>
          </w:tcPr>
          <w:p w:rsidR="00B60846" w:rsidRDefault="00B60846">
            <w:pPr>
              <w:rPr>
                <w:noProof/>
                <w:sz w:val="20"/>
              </w:rPr>
            </w:pPr>
          </w:p>
        </w:tc>
        <w:tc>
          <w:tcPr>
            <w:tcW w:w="1276" w:type="dxa"/>
            <w:tcMar>
              <w:top w:w="57" w:type="dxa"/>
              <w:left w:w="57" w:type="dxa"/>
              <w:bottom w:w="57" w:type="dxa"/>
              <w:right w:w="57" w:type="dxa"/>
            </w:tcMar>
          </w:tcPr>
          <w:p w:rsidR="00B60846" w:rsidRDefault="008069FF">
            <w:pPr>
              <w:rPr>
                <w:noProof/>
                <w:sz w:val="20"/>
              </w:rPr>
            </w:pPr>
            <w:r>
              <w:rPr>
                <w:noProof/>
                <w:sz w:val="20"/>
              </w:rPr>
              <w:t>Potential increase of network tariffs</w:t>
            </w:r>
          </w:p>
        </w:tc>
      </w:tr>
      <w:tr w:rsidR="00B60846">
        <w:trPr>
          <w:gridAfter w:val="1"/>
          <w:wAfter w:w="9" w:type="dxa"/>
        </w:trPr>
        <w:tc>
          <w:tcPr>
            <w:tcW w:w="993" w:type="dxa"/>
            <w:vMerge w:val="restart"/>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Action (c) Integrated infrastructure plans</w:t>
            </w:r>
          </w:p>
        </w:tc>
        <w:tc>
          <w:tcPr>
            <w:tcW w:w="1610" w:type="dxa"/>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Direct costs</w:t>
            </w:r>
          </w:p>
        </w:tc>
        <w:tc>
          <w:tcPr>
            <w:tcW w:w="113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46"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05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17" w:type="dxa"/>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Administrative costs related to the coordinated approach (mainly TSOs, DSOs and ENTSOs): data collection, participation in meetings</w:t>
            </w:r>
          </w:p>
        </w:tc>
        <w:tc>
          <w:tcPr>
            <w:tcW w:w="1134" w:type="dxa"/>
            <w:gridSpan w:val="2"/>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276" w:type="dxa"/>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Administrative costs related to the increased oversight for the Commission and ACER (between EUR 80 000 and 150 000, one ad</w:t>
            </w:r>
            <w:r>
              <w:rPr>
                <w:noProof/>
                <w:sz w:val="20"/>
              </w:rPr>
              <w:t>ditional FTE)</w:t>
            </w:r>
          </w:p>
        </w:tc>
      </w:tr>
      <w:tr w:rsidR="00B60846">
        <w:trPr>
          <w:gridAfter w:val="1"/>
          <w:wAfter w:w="9" w:type="dxa"/>
        </w:trPr>
        <w:tc>
          <w:tcPr>
            <w:tcW w:w="993" w:type="dxa"/>
            <w:vMerge/>
          </w:tcPr>
          <w:p w:rsidR="00B60846" w:rsidRDefault="00B60846">
            <w:pPr>
              <w:rPr>
                <w:noProof/>
                <w:sz w:val="20"/>
              </w:rPr>
            </w:pPr>
          </w:p>
        </w:tc>
        <w:tc>
          <w:tcPr>
            <w:tcW w:w="1610" w:type="dxa"/>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Indirect costs</w:t>
            </w:r>
          </w:p>
        </w:tc>
        <w:tc>
          <w:tcPr>
            <w:tcW w:w="113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46"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05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17"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276"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r>
      <w:tr w:rsidR="00B60846">
        <w:trPr>
          <w:gridAfter w:val="1"/>
          <w:wAfter w:w="9" w:type="dxa"/>
        </w:trPr>
        <w:tc>
          <w:tcPr>
            <w:tcW w:w="993" w:type="dxa"/>
            <w:vMerge w:val="restart"/>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Action (d) One-stop shop per sea basin for offshore renewable projects</w:t>
            </w:r>
          </w:p>
        </w:tc>
        <w:tc>
          <w:tcPr>
            <w:tcW w:w="1610" w:type="dxa"/>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Direct costs</w:t>
            </w:r>
          </w:p>
        </w:tc>
        <w:tc>
          <w:tcPr>
            <w:tcW w:w="113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46"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05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17"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Administrative costs to establish the one stop shop</w:t>
            </w:r>
          </w:p>
        </w:tc>
        <w:tc>
          <w:tcPr>
            <w:tcW w:w="1276"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r>
      <w:tr w:rsidR="00B60846">
        <w:trPr>
          <w:gridAfter w:val="1"/>
          <w:wAfter w:w="9" w:type="dxa"/>
        </w:trPr>
        <w:tc>
          <w:tcPr>
            <w:tcW w:w="993" w:type="dxa"/>
            <w:vMerge/>
          </w:tcPr>
          <w:p w:rsidR="00B60846" w:rsidRDefault="00B60846">
            <w:pPr>
              <w:rPr>
                <w:noProof/>
                <w:sz w:val="20"/>
              </w:rPr>
            </w:pPr>
          </w:p>
        </w:tc>
        <w:tc>
          <w:tcPr>
            <w:tcW w:w="1610" w:type="dxa"/>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Indirect costs</w:t>
            </w:r>
          </w:p>
        </w:tc>
        <w:tc>
          <w:tcPr>
            <w:tcW w:w="113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46"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05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17"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276"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r>
      <w:tr w:rsidR="00B60846">
        <w:trPr>
          <w:gridAfter w:val="1"/>
          <w:wAfter w:w="9" w:type="dxa"/>
        </w:trPr>
        <w:tc>
          <w:tcPr>
            <w:tcW w:w="993" w:type="dxa"/>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Action e)</w:t>
            </w:r>
          </w:p>
          <w:p w:rsidR="00B60846" w:rsidRDefault="008069FF">
            <w:pPr>
              <w:rPr>
                <w:noProof/>
                <w:sz w:val="20"/>
              </w:rPr>
            </w:pPr>
            <w:r>
              <w:rPr>
                <w:noProof/>
                <w:sz w:val="20"/>
              </w:rPr>
              <w:t>Inclusion full investment costs</w:t>
            </w:r>
          </w:p>
        </w:tc>
        <w:tc>
          <w:tcPr>
            <w:tcW w:w="1610" w:type="dxa"/>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 xml:space="preserve">Direct </w:t>
            </w:r>
            <w:r>
              <w:rPr>
                <w:noProof/>
                <w:sz w:val="20"/>
              </w:rPr>
              <w:t>costs</w:t>
            </w:r>
          </w:p>
        </w:tc>
        <w:tc>
          <w:tcPr>
            <w:tcW w:w="113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46"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054"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417" w:type="dxa"/>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60846" w:rsidRDefault="00B60846">
            <w:pPr>
              <w:rPr>
                <w:noProof/>
                <w:sz w:val="20"/>
              </w:rPr>
            </w:pPr>
          </w:p>
        </w:tc>
        <w:tc>
          <w:tcPr>
            <w:tcW w:w="1276" w:type="dxa"/>
            <w:tcBorders>
              <w:top w:val="single" w:sz="4" w:space="0" w:color="auto"/>
              <w:left w:val="single" w:sz="4" w:space="0" w:color="auto"/>
              <w:bottom w:val="single" w:sz="4" w:space="0" w:color="auto"/>
              <w:right w:val="single" w:sz="4" w:space="0" w:color="auto"/>
            </w:tcBorders>
          </w:tcPr>
          <w:p w:rsidR="00B60846" w:rsidRDefault="008069FF">
            <w:pPr>
              <w:rPr>
                <w:noProof/>
                <w:sz w:val="20"/>
              </w:rPr>
            </w:pPr>
            <w:r>
              <w:rPr>
                <w:noProof/>
                <w:sz w:val="20"/>
              </w:rPr>
              <w:t xml:space="preserve">Administrative costs related to the strengthened obligation on NRAs </w:t>
            </w:r>
          </w:p>
        </w:tc>
      </w:tr>
    </w:tbl>
    <w:p w:rsidR="00B60846" w:rsidRDefault="00B60846">
      <w:pPr>
        <w:rPr>
          <w:noProof/>
        </w:rPr>
      </w:pPr>
    </w:p>
    <w:p w:rsidR="00B60846" w:rsidRDefault="00B60846">
      <w:pPr>
        <w:pStyle w:val="Text1"/>
        <w:ind w:left="0"/>
        <w:rPr>
          <w:noProof/>
        </w:rPr>
      </w:pPr>
    </w:p>
    <w:p w:rsidR="00B60846" w:rsidRDefault="008069FF">
      <w:pPr>
        <w:tabs>
          <w:tab w:val="clear" w:pos="2302"/>
        </w:tabs>
        <w:spacing w:after="200" w:line="276" w:lineRule="auto"/>
        <w:jc w:val="left"/>
        <w:rPr>
          <w:b/>
          <w:smallCaps/>
          <w:noProof/>
        </w:rPr>
      </w:pPr>
      <w:r>
        <w:rPr>
          <w:noProof/>
        </w:rPr>
        <w:br w:type="page"/>
      </w:r>
    </w:p>
    <w:p w:rsidR="00B60846" w:rsidRDefault="008069FF">
      <w:pPr>
        <w:pStyle w:val="Heading1"/>
        <w:numPr>
          <w:ilvl w:val="0"/>
          <w:numId w:val="0"/>
        </w:numPr>
        <w:ind w:left="432" w:hanging="432"/>
        <w:rPr>
          <w:noProof/>
        </w:rPr>
      </w:pPr>
      <w:bookmarkStart w:id="1334" w:name="_Toc55496484"/>
      <w:r>
        <w:rPr>
          <w:noProof/>
        </w:rPr>
        <w:t>Annex 4: Analytical methods</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34"/>
    </w:p>
    <w:bookmarkEnd w:id="1322"/>
    <w:p w:rsidR="00B60846" w:rsidRDefault="008069FF">
      <w:pPr>
        <w:rPr>
          <w:noProof/>
        </w:rPr>
      </w:pPr>
      <w:r>
        <w:rPr>
          <w:noProof/>
        </w:rPr>
        <w:t xml:space="preserve">In order to quantify the benefits stemming from the implementation of the current TEN-E regulation, in the field of electricity and gas, from </w:t>
      </w:r>
      <w:r>
        <w:rPr>
          <w:noProof/>
        </w:rPr>
        <w:t>its entering into force until the full implementation of the latest PCI list (4</w:t>
      </w:r>
      <w:r>
        <w:rPr>
          <w:noProof/>
          <w:vertAlign w:val="superscript"/>
        </w:rPr>
        <w:t>th</w:t>
      </w:r>
      <w:r>
        <w:rPr>
          <w:noProof/>
        </w:rPr>
        <w:t xml:space="preserve"> list), the Commission used the REKK model and cross-checked the key outcomes with the internal METIS model run by JRC. Emphasis was given on attaining comparable modelling ou</w:t>
      </w:r>
      <w:r>
        <w:rPr>
          <w:noProof/>
        </w:rPr>
        <w:t>tput, and hence REKK and the JRC worked closely to align to the extent possible the input assumptions feeding into their models.</w:t>
      </w:r>
    </w:p>
    <w:p w:rsidR="00B60846" w:rsidRDefault="008069FF">
      <w:pPr>
        <w:rPr>
          <w:b/>
          <w:bCs/>
          <w:noProof/>
        </w:rPr>
      </w:pPr>
      <w:r>
        <w:rPr>
          <w:b/>
          <w:bCs/>
          <w:noProof/>
        </w:rPr>
        <w:t>Tools used</w:t>
      </w:r>
    </w:p>
    <w:p w:rsidR="00B60846" w:rsidRDefault="008069FF">
      <w:pPr>
        <w:spacing w:after="0"/>
        <w:rPr>
          <w:noProof/>
        </w:rPr>
      </w:pPr>
      <w:r>
        <w:rPr>
          <w:noProof/>
        </w:rPr>
        <w:t xml:space="preserve">REKK used, for this impact assessment two models, one specific for each sector, EEMM (electricity) and EGMM (gas). </w:t>
      </w:r>
    </w:p>
    <w:p w:rsidR="00B60846" w:rsidRDefault="00B60846">
      <w:pPr>
        <w:spacing w:after="0"/>
        <w:rPr>
          <w:noProof/>
        </w:rPr>
      </w:pPr>
    </w:p>
    <w:p w:rsidR="00B60846" w:rsidRDefault="008069FF">
      <w:pPr>
        <w:spacing w:after="0"/>
        <w:rPr>
          <w:noProof/>
        </w:rPr>
      </w:pPr>
      <w:r>
        <w:rPr>
          <w:noProof/>
        </w:rPr>
        <w:t>The EEMM is a partial equilibrium microeconomic model. It assumes fully liberalised and perfectly competitive electricity markets. 44 markets are modelled, including almost all members of ENTSO-E</w:t>
      </w:r>
      <w:r>
        <w:rPr>
          <w:rStyle w:val="FootnoteReference"/>
          <w:noProof/>
        </w:rPr>
        <w:footnoteReference w:id="149"/>
      </w:r>
      <w:r>
        <w:rPr>
          <w:noProof/>
        </w:rPr>
        <w:t>. Production and trade are constrained by the available ins</w:t>
      </w:r>
      <w:r>
        <w:rPr>
          <w:noProof/>
        </w:rPr>
        <w:t>talled capacity of power plants and net transfer capacity (NTC) of cross-border transmission lines. In the model one country is one node (with a few exceptions, e.g. it models two markets in Denmark and Ukraine), thus no internal congestion is assumed. The</w:t>
      </w:r>
      <w:r>
        <w:rPr>
          <w:noProof/>
        </w:rPr>
        <w:t xml:space="preserve"> model has an hourly time step, modelling 90 representative hours with respect to load, covering all four seasons and all daily variations in electricity demand. The model used as main inputs for the 2030 the EUCO 32,32.5, the NTC from ENTSOs capacity maps</w:t>
      </w:r>
      <w:r>
        <w:rPr>
          <w:noProof/>
        </w:rPr>
        <w:t xml:space="preserve"> the PCIs data and for the current situation input from the TSOs, NRAs and reports of industry organisations (such as EWEA and Solar Power Europe). For natural gas prices, REKK used its own forecast, prepared by the EGMM model of REKK, differentiated count</w:t>
      </w:r>
      <w:r>
        <w:rPr>
          <w:noProof/>
        </w:rPr>
        <w:t>ry by country and year by year.</w:t>
      </w:r>
    </w:p>
    <w:p w:rsidR="00B60846" w:rsidRDefault="008069FF">
      <w:pPr>
        <w:rPr>
          <w:noProof/>
        </w:rPr>
      </w:pPr>
      <w:r>
        <w:rPr>
          <w:noProof/>
        </w:rPr>
        <w:t>The EGMM is a competitive, dynamic, multi-market equilibrium model that simulates the operation of the wholesale natural gas market across Europe. It includes a supply-demand representation of European countries, including g</w:t>
      </w:r>
      <w:r>
        <w:rPr>
          <w:noProof/>
        </w:rPr>
        <w:t>as storage and transportation linkages. Large external markets, including Russia, Turkey, Libya, Algeria and LNG exporters are represented exogenously with market prices, long-term supply contracts and physical connections to Europe. The timeframe of the m</w:t>
      </w:r>
      <w:r>
        <w:rPr>
          <w:noProof/>
        </w:rPr>
        <w:t>odel covers 12 consecutive months, starting in April. Market participants have perfect foresight over this period. Dynamic connections between months are introduced by the operation of gas storages and take-or-play constraints of long-term contracts. Given</w:t>
      </w:r>
      <w:r>
        <w:rPr>
          <w:noProof/>
        </w:rPr>
        <w:t xml:space="preserve"> the input data, the model calculates a dynamic competitive market equilibrium for the modelled countries, where all arbitrage opportunities across time and space are therefore exhausted to the extent that storage facilities, transportation, infrastructure</w:t>
      </w:r>
      <w:r>
        <w:rPr>
          <w:noProof/>
        </w:rPr>
        <w:t>, and contractual conditions permit. As a result, the competitive equilibrium yields an eﬃcient, welfare-maximizing outcome. The model used as main inputs for the 2030 the EUCO 32,32.5, the NTC from ENTSOs capacity maps the PCIs data and for the current si</w:t>
      </w:r>
      <w:r>
        <w:rPr>
          <w:noProof/>
        </w:rPr>
        <w:t>tuation mainly input from the TSOs, and NRAs.</w:t>
      </w:r>
    </w:p>
    <w:p w:rsidR="00B60846" w:rsidRDefault="008069FF">
      <w:pPr>
        <w:rPr>
          <w:noProof/>
        </w:rPr>
      </w:pPr>
      <w:r>
        <w:rPr>
          <w:noProof/>
        </w:rPr>
        <w:t>As mentioned above, the crosscheck of the main REKK results was performed using the Commission METIS model run by JRC. The Metis model is a modelling tool that can quickly provide robust insights on complex energy related questions, focusing on the short t</w:t>
      </w:r>
      <w:r>
        <w:rPr>
          <w:noProof/>
        </w:rPr>
        <w:t xml:space="preserve">erm operation of the energy system and markets. </w:t>
      </w:r>
    </w:p>
    <w:p w:rsidR="00B60846" w:rsidRDefault="008069FF">
      <w:pPr>
        <w:rPr>
          <w:noProof/>
        </w:rPr>
      </w:pPr>
      <w:r>
        <w:rPr>
          <w:noProof/>
        </w:rPr>
        <w:t>In  METIS, the  European power system is modelled with an hourly temporal resolution. The power plants are represented as fleets of similar technological characteristics. In METIS, units of the same technolo</w:t>
      </w:r>
      <w:r>
        <w:rPr>
          <w:noProof/>
        </w:rPr>
        <w:t>gy or using the same fuel in each zone are bundled together into the same asset in a cluster model which simulates the dynamic constraints and starting costs in a relaxed (LP) unit commitment, without using binary variables. The gas system/market is modell</w:t>
      </w:r>
      <w:r>
        <w:rPr>
          <w:noProof/>
        </w:rPr>
        <w:t>ed on a daily time step. The main parameters and constraints describing the market/technological components concern: gas production, pipelines, storages, LNG (both regasification and liquefaction facilities), underground gas storages, gas demands. The main</w:t>
      </w:r>
      <w:r>
        <w:rPr>
          <w:noProof/>
        </w:rPr>
        <w:t xml:space="preserve"> input data are the same as the ones used for in the REKK models.</w:t>
      </w:r>
    </w:p>
    <w:p w:rsidR="00B60846" w:rsidRDefault="008069FF">
      <w:pPr>
        <w:rPr>
          <w:b/>
          <w:bCs/>
          <w:noProof/>
        </w:rPr>
      </w:pPr>
      <w:r>
        <w:rPr>
          <w:b/>
          <w:bCs/>
          <w:noProof/>
        </w:rPr>
        <w:t>Baseline cases</w:t>
      </w:r>
    </w:p>
    <w:p w:rsidR="00B60846" w:rsidRDefault="008069FF">
      <w:pPr>
        <w:rPr>
          <w:noProof/>
        </w:rPr>
      </w:pPr>
      <w:r>
        <w:rPr>
          <w:noProof/>
        </w:rPr>
        <w:t>The assessment aimed to answer three questions: What did the TEN-E Regulation has achieved until now?, targeting the benefits stemming from the PCIs already commissioned; What</w:t>
      </w:r>
      <w:r>
        <w:rPr>
          <w:noProof/>
        </w:rPr>
        <w:t xml:space="preserve"> did the TEN-E Regulation achieved overall?, covering therefore the PCI already completed and the ones from the fourth PCI list; and What are the benefits of the fourth PCI list? </w:t>
      </w:r>
    </w:p>
    <w:p w:rsidR="00B60846" w:rsidRDefault="008069FF">
      <w:pPr>
        <w:rPr>
          <w:noProof/>
        </w:rPr>
      </w:pPr>
      <w:r>
        <w:rPr>
          <w:noProof/>
        </w:rPr>
        <w:t>In line with these questions, the REKK and the JRC has developed two baselin</w:t>
      </w:r>
      <w:r>
        <w:rPr>
          <w:noProof/>
        </w:rPr>
        <w:t>es for year 2020 and 2030 from which they took out/added the relevant group of PCIs:</w:t>
      </w:r>
    </w:p>
    <w:p w:rsidR="00B60846" w:rsidRDefault="008069FF">
      <w:pPr>
        <w:rPr>
          <w:noProof/>
        </w:rPr>
      </w:pPr>
      <w:r>
        <w:rPr>
          <w:noProof/>
        </w:rPr>
        <w:t>The Baseline serves as the basis for comparison: this scenario shows what would have been the situation on the electricity markets of Europe without any PCI projects being</w:t>
      </w:r>
      <w:r>
        <w:rPr>
          <w:noProof/>
        </w:rPr>
        <w:t xml:space="preserve"> implemented. For 2020, the Baseline scenario includes the present situation without the PCI projects – thus, interconnector capacities are lower than as of today, capacities of the twelve already commissioned projects are deducted. Similarly, in 2030 the </w:t>
      </w:r>
      <w:r>
        <w:rPr>
          <w:noProof/>
        </w:rPr>
        <w:t>most likely future outcome is included, but same capacities are deducted, and none of the projects from the 4</w:t>
      </w:r>
      <w:r>
        <w:rPr>
          <w:noProof/>
          <w:vertAlign w:val="superscript"/>
        </w:rPr>
        <w:t>th</w:t>
      </w:r>
      <w:r>
        <w:rPr>
          <w:noProof/>
        </w:rPr>
        <w:t xml:space="preserve"> PCI list are assumed to be commissioned.</w:t>
      </w:r>
    </w:p>
    <w:p w:rsidR="00B60846" w:rsidRDefault="008069FF">
      <w:pPr>
        <w:rPr>
          <w:noProof/>
        </w:rPr>
      </w:pPr>
      <w:r>
        <w:rPr>
          <w:noProof/>
        </w:rPr>
        <w:t xml:space="preserve">In the TEN-E baseline, the possible effect of the already commissioned PCI projects is calculated. For </w:t>
      </w:r>
      <w:r>
        <w:rPr>
          <w:noProof/>
        </w:rPr>
        <w:t xml:space="preserve">2020, the present situation is used – meaning the difference between the Baseline and the TEN-E scenarios is exactly the commissioning of the existing PCIs. The same applies to 2030 –REKK and the JRC took the most likely future market situation, including </w:t>
      </w:r>
      <w:r>
        <w:rPr>
          <w:noProof/>
        </w:rPr>
        <w:t>the already commissioned PCIs, but did not include any project from the 4</w:t>
      </w:r>
      <w:r>
        <w:rPr>
          <w:noProof/>
          <w:vertAlign w:val="superscript"/>
        </w:rPr>
        <w:t>th</w:t>
      </w:r>
      <w:r>
        <w:rPr>
          <w:noProof/>
        </w:rPr>
        <w:t xml:space="preserve"> list.</w:t>
      </w:r>
    </w:p>
    <w:p w:rsidR="00B60846" w:rsidRDefault="008069FF">
      <w:pPr>
        <w:rPr>
          <w:noProof/>
        </w:rPr>
      </w:pPr>
      <w:r>
        <w:rPr>
          <w:noProof/>
        </w:rPr>
        <w:t>In the Future baseline, the effect of the commissioning of all projects from the 4</w:t>
      </w:r>
      <w:r>
        <w:rPr>
          <w:noProof/>
          <w:vertAlign w:val="superscript"/>
        </w:rPr>
        <w:t>th</w:t>
      </w:r>
      <w:r>
        <w:rPr>
          <w:noProof/>
        </w:rPr>
        <w:t xml:space="preserve"> list are modelled. This means, that the only relevant modelling year is 2030, as the first year of commissioning from these projects is assumed to be 2021. For building up the Future scenario in 2030 REKK and the JRC used the TEN-E scenario as a starting </w:t>
      </w:r>
      <w:r>
        <w:rPr>
          <w:noProof/>
        </w:rPr>
        <w:t>point, and then included all projects from the 4</w:t>
      </w:r>
      <w:r>
        <w:rPr>
          <w:noProof/>
          <w:vertAlign w:val="superscript"/>
        </w:rPr>
        <w:t>th</w:t>
      </w:r>
      <w:r>
        <w:rPr>
          <w:noProof/>
        </w:rPr>
        <w:t xml:space="preserve"> list to see how they would affect market outcomes in 2030. When results are compared to the TEN-E Scenario, then the effect of the PCIs from the 4</w:t>
      </w:r>
      <w:r>
        <w:rPr>
          <w:noProof/>
          <w:vertAlign w:val="superscript"/>
        </w:rPr>
        <w:t>th</w:t>
      </w:r>
      <w:r>
        <w:rPr>
          <w:noProof/>
        </w:rPr>
        <w:t xml:space="preserve"> list can be quantified. While comparing Future and Basel</w:t>
      </w:r>
      <w:r>
        <w:rPr>
          <w:noProof/>
        </w:rPr>
        <w:t>ine shows the effect of all – already commissioned and to be commissioned in the future.</w:t>
      </w:r>
    </w:p>
    <w:p w:rsidR="00B60846" w:rsidRDefault="008069FF">
      <w:pPr>
        <w:rPr>
          <w:noProof/>
        </w:rPr>
      </w:pPr>
      <w:r>
        <w:rPr>
          <w:noProof/>
        </w:rPr>
        <w:t xml:space="preserve"> </w:t>
      </w:r>
    </w:p>
    <w:p w:rsidR="00B60846" w:rsidRDefault="00B60846">
      <w:pPr>
        <w:pStyle w:val="ListParagraph"/>
        <w:rPr>
          <w:noProof/>
        </w:rPr>
        <w:sectPr w:rsidR="00B60846">
          <w:headerReference w:type="even" r:id="rId30"/>
          <w:headerReference w:type="default" r:id="rId31"/>
          <w:footerReference w:type="even" r:id="rId32"/>
          <w:footerReference w:type="default" r:id="rId33"/>
          <w:headerReference w:type="first" r:id="rId34"/>
          <w:footerReference w:type="first" r:id="rId35"/>
          <w:pgSz w:w="11906" w:h="16838"/>
          <w:pgMar w:top="1020" w:right="1701" w:bottom="1020" w:left="1587" w:header="601" w:footer="1077" w:gutter="0"/>
          <w:cols w:space="720"/>
          <w:titlePg/>
        </w:sectPr>
      </w:pPr>
    </w:p>
    <w:p w:rsidR="00B60846" w:rsidRDefault="008069FF">
      <w:pPr>
        <w:pStyle w:val="Heading1"/>
        <w:numPr>
          <w:ilvl w:val="0"/>
          <w:numId w:val="0"/>
        </w:numPr>
        <w:ind w:left="432" w:hanging="432"/>
        <w:rPr>
          <w:noProof/>
        </w:rPr>
      </w:pPr>
      <w:bookmarkStart w:id="1335" w:name="_Toc51879098"/>
      <w:bookmarkStart w:id="1336" w:name="_Toc55496485"/>
      <w:r>
        <w:rPr>
          <w:noProof/>
        </w:rPr>
        <w:t>Annex 5: Evaluation report</w:t>
      </w:r>
      <w:bookmarkEnd w:id="1335"/>
      <w:bookmarkEnd w:id="1336"/>
    </w:p>
    <w:p w:rsidR="00B60846" w:rsidRDefault="008069FF">
      <w:pPr>
        <w:rPr>
          <w:noProof/>
        </w:rPr>
      </w:pPr>
      <w:r>
        <w:rPr>
          <w:noProof/>
        </w:rPr>
        <w:t>Since its establishment in 2013, the Regulation on trans-European energ</w:t>
      </w:r>
      <w:r>
        <w:rPr>
          <w:noProof/>
        </w:rPr>
        <w:t>y networks laid down rules for the timely development and implementation of key energy infrastructure projects that interconnect Member States, whilst contributing to market integration, security of supply, competitiveness and further integration of renewa</w:t>
      </w:r>
      <w:r>
        <w:rPr>
          <w:noProof/>
        </w:rPr>
        <w:t>bles.</w:t>
      </w:r>
    </w:p>
    <w:p w:rsidR="00B60846" w:rsidRDefault="008069FF">
      <w:pPr>
        <w:rPr>
          <w:noProof/>
        </w:rPr>
      </w:pPr>
      <w:r>
        <w:rPr>
          <w:noProof/>
        </w:rPr>
        <w:t>In March 2019, as part of the partial political agreement between the European Parliament and the Council on the Connecting Europe Facility for the period 2021-2027, the co-legislators agreed on the need to evaluate the effectiveness and policy coher</w:t>
      </w:r>
      <w:r>
        <w:rPr>
          <w:noProof/>
        </w:rPr>
        <w:t>ence of the Regulation 347/2013 on the guidelines for trans-European energy infrastructure (TEN-E Regulation) by 31 December 2020</w:t>
      </w:r>
      <w:r>
        <w:rPr>
          <w:noProof/>
          <w:vertAlign w:val="superscript"/>
        </w:rPr>
        <w:footnoteReference w:id="150"/>
      </w:r>
      <w:r>
        <w:rPr>
          <w:noProof/>
        </w:rPr>
        <w:t>. In December 2019 the European Commission published the European Green Deal with an aim to include the climate neutrality obj</w:t>
      </w:r>
      <w:r>
        <w:rPr>
          <w:noProof/>
        </w:rPr>
        <w:t xml:space="preserve">ective in 2050 into the proposed European Climate Law. The communication of the European Commission (COM(2019) 640)1 (the European Green Deal) explicitly refers to the need for a review of the TEN-E Regulation to ensure consistency with climate neutrality </w:t>
      </w:r>
      <w:r>
        <w:rPr>
          <w:noProof/>
        </w:rPr>
        <w:t>objectives.</w:t>
      </w:r>
    </w:p>
    <w:p w:rsidR="00B60846" w:rsidRDefault="008069FF">
      <w:pPr>
        <w:rPr>
          <w:noProof/>
        </w:rPr>
      </w:pPr>
      <w:r>
        <w:rPr>
          <w:noProof/>
        </w:rPr>
        <w:t>In view of the timeline for the evaluation and revision of the TEN-E Regulation, the Commission opted for a “back-to-back evaluation and impact assessment”. The evaluation of the TEN-E Regulation was carried out between January 2019 and Septemb</w:t>
      </w:r>
      <w:r>
        <w:rPr>
          <w:noProof/>
        </w:rPr>
        <w:t>er 2020. The evaluation was supported by a study “Support to the evaluation of Regulation (EU) No 347/2013 on guidelines for trans-European energy infrastructure” commissioned to an external contractor which helped gather, quantify and assess evidence draw</w:t>
      </w:r>
      <w:r>
        <w:rPr>
          <w:noProof/>
        </w:rPr>
        <w:t>n from a range of sources on the performance of the TEN-E instrument to date. The evaluation assessed in a retrospective manner the extent to which the TEN-E Regulation has performed so far in achieving its stated objectives, identifying factors that helpe</w:t>
      </w:r>
      <w:r>
        <w:rPr>
          <w:noProof/>
        </w:rPr>
        <w:t xml:space="preserve">d or hindered their achievement. Specifically, it assessed the effectiveness of the Regulation compared to a baseline (i.e. the situation without the Regulation), to appraise whether or not it has had a significant impact and added value. </w:t>
      </w:r>
    </w:p>
    <w:p w:rsidR="00B60846" w:rsidRDefault="008069FF">
      <w:pPr>
        <w:rPr>
          <w:noProof/>
        </w:rPr>
      </w:pPr>
      <w:r>
        <w:rPr>
          <w:noProof/>
        </w:rPr>
        <w:t>In short, the ev</w:t>
      </w:r>
      <w:r>
        <w:rPr>
          <w:noProof/>
        </w:rPr>
        <w:t>aluation looked at:</w:t>
      </w:r>
    </w:p>
    <w:p w:rsidR="00B60846" w:rsidRDefault="008069FF">
      <w:pPr>
        <w:spacing w:after="0"/>
        <w:ind w:left="482"/>
        <w:rPr>
          <w:noProof/>
        </w:rPr>
      </w:pPr>
      <w:r>
        <w:rPr>
          <w:noProof/>
        </w:rPr>
        <w:t>• How and why the current TEN-E Regulation has worked well or not so well, and which factors have helped or hampered the achievement of its objectives;</w:t>
      </w:r>
    </w:p>
    <w:p w:rsidR="00B60846" w:rsidRDefault="008069FF">
      <w:pPr>
        <w:ind w:left="482"/>
        <w:rPr>
          <w:noProof/>
        </w:rPr>
      </w:pPr>
      <w:r>
        <w:rPr>
          <w:noProof/>
        </w:rPr>
        <w:t xml:space="preserve">• The impact of the Regulation, particularly in terms of progress towards achieving </w:t>
      </w:r>
      <w:r>
        <w:rPr>
          <w:noProof/>
        </w:rPr>
        <w:t>its objectives.</w:t>
      </w:r>
    </w:p>
    <w:p w:rsidR="00B60846" w:rsidRDefault="008069FF">
      <w:pPr>
        <w:rPr>
          <w:noProof/>
        </w:rPr>
      </w:pPr>
      <w:r>
        <w:rPr>
          <w:noProof/>
        </w:rPr>
        <w:t>The “back to back” approach ensured that formative element are drawn from the outcomes of the evaluation to conclude on the extent to which the Regulation will remain fit-for-purpose and relevant in the future in view of the adopted or plan</w:t>
      </w:r>
      <w:r>
        <w:rPr>
          <w:noProof/>
        </w:rPr>
        <w:t>ned policy initiatives (the climate target plan, the revision of the Energy Efficiency Directive, the Renewable Energy Directive, and the gas package) which will accelerate the mid- and long-term decarbonisation. The forward-looking elements will looked in</w:t>
      </w:r>
      <w:r>
        <w:rPr>
          <w:noProof/>
        </w:rPr>
        <w:t xml:space="preserve">to how to ensure that enabling energy infrastructure is in place to match the increased decarbonisation and renewable energy deployment ambitions and indicate areas of intervention.   </w:t>
      </w:r>
    </w:p>
    <w:p w:rsidR="00B60846" w:rsidRDefault="008069FF">
      <w:pPr>
        <w:rPr>
          <w:noProof/>
        </w:rPr>
      </w:pPr>
      <w:r>
        <w:rPr>
          <w:noProof/>
        </w:rPr>
        <w:t>In line with the scope and applicability of the TEN-E Regulation, the evaluation covers all Member States. In terms of legal acts covered as part of the evaluation, it does not specifically cover the European Union's funding through the Connecting Europe F</w:t>
      </w:r>
      <w:r>
        <w:rPr>
          <w:noProof/>
        </w:rPr>
        <w:t xml:space="preserve">acility (CEF) although the evaluation questions seek to identify synergies and complementarities with CEF. Due to its timing but also its wider scope, the evaluation does not fully assess the coherence with the sustainable finance framework (taxonomy) but </w:t>
      </w:r>
      <w:r>
        <w:rPr>
          <w:noProof/>
        </w:rPr>
        <w:t xml:space="preserve">rather indicate increasing incoherence with the current TEN-E Regulation and CEF financial assistance. The work on two Delegated Acts is currently ongoing with a view to establish by end of 2020 a list of environmentally sustainable economic activities on </w:t>
      </w:r>
      <w:r>
        <w:rPr>
          <w:noProof/>
        </w:rPr>
        <w:t>the basis of technical screening criteria for climate change mitigation and adaptation. Contrary to the scope of the TEN-E regulation which established a method for multi-criteria project selection, the taxonomy Regulation classifies and qualifies economic</w:t>
      </w:r>
      <w:r>
        <w:rPr>
          <w:noProof/>
        </w:rPr>
        <w:t xml:space="preserve"> activities as environmentally sustainable for the purposes of establishing whether or not associated investments are environmentally sustainable. </w:t>
      </w:r>
    </w:p>
    <w:p w:rsidR="00B60846" w:rsidRDefault="008069FF">
      <w:pPr>
        <w:rPr>
          <w:noProof/>
        </w:rPr>
      </w:pPr>
      <w:r>
        <w:rPr>
          <w:noProof/>
        </w:rPr>
        <w:t>Five core evaluation criteria were applied to evaluate the performance of the TEN-E Regulation: effectivenes</w:t>
      </w:r>
      <w:r>
        <w:rPr>
          <w:noProof/>
        </w:rPr>
        <w:t xml:space="preserve">s, efficiency, relevance, coherence, and EU added value. Section 4 further describes the method for the evaluation, including the rationale and questions underpinning each of the criteria. </w:t>
      </w:r>
    </w:p>
    <w:p w:rsidR="00B60846" w:rsidRDefault="008069FF">
      <w:pPr>
        <w:pStyle w:val="Heading1"/>
        <w:numPr>
          <w:ilvl w:val="0"/>
          <w:numId w:val="55"/>
        </w:numPr>
        <w:rPr>
          <w:noProof/>
        </w:rPr>
      </w:pPr>
      <w:bookmarkStart w:id="1337" w:name="_Toc55296675"/>
      <w:bookmarkStart w:id="1338" w:name="_Toc55496486"/>
      <w:r>
        <w:rPr>
          <w:noProof/>
        </w:rPr>
        <w:t>Background to the intervention</w:t>
      </w:r>
      <w:bookmarkEnd w:id="1337"/>
      <w:bookmarkEnd w:id="1338"/>
      <w:r>
        <w:rPr>
          <w:noProof/>
        </w:rPr>
        <w:t xml:space="preserve"> </w:t>
      </w:r>
    </w:p>
    <w:p w:rsidR="00B60846" w:rsidRDefault="008069FF">
      <w:pPr>
        <w:rPr>
          <w:noProof/>
        </w:rPr>
      </w:pPr>
      <w:r>
        <w:rPr>
          <w:noProof/>
        </w:rPr>
        <w:t>Energy infrastructure is crucial f</w:t>
      </w:r>
      <w:r>
        <w:rPr>
          <w:noProof/>
        </w:rPr>
        <w:t>or reaching wider EU energy and climate goals, whilst ensuring access to safe, reliable, affordable and sustainable energy for all Europeans.</w:t>
      </w:r>
      <w:r>
        <w:rPr>
          <w:i/>
          <w:iCs/>
          <w:noProof/>
          <w:lang w:val="en-US"/>
        </w:rPr>
        <w:t xml:space="preserve"> </w:t>
      </w:r>
      <w:r>
        <w:rPr>
          <w:noProof/>
        </w:rPr>
        <w:t xml:space="preserve"> The TEN-E Regulation is part of a larger regulatory framework adopted to tackle a number of barriers to the imple</w:t>
      </w:r>
      <w:r>
        <w:rPr>
          <w:noProof/>
        </w:rPr>
        <w:t xml:space="preserve">mentation of European energy infrastructure and integrated energy networks. In line with the energy policy objectives of the Treaty on the Functioning of the European Union (TFEU), the TEN-E Regulation aims to ensure the functioning of the internal energy </w:t>
      </w:r>
      <w:r>
        <w:rPr>
          <w:noProof/>
        </w:rPr>
        <w:t xml:space="preserve">market and security of supply in the Union, promote energy efficiency and energy savings and support the development of new and renewable forms of energy the interconnecting energy networks. </w:t>
      </w:r>
    </w:p>
    <w:p w:rsidR="00B60846" w:rsidRDefault="008069FF">
      <w:pPr>
        <w:spacing w:after="0"/>
        <w:rPr>
          <w:noProof/>
        </w:rPr>
      </w:pPr>
      <w:r>
        <w:rPr>
          <w:noProof/>
        </w:rPr>
        <w:t>The TEN-E Regulation is based on Article 172 of the Treaty on th</w:t>
      </w:r>
      <w:r>
        <w:rPr>
          <w:noProof/>
        </w:rPr>
        <w:t>e Functioning of the European Union. According to Article 171(1), “the Union shall establish a series of guidelines covering the objectives, priorities and broad lines of measures envisaged in the sphere of trans-European networks; these guidelines shall i</w:t>
      </w:r>
      <w:r>
        <w:rPr>
          <w:noProof/>
        </w:rPr>
        <w:t xml:space="preserve">dentify projects of common interest”. The goals of the Regulation are the following: </w:t>
      </w:r>
    </w:p>
    <w:p w:rsidR="00B60846" w:rsidRDefault="008069FF">
      <w:pPr>
        <w:numPr>
          <w:ilvl w:val="0"/>
          <w:numId w:val="40"/>
        </w:numPr>
        <w:contextualSpacing/>
        <w:rPr>
          <w:noProof/>
        </w:rPr>
      </w:pPr>
      <w:r>
        <w:rPr>
          <w:noProof/>
        </w:rPr>
        <w:t>To ensure the functioning of the internal energy market and security of supply in the Union;</w:t>
      </w:r>
    </w:p>
    <w:p w:rsidR="00B60846" w:rsidRDefault="008069FF">
      <w:pPr>
        <w:numPr>
          <w:ilvl w:val="0"/>
          <w:numId w:val="40"/>
        </w:numPr>
        <w:contextualSpacing/>
        <w:rPr>
          <w:noProof/>
        </w:rPr>
      </w:pPr>
      <w:r>
        <w:rPr>
          <w:noProof/>
        </w:rPr>
        <w:t>To promote the development of new and renewable forms of energy, energy effic</w:t>
      </w:r>
      <w:r>
        <w:rPr>
          <w:noProof/>
        </w:rPr>
        <w:t>iency, and energy savings; and</w:t>
      </w:r>
    </w:p>
    <w:p w:rsidR="00B60846" w:rsidRDefault="008069FF">
      <w:pPr>
        <w:numPr>
          <w:ilvl w:val="0"/>
          <w:numId w:val="40"/>
        </w:numPr>
        <w:contextualSpacing/>
        <w:rPr>
          <w:noProof/>
        </w:rPr>
      </w:pPr>
      <w:r>
        <w:rPr>
          <w:noProof/>
        </w:rPr>
        <w:t>To promote the interconnection of energy networks.</w:t>
      </w:r>
    </w:p>
    <w:p w:rsidR="00B60846" w:rsidRDefault="008069FF">
      <w:pPr>
        <w:rPr>
          <w:noProof/>
        </w:rPr>
      </w:pPr>
      <w:r>
        <w:rPr>
          <w:noProof/>
        </w:rPr>
        <w:t>To achieve these objectives, the TEN-E defines infrastructure priority corridors and priority thematic areas, lays down criteria for the identification of key energy infrastr</w:t>
      </w:r>
      <w:r>
        <w:rPr>
          <w:noProof/>
        </w:rPr>
        <w:t>ucture projects and builds on regional cooperation to identify and select necessary PCIs in Union-wide lists. The TEN-E Regulation sets out guidelines for streamlining the permitting processes for PCIs as well as increases cooperation and transparency towa</w:t>
      </w:r>
      <w:r>
        <w:rPr>
          <w:noProof/>
        </w:rPr>
        <w:t xml:space="preserve">rds the public and wider stakeholder community. Aside from accelerated permitting, PCIs benefit from improved regulatory conditions, cost-allocation and eligibility for financial support from the Connecting Europe Facility (CEF).        </w:t>
      </w:r>
    </w:p>
    <w:p w:rsidR="00B60846" w:rsidRDefault="008069FF">
      <w:pPr>
        <w:rPr>
          <w:noProof/>
        </w:rPr>
      </w:pPr>
      <w:r>
        <w:rPr>
          <w:noProof/>
        </w:rPr>
        <w:t>The intervention l</w:t>
      </w:r>
      <w:r>
        <w:rPr>
          <w:noProof/>
        </w:rPr>
        <w:t xml:space="preserve">ogic, presented in Figure 1, links the objectives of the TEN-E Regulation and input/actions to its outputs, results and impacts. It also visualizes some of the relevant external factors to this regulation. </w:t>
      </w:r>
    </w:p>
    <w:p w:rsidR="00B60846" w:rsidRDefault="008069FF">
      <w:pPr>
        <w:rPr>
          <w:b/>
          <w:noProof/>
        </w:rPr>
      </w:pPr>
      <w:r>
        <w:rPr>
          <w:b/>
          <w:noProof/>
        </w:rPr>
        <w:t>Figure 1: Intervention logic of current TEN-E fra</w:t>
      </w:r>
      <w:r>
        <w:rPr>
          <w:b/>
          <w:noProof/>
        </w:rPr>
        <w:t>mework</w:t>
      </w:r>
    </w:p>
    <w:p w:rsidR="00B60846" w:rsidRDefault="008069FF">
      <w:pPr>
        <w:rPr>
          <w:noProof/>
        </w:rPr>
      </w:pPr>
      <w:r>
        <w:rPr>
          <w:noProof/>
          <w:lang w:eastAsia="en-GB"/>
        </w:rPr>
        <w:drawing>
          <wp:inline distT="0" distB="0" distL="0" distR="0">
            <wp:extent cx="5731510" cy="3312160"/>
            <wp:effectExtent l="0" t="0" r="2540" b="2540"/>
            <wp:docPr id="15" name="Picture 162189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8992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312160"/>
                    </a:xfrm>
                    <a:prstGeom prst="rect">
                      <a:avLst/>
                    </a:prstGeom>
                  </pic:spPr>
                </pic:pic>
              </a:graphicData>
            </a:graphic>
          </wp:inline>
        </w:drawing>
      </w:r>
    </w:p>
    <w:p w:rsidR="00B60846" w:rsidRDefault="00B60846">
      <w:pPr>
        <w:rPr>
          <w:noProof/>
        </w:rPr>
      </w:pPr>
    </w:p>
    <w:p w:rsidR="00B60846" w:rsidRDefault="008069FF">
      <w:pPr>
        <w:rPr>
          <w:noProof/>
        </w:rPr>
      </w:pPr>
      <w:r>
        <w:rPr>
          <w:noProof/>
        </w:rPr>
        <w:t xml:space="preserve">The Regulation lays down rules for the timely development and interoperability of Trans-European Energy networks, by providing the following inputs: </w:t>
      </w:r>
    </w:p>
    <w:p w:rsidR="00B60846" w:rsidRDefault="008069FF">
      <w:pPr>
        <w:numPr>
          <w:ilvl w:val="0"/>
          <w:numId w:val="42"/>
        </w:numPr>
        <w:rPr>
          <w:noProof/>
        </w:rPr>
      </w:pPr>
      <w:r>
        <w:rPr>
          <w:noProof/>
        </w:rPr>
        <w:t>The identification of PCIs necessary to implement priority corridors and areas falling under the</w:t>
      </w:r>
      <w:r>
        <w:rPr>
          <w:noProof/>
        </w:rPr>
        <w:t xml:space="preserve"> energy infrastructure categories in electricity, gas, oil, smart grid and CO</w:t>
      </w:r>
      <w:r>
        <w:rPr>
          <w:noProof/>
          <w:vertAlign w:val="subscript"/>
        </w:rPr>
        <w:t>2</w:t>
      </w:r>
      <w:r>
        <w:rPr>
          <w:noProof/>
        </w:rPr>
        <w:t xml:space="preserve"> (Chapter II of the Regulation). Specifically, the Regulation: sets out the criteria which PCIs should meet, ensures the adoption every two years by the Commission of a Union lis</w:t>
      </w:r>
      <w:r>
        <w:rPr>
          <w:noProof/>
        </w:rPr>
        <w:t xml:space="preserve">t of the proposed PCIs and ensures that a plan is in place to implement the PCI as well as procedures to monitor progress of the project. </w:t>
      </w:r>
    </w:p>
    <w:p w:rsidR="00B60846" w:rsidRDefault="008069FF">
      <w:pPr>
        <w:numPr>
          <w:ilvl w:val="0"/>
          <w:numId w:val="42"/>
        </w:numPr>
        <w:rPr>
          <w:noProof/>
        </w:rPr>
      </w:pPr>
      <w:r>
        <w:rPr>
          <w:noProof/>
        </w:rPr>
        <w:t>Provisions to facilitate the timely implementation of PCIs by streamlining, closely coordinating, accelerating permit</w:t>
      </w:r>
      <w:r>
        <w:rPr>
          <w:noProof/>
        </w:rPr>
        <w:t xml:space="preserve"> granting processes, and enhancing public participation (Chapter III). The Regulation  assigns the highest national priority status to the PCIs and requires that they are included in national network development plans, requires Member States to designate a</w:t>
      </w:r>
      <w:r>
        <w:rPr>
          <w:noProof/>
        </w:rPr>
        <w:t xml:space="preserve"> national competent authority responsible for facilitating and coordinating the permit granting process for PCIs, requires that the competent authority publishes a manual of procedures for the permit granting process applicable to PCIs, requires the projec</w:t>
      </w:r>
      <w:r>
        <w:rPr>
          <w:noProof/>
        </w:rPr>
        <w:t xml:space="preserve">t promoter to draw up and submit a concept for public participation to the competent authority, and ensure the necessary public consultation is conducted; and sets out a maximum time-limit of 3.5 years for the pre-application and permit-granting procedure </w:t>
      </w:r>
      <w:r>
        <w:rPr>
          <w:noProof/>
        </w:rPr>
        <w:t>combined.</w:t>
      </w:r>
    </w:p>
    <w:p w:rsidR="00B60846" w:rsidRDefault="008069FF">
      <w:pPr>
        <w:numPr>
          <w:ilvl w:val="0"/>
          <w:numId w:val="42"/>
        </w:numPr>
        <w:rPr>
          <w:noProof/>
        </w:rPr>
      </w:pPr>
      <w:r>
        <w:rPr>
          <w:noProof/>
        </w:rPr>
        <w:t>Providing rules and guidance for the cross-border allocation of costs and risk related incentives for PCIs. The Regulation  requires member States and National Regulatory Authorities to set up incentives to address PCIs’ risks; establishes the us</w:t>
      </w:r>
      <w:r>
        <w:rPr>
          <w:noProof/>
        </w:rPr>
        <w:t>e of cost-benefit methodologies for PCIs for an energy system-wide analysis, in line with the principles laid out in Annex V of the Regulation and consistent with the rules and indicators set out in Annex IV; and ensures that PCIs benefit from cross-border</w:t>
      </w:r>
      <w:r>
        <w:rPr>
          <w:noProof/>
        </w:rPr>
        <w:t xml:space="preserve"> cost allocation (CBCA) decisions, which assist the sharing of project costs among countries in line with their expected benefits. </w:t>
      </w:r>
    </w:p>
    <w:p w:rsidR="00B60846" w:rsidRDefault="008069FF">
      <w:pPr>
        <w:rPr>
          <w:noProof/>
        </w:rPr>
      </w:pPr>
      <w:r>
        <w:rPr>
          <w:noProof/>
        </w:rPr>
        <w:t xml:space="preserve">The outputs of the Regulation are, therefore, closely linked to each set of activities described above: </w:t>
      </w:r>
    </w:p>
    <w:p w:rsidR="00B60846" w:rsidRDefault="008069FF">
      <w:pPr>
        <w:numPr>
          <w:ilvl w:val="0"/>
          <w:numId w:val="43"/>
        </w:numPr>
        <w:spacing w:after="120"/>
        <w:ind w:left="714" w:hanging="357"/>
        <w:rPr>
          <w:noProof/>
        </w:rPr>
      </w:pPr>
      <w:r>
        <w:rPr>
          <w:noProof/>
        </w:rPr>
        <w:t>establishment of re</w:t>
      </w:r>
      <w:r>
        <w:rPr>
          <w:noProof/>
        </w:rPr>
        <w:t>levant cross-border projects within priority corridors and areas and energy infrastructure categories;</w:t>
      </w:r>
    </w:p>
    <w:p w:rsidR="00B60846" w:rsidRDefault="008069FF">
      <w:pPr>
        <w:numPr>
          <w:ilvl w:val="0"/>
          <w:numId w:val="43"/>
        </w:numPr>
        <w:spacing w:after="120"/>
        <w:ind w:left="714" w:hanging="357"/>
        <w:rPr>
          <w:noProof/>
        </w:rPr>
      </w:pPr>
      <w:r>
        <w:rPr>
          <w:noProof/>
        </w:rPr>
        <w:t>a framework to promote efficient and transparent national permit granting procedures;</w:t>
      </w:r>
    </w:p>
    <w:p w:rsidR="00B60846" w:rsidRDefault="008069FF">
      <w:pPr>
        <w:numPr>
          <w:ilvl w:val="0"/>
          <w:numId w:val="43"/>
        </w:numPr>
        <w:spacing w:after="120"/>
        <w:ind w:left="714" w:hanging="357"/>
        <w:rPr>
          <w:noProof/>
        </w:rPr>
      </w:pPr>
      <w:r>
        <w:rPr>
          <w:noProof/>
        </w:rPr>
        <w:t>appropriate regulatory incentives for PCIs and long-term signals to</w:t>
      </w:r>
      <w:r>
        <w:rPr>
          <w:noProof/>
        </w:rPr>
        <w:t xml:space="preserve"> meet EU priorities;</w:t>
      </w:r>
    </w:p>
    <w:p w:rsidR="00B60846" w:rsidRDefault="008069FF">
      <w:pPr>
        <w:numPr>
          <w:ilvl w:val="0"/>
          <w:numId w:val="43"/>
        </w:numPr>
        <w:spacing w:after="120"/>
        <w:ind w:left="714" w:hanging="357"/>
        <w:rPr>
          <w:noProof/>
        </w:rPr>
      </w:pPr>
      <w:r>
        <w:rPr>
          <w:noProof/>
        </w:rPr>
        <w:t xml:space="preserve">involvement of stakeholders in identification and monitoring of PCIs. </w:t>
      </w:r>
    </w:p>
    <w:p w:rsidR="00B60846" w:rsidRDefault="008069FF">
      <w:pPr>
        <w:rPr>
          <w:noProof/>
        </w:rPr>
      </w:pPr>
      <w:r>
        <w:rPr>
          <w:noProof/>
        </w:rPr>
        <w:t xml:space="preserve">The overall outcome is the timely construction of PCIs, which interconnect the energy markets across Europe. More specifically: </w:t>
      </w:r>
    </w:p>
    <w:p w:rsidR="00B60846" w:rsidRDefault="008069FF">
      <w:pPr>
        <w:numPr>
          <w:ilvl w:val="0"/>
          <w:numId w:val="44"/>
        </w:numPr>
        <w:spacing w:after="120"/>
        <w:ind w:left="714" w:hanging="357"/>
        <w:rPr>
          <w:noProof/>
        </w:rPr>
      </w:pPr>
      <w:r>
        <w:rPr>
          <w:noProof/>
        </w:rPr>
        <w:t xml:space="preserve">PCIs receive permits more rapidly ensuring they are timely implemented; </w:t>
      </w:r>
    </w:p>
    <w:p w:rsidR="00B60846" w:rsidRDefault="008069FF">
      <w:pPr>
        <w:numPr>
          <w:ilvl w:val="0"/>
          <w:numId w:val="44"/>
        </w:numPr>
        <w:spacing w:after="120"/>
        <w:ind w:left="714" w:hanging="357"/>
        <w:rPr>
          <w:noProof/>
        </w:rPr>
      </w:pPr>
      <w:r>
        <w:rPr>
          <w:noProof/>
        </w:rPr>
        <w:t xml:space="preserve">PCIs status reduces administrative costs for the project promoters; </w:t>
      </w:r>
    </w:p>
    <w:p w:rsidR="00B60846" w:rsidRDefault="008069FF">
      <w:pPr>
        <w:numPr>
          <w:ilvl w:val="0"/>
          <w:numId w:val="44"/>
        </w:numPr>
        <w:spacing w:after="120"/>
        <w:ind w:left="714" w:hanging="357"/>
        <w:rPr>
          <w:noProof/>
        </w:rPr>
      </w:pPr>
      <w:r>
        <w:rPr>
          <w:noProof/>
        </w:rPr>
        <w:t xml:space="preserve">There is an increase in electricity and gas interconnection (capacity and use); </w:t>
      </w:r>
    </w:p>
    <w:p w:rsidR="00B60846" w:rsidRDefault="008069FF">
      <w:pPr>
        <w:numPr>
          <w:ilvl w:val="0"/>
          <w:numId w:val="44"/>
        </w:numPr>
        <w:spacing w:after="120"/>
        <w:ind w:left="714" w:hanging="357"/>
        <w:rPr>
          <w:noProof/>
        </w:rPr>
      </w:pPr>
      <w:r>
        <w:rPr>
          <w:noProof/>
        </w:rPr>
        <w:t>There is an increased public part</w:t>
      </w:r>
      <w:r>
        <w:rPr>
          <w:noProof/>
        </w:rPr>
        <w:t xml:space="preserve">icipation; </w:t>
      </w:r>
    </w:p>
    <w:p w:rsidR="00B60846" w:rsidRDefault="008069FF">
      <w:pPr>
        <w:numPr>
          <w:ilvl w:val="0"/>
          <w:numId w:val="44"/>
        </w:numPr>
        <w:spacing w:after="120"/>
        <w:ind w:left="714" w:hanging="357"/>
        <w:rPr>
          <w:noProof/>
        </w:rPr>
      </w:pPr>
      <w:r>
        <w:rPr>
          <w:noProof/>
        </w:rPr>
        <w:t xml:space="preserve">PCIs receive specific incentives; and </w:t>
      </w:r>
    </w:p>
    <w:p w:rsidR="00B60846" w:rsidRDefault="008069FF">
      <w:pPr>
        <w:numPr>
          <w:ilvl w:val="0"/>
          <w:numId w:val="44"/>
        </w:numPr>
        <w:spacing w:after="120"/>
        <w:ind w:left="714" w:hanging="357"/>
        <w:rPr>
          <w:noProof/>
        </w:rPr>
      </w:pPr>
      <w:r>
        <w:rPr>
          <w:noProof/>
        </w:rPr>
        <w:t xml:space="preserve">PCIs could receive a cross-border cost allocation decision. </w:t>
      </w:r>
    </w:p>
    <w:p w:rsidR="00B60846" w:rsidRDefault="008069FF">
      <w:pPr>
        <w:rPr>
          <w:noProof/>
        </w:rPr>
      </w:pPr>
      <w:r>
        <w:rPr>
          <w:noProof/>
        </w:rPr>
        <w:t>As section 3 will further detail, the TEN-E Regulation has been effective in accelerating the refurbishment of the existing energy grid and in d</w:t>
      </w:r>
      <w:r>
        <w:rPr>
          <w:noProof/>
        </w:rPr>
        <w:t>eploying new projects to achieve the Union’s energy and climate policy objectives. Thanks to a process for identification of infrastructure needs and selection of projects, the TEN-E Regulation has shifted the focus from national priorities to a regional a</w:t>
      </w:r>
      <w:r>
        <w:rPr>
          <w:noProof/>
        </w:rPr>
        <w:t>nd cross-border approach thus ensuring that infrastructure is built where it is most needed. TEN-E introduced regulatory tools to speed up implementation by incentivising investments by addressing existing asymmetries between the costs and benefits of proj</w:t>
      </w:r>
      <w:r>
        <w:rPr>
          <w:noProof/>
        </w:rPr>
        <w:t>ects and by providing targeted support to selected projects as last-resort. Under the TEN-E Regulation, four Union lists of Projects of Common Interest formally adopted in 12 Regional Groups were established, allowing for the implementation of 40 PCIs to d</w:t>
      </w:r>
      <w:r>
        <w:rPr>
          <w:noProof/>
        </w:rPr>
        <w:t>ate with 75 more expected to be implemented by 2022. The TEN-E Regulation ensured that projects with the greatest contribution towards set criteria would benefit from the utmost cooperation and transparency between key stakeholders on the ground.</w:t>
      </w:r>
    </w:p>
    <w:p w:rsidR="00B60846" w:rsidRDefault="008069FF">
      <w:pPr>
        <w:rPr>
          <w:noProof/>
        </w:rPr>
      </w:pPr>
      <w:r>
        <w:rPr>
          <w:noProof/>
        </w:rPr>
        <w:t>The adopt</w:t>
      </w:r>
      <w:r>
        <w:rPr>
          <w:noProof/>
        </w:rPr>
        <w:t>ion of the Green Deal and its climate-neutrality target has triggered a paradigm shift in Union energy and climate objectives. Together with a number of adjacent priorities that support Union’s increased climate ambitions (identified in the intervention lo</w:t>
      </w:r>
      <w:r>
        <w:rPr>
          <w:noProof/>
        </w:rPr>
        <w:t>gic), the Green Deal became of one the main drivers the evaluation and revision of the TEN-E Regulation in view of its inconsistencies with the climate neutrality objective mostly due to the priorities at the time of its enactment. The evaluation showed th</w:t>
      </w:r>
      <w:r>
        <w:rPr>
          <w:noProof/>
        </w:rPr>
        <w:t>at the inconsistencies of the TEN-E Regulation with the Green Deal are twofold: on one hand, the scope of the energy infrastructure categories, criteria and the governance of the selection process is not aligned with the Green Deal objectives and latest de</w:t>
      </w:r>
      <w:r>
        <w:rPr>
          <w:noProof/>
        </w:rPr>
        <w:t>velopments in innovation and technologies. On the other, delays in the implementation of PCIs are still observed, triggering as such the non-delivery of their intended benefits.</w:t>
      </w:r>
    </w:p>
    <w:p w:rsidR="00B60846" w:rsidRDefault="008069FF">
      <w:pPr>
        <w:rPr>
          <w:noProof/>
        </w:rPr>
      </w:pPr>
      <w:r>
        <w:rPr>
          <w:noProof/>
        </w:rPr>
        <w:t>The methodology for evaluating the performance of the TEN-E Regulation has bee</w:t>
      </w:r>
      <w:r>
        <w:rPr>
          <w:noProof/>
        </w:rPr>
        <w:t>n developed to fit the intervention logic. As further detailed in section 4 on Method, an evaluation matrix comprising of a set of evaluation questions and sub-questions per each evaluation criteria was used to guide the evaluation process and define the m</w:t>
      </w:r>
      <w:r>
        <w:rPr>
          <w:noProof/>
        </w:rPr>
        <w:t xml:space="preserve">anner in which questions will be answered and presented. </w:t>
      </w:r>
    </w:p>
    <w:p w:rsidR="00B60846" w:rsidRDefault="008069FF">
      <w:pPr>
        <w:rPr>
          <w:noProof/>
        </w:rPr>
      </w:pPr>
      <w:r>
        <w:rPr>
          <w:noProof/>
        </w:rPr>
        <w:t xml:space="preserve">The evaluation baseline captures the point of comparison for the evaluation, i.e. had the 2013 TEN-E Regulation not been introduced (a business-as-usual scenario). The baseline has been used in the </w:t>
      </w:r>
      <w:r>
        <w:rPr>
          <w:noProof/>
        </w:rPr>
        <w:t>assessment of the replies to the evaluation questions (primarily on effectiveness and efficiency), and in the modelling, which further informs the assessment. The baseline for this evaluation is largely based on the baseline scenario in the 2011 Impact Ass</w:t>
      </w:r>
      <w:r>
        <w:rPr>
          <w:noProof/>
        </w:rPr>
        <w:t>essment of the TEN-E regulation. The baseline consists of four components: 1. permit granting procedures in Member States; 2. financing; 3. administrative cost estimates; and 4. infrastructure assessment. The baseline from the 2011 Impact Assessment was us</w:t>
      </w:r>
      <w:r>
        <w:rPr>
          <w:noProof/>
        </w:rPr>
        <w:t>ed for the analysis of the permit granting procedures in Member States, financing, and administrative cost estimates. For the infrastructure assessment, a different baseline than the one in the 2011 Impact Assessment was considered due to the changes in th</w:t>
      </w:r>
      <w:r>
        <w:rPr>
          <w:noProof/>
        </w:rPr>
        <w:t xml:space="preserve">e market an technological landscape. </w:t>
      </w:r>
    </w:p>
    <w:p w:rsidR="00B60846" w:rsidRDefault="008069FF">
      <w:pPr>
        <w:rPr>
          <w:noProof/>
        </w:rPr>
      </w:pPr>
      <w:r>
        <w:rPr>
          <w:noProof/>
        </w:rPr>
        <w:t xml:space="preserve">The evaluation draws on evidence from the stakeholder input to the extensive consultations carried out in this respect, PCI portfolio and case study analysis and related monitoring reports, modelling, the results of a </w:t>
      </w:r>
      <w:r>
        <w:rPr>
          <w:noProof/>
        </w:rPr>
        <w:t>series of topical studies on key elements of the TEN-E Regulation, as well as conclusions and work stemming from dedicated stakeholder Fora (e.g. Copenhagen Forum).</w:t>
      </w:r>
    </w:p>
    <w:p w:rsidR="00B60846" w:rsidRDefault="008069FF">
      <w:pPr>
        <w:pStyle w:val="Heading1"/>
        <w:rPr>
          <w:noProof/>
        </w:rPr>
      </w:pPr>
      <w:bookmarkStart w:id="1339" w:name="_Toc55496487"/>
      <w:r>
        <w:rPr>
          <w:noProof/>
        </w:rPr>
        <w:t>Implementation/State of play</w:t>
      </w:r>
      <w:bookmarkEnd w:id="1339"/>
      <w:r>
        <w:rPr>
          <w:noProof/>
        </w:rPr>
        <w:t xml:space="preserve"> </w:t>
      </w:r>
    </w:p>
    <w:p w:rsidR="00B60846" w:rsidRDefault="008069FF">
      <w:pPr>
        <w:rPr>
          <w:noProof/>
          <w:lang w:val="en-IE"/>
        </w:rPr>
      </w:pPr>
      <w:r>
        <w:rPr>
          <w:noProof/>
          <w:lang w:val="en-IE"/>
        </w:rPr>
        <w:t>This section outlines how the TEN-E Regulation was implemente</w:t>
      </w:r>
      <w:r>
        <w:rPr>
          <w:noProof/>
          <w:lang w:val="en-IE"/>
        </w:rPr>
        <w:t xml:space="preserve">d to date. In particular, four main activities are considered: the PCI process, permit granting and public participation, regulatory treatment and financing. </w:t>
      </w:r>
    </w:p>
    <w:p w:rsidR="00B60846" w:rsidRDefault="00B60846">
      <w:pPr>
        <w:rPr>
          <w:i/>
          <w:noProof/>
          <w:u w:val="single"/>
        </w:rPr>
      </w:pPr>
    </w:p>
    <w:p w:rsidR="00B60846" w:rsidRDefault="008069FF">
      <w:pPr>
        <w:rPr>
          <w:i/>
          <w:noProof/>
          <w:u w:val="single"/>
        </w:rPr>
      </w:pPr>
      <w:r>
        <w:rPr>
          <w:i/>
          <w:noProof/>
          <w:u w:val="single"/>
        </w:rPr>
        <w:t xml:space="preserve">The PCI process </w:t>
      </w:r>
    </w:p>
    <w:p w:rsidR="00B60846" w:rsidRDefault="008069FF">
      <w:pPr>
        <w:rPr>
          <w:noProof/>
          <w:lang w:val="en-IE"/>
        </w:rPr>
      </w:pPr>
      <w:r>
        <w:rPr>
          <w:noProof/>
          <w:lang w:val="en-IE"/>
        </w:rPr>
        <w:t>Article 3 of the TEN-E Regulation also defines the process for the PCI selectio</w:t>
      </w:r>
      <w:r>
        <w:rPr>
          <w:noProof/>
          <w:lang w:val="en-IE"/>
        </w:rPr>
        <w:t xml:space="preserve">n. The TEN-E Regulation distinguishes and targets specific projects that are identified as PCI from an internal energy market perspective. </w:t>
      </w:r>
      <w:r>
        <w:rPr>
          <w:noProof/>
        </w:rPr>
        <w:t>The process of selection and implement of PCIs involves various stakeholders, both at national and European level. Re</w:t>
      </w:r>
      <w:r>
        <w:rPr>
          <w:noProof/>
        </w:rPr>
        <w:t xml:space="preserve">presentatives from national competent authorities (NCAs), national regulatory authorities (NRAs)project promoters, including transmission system operators (TSOs), and their European association and agencies (ENTSOs and ACER) are members of regional groups </w:t>
      </w:r>
      <w:r>
        <w:rPr>
          <w:noProof/>
        </w:rPr>
        <w:t>established by the Regulation. The membership of each group is based on a priority corridor or thematic areas and reflects the respective geographical coverage. These regional groups facilitate the cooperation and coordination amongst the stakeholders. The</w:t>
      </w:r>
      <w:r>
        <w:rPr>
          <w:noProof/>
        </w:rPr>
        <w:t>y are responsible for the assessment of candidate projects that are proposed by the project promoters, but also for monitoring the execution of PCIs, and for making recommendations to facilitate their implementation. The final decision-making powers are re</w:t>
      </w:r>
      <w:r>
        <w:rPr>
          <w:noProof/>
        </w:rPr>
        <w:t xml:space="preserve">stricted to Member States and the Commission (the Decision-Making Body or DMB). Furthermore, to foster high-level (international) political commitment, support in reaching consensus on regional actions plans and promote a specific goal regarding EU energy </w:t>
      </w:r>
      <w:r>
        <w:rPr>
          <w:noProof/>
        </w:rPr>
        <w:t>network integration, Member States can establish High Level Groups. These groups aim to pursue a specific long-term strategy and their organisation is not outside the scope of  the Regulation.</w:t>
      </w:r>
    </w:p>
    <w:p w:rsidR="00B60846" w:rsidRDefault="008069FF">
      <w:pPr>
        <w:rPr>
          <w:noProof/>
        </w:rPr>
      </w:pPr>
      <w:r>
        <w:rPr>
          <w:noProof/>
        </w:rPr>
        <w:t xml:space="preserve">The PCI selection process is based on the National Development </w:t>
      </w:r>
      <w:r>
        <w:rPr>
          <w:noProof/>
        </w:rPr>
        <w:t>Plans (NDPs) and the Ten-Year National Development Plans in electricity and gas (TYNDPs) prepared by the ENTSOs. To ensure consensus, the PCI process involves consultation with multiple stakeholders within the regional groups and via a public consultation.</w:t>
      </w:r>
      <w:r>
        <w:rPr>
          <w:noProof/>
        </w:rPr>
        <w:t xml:space="preserve"> Figure 5 illustrates the PCI selection process and the roles of the various stakeholders in this process.</w:t>
      </w:r>
    </w:p>
    <w:p w:rsidR="00B60846" w:rsidRDefault="00B60846">
      <w:pPr>
        <w:rPr>
          <w:noProof/>
        </w:rPr>
      </w:pPr>
    </w:p>
    <w:p w:rsidR="00B60846" w:rsidRDefault="008069FF">
      <w:pPr>
        <w:keepNext/>
        <w:tabs>
          <w:tab w:val="clear" w:pos="2302"/>
        </w:tabs>
        <w:spacing w:after="200" w:line="276" w:lineRule="auto"/>
        <w:jc w:val="left"/>
        <w:rPr>
          <w:noProof/>
        </w:rPr>
      </w:pPr>
      <w:r>
        <w:rPr>
          <w:noProof/>
          <w:lang w:eastAsia="en-GB"/>
        </w:rPr>
        <w:drawing>
          <wp:inline distT="0" distB="0" distL="0" distR="0">
            <wp:extent cx="5472430" cy="27927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2430" cy="2792730"/>
                    </a:xfrm>
                    <a:prstGeom prst="rect">
                      <a:avLst/>
                    </a:prstGeom>
                  </pic:spPr>
                </pic:pic>
              </a:graphicData>
            </a:graphic>
          </wp:inline>
        </w:drawing>
      </w:r>
    </w:p>
    <w:p w:rsidR="00B60846" w:rsidRDefault="008069FF">
      <w:pPr>
        <w:keepNext/>
        <w:spacing w:before="120" w:after="120"/>
        <w:jc w:val="center"/>
        <w:rPr>
          <w:b/>
          <w:noProof/>
          <w:szCs w:val="16"/>
        </w:rPr>
      </w:pPr>
      <w:r>
        <w:rPr>
          <w:b/>
          <w:noProof/>
          <w:szCs w:val="16"/>
        </w:rPr>
        <w:t xml:space="preserve">Figure </w:t>
      </w:r>
      <w:r>
        <w:rPr>
          <w:b/>
          <w:noProof/>
          <w:szCs w:val="16"/>
        </w:rPr>
        <w:fldChar w:fldCharType="begin"/>
      </w:r>
      <w:r>
        <w:rPr>
          <w:b/>
          <w:noProof/>
          <w:szCs w:val="16"/>
        </w:rPr>
        <w:instrText xml:space="preserve"> SEQ Figure \* ARABIC </w:instrText>
      </w:r>
      <w:r>
        <w:rPr>
          <w:b/>
          <w:noProof/>
          <w:szCs w:val="16"/>
        </w:rPr>
        <w:fldChar w:fldCharType="separate"/>
      </w:r>
      <w:r>
        <w:rPr>
          <w:b/>
          <w:noProof/>
          <w:szCs w:val="16"/>
        </w:rPr>
        <w:t>5</w:t>
      </w:r>
      <w:r>
        <w:rPr>
          <w:b/>
          <w:noProof/>
          <w:szCs w:val="16"/>
        </w:rPr>
        <w:fldChar w:fldCharType="end"/>
      </w:r>
      <w:r>
        <w:rPr>
          <w:b/>
          <w:noProof/>
          <w:szCs w:val="16"/>
        </w:rPr>
        <w:t>: PCI selection process</w:t>
      </w:r>
    </w:p>
    <w:p w:rsidR="00B60846" w:rsidRDefault="008069FF">
      <w:pPr>
        <w:rPr>
          <w:noProof/>
        </w:rPr>
      </w:pPr>
      <w:r>
        <w:rPr>
          <w:noProof/>
        </w:rPr>
        <w:t>To become eligible for the PCI status, a candidate project is required to meet the follow</w:t>
      </w:r>
      <w:r>
        <w:rPr>
          <w:noProof/>
        </w:rPr>
        <w:t>ing general criteria:</w:t>
      </w:r>
    </w:p>
    <w:p w:rsidR="00B60846" w:rsidRDefault="008069FF">
      <w:pPr>
        <w:pStyle w:val="ListParagraph"/>
        <w:numPr>
          <w:ilvl w:val="0"/>
          <w:numId w:val="25"/>
        </w:numPr>
        <w:spacing w:after="120"/>
        <w:rPr>
          <w:noProof/>
        </w:rPr>
      </w:pPr>
      <w:r>
        <w:rPr>
          <w:noProof/>
        </w:rPr>
        <w:t xml:space="preserve">the project is considered necessary for at least one of the infrastructure priority corridors and thematic areas; </w:t>
      </w:r>
    </w:p>
    <w:p w:rsidR="00B60846" w:rsidRDefault="008069FF">
      <w:pPr>
        <w:pStyle w:val="ListParagraph"/>
        <w:numPr>
          <w:ilvl w:val="0"/>
          <w:numId w:val="25"/>
        </w:numPr>
        <w:spacing w:after="120"/>
        <w:rPr>
          <w:noProof/>
        </w:rPr>
      </w:pPr>
      <w:r>
        <w:rPr>
          <w:noProof/>
        </w:rPr>
        <w:t xml:space="preserve">the potential benefits of the project outweigh its cost, including in the longer term; </w:t>
      </w:r>
    </w:p>
    <w:p w:rsidR="00B60846" w:rsidRDefault="008069FF">
      <w:pPr>
        <w:pStyle w:val="ListParagraph"/>
        <w:numPr>
          <w:ilvl w:val="0"/>
          <w:numId w:val="25"/>
        </w:numPr>
        <w:spacing w:after="120"/>
        <w:rPr>
          <w:noProof/>
        </w:rPr>
      </w:pPr>
      <w:r>
        <w:rPr>
          <w:noProof/>
        </w:rPr>
        <w:t>the project significantly involves EU Member States, indicated by: - involving at least two Member States by directly crossing the border of two or more Member States; - being located in one Member State and having a significant cross-border impact; - cros</w:t>
      </w:r>
      <w:r>
        <w:rPr>
          <w:noProof/>
        </w:rPr>
        <w:t xml:space="preserve">sing the border of at least one Member State and a European Economic Area country. </w:t>
      </w:r>
    </w:p>
    <w:p w:rsidR="00B60846" w:rsidRDefault="008069FF">
      <w:pPr>
        <w:rPr>
          <w:noProof/>
        </w:rPr>
      </w:pPr>
      <w:r>
        <w:rPr>
          <w:noProof/>
        </w:rPr>
        <w:t xml:space="preserve">In addition to those, there are specific criteria that apply to PCIs depending on their infrastructure category. </w:t>
      </w:r>
    </w:p>
    <w:p w:rsidR="00B60846" w:rsidRDefault="00B60846">
      <w:pPr>
        <w:tabs>
          <w:tab w:val="clear" w:pos="2302"/>
        </w:tabs>
        <w:spacing w:after="0" w:line="280" w:lineRule="atLeast"/>
        <w:jc w:val="left"/>
        <w:rPr>
          <w:rFonts w:eastAsia="Arial"/>
          <w:noProof/>
          <w:szCs w:val="24"/>
          <w:lang w:eastAsia="nl-NL"/>
        </w:rPr>
      </w:pPr>
    </w:p>
    <w:p w:rsidR="00B60846" w:rsidRDefault="008069FF">
      <w:pPr>
        <w:keepNext/>
        <w:keepLines/>
        <w:tabs>
          <w:tab w:val="clear" w:pos="2302"/>
          <w:tab w:val="left" w:pos="851"/>
        </w:tabs>
        <w:spacing w:after="0" w:line="280" w:lineRule="atLeast"/>
        <w:jc w:val="left"/>
        <w:rPr>
          <w:rFonts w:eastAsia="Arial"/>
          <w:b/>
          <w:bCs/>
          <w:noProof/>
          <w:szCs w:val="24"/>
          <w:lang w:eastAsia="nl-NL"/>
        </w:rPr>
      </w:pPr>
      <w:bookmarkStart w:id="1340" w:name="_Ref43997047"/>
      <w:r>
        <w:rPr>
          <w:rFonts w:eastAsia="Arial"/>
          <w:b/>
          <w:bCs/>
          <w:noProof/>
          <w:szCs w:val="24"/>
          <w:lang w:eastAsia="nl-NL"/>
        </w:rPr>
        <w:t>Tabl</w:t>
      </w:r>
      <w:bookmarkEnd w:id="1340"/>
      <w:r>
        <w:rPr>
          <w:rFonts w:eastAsia="Arial"/>
          <w:b/>
          <w:bCs/>
          <w:noProof/>
          <w:szCs w:val="24"/>
          <w:lang w:eastAsia="nl-NL"/>
        </w:rPr>
        <w:t>e 1: Specific PCI criteria per infrastructure categor</w:t>
      </w:r>
      <w:r>
        <w:rPr>
          <w:rFonts w:eastAsia="Arial"/>
          <w:b/>
          <w:bCs/>
          <w:noProof/>
          <w:szCs w:val="24"/>
          <w:lang w:eastAsia="nl-NL"/>
        </w:rPr>
        <w:t>y</w:t>
      </w:r>
    </w:p>
    <w:tbl>
      <w:tblPr>
        <w:tblStyle w:val="table-style-blauw-100-outline2"/>
        <w:tblW w:w="8087" w:type="dxa"/>
        <w:tblLook w:val="04A0" w:firstRow="1" w:lastRow="0" w:firstColumn="1" w:lastColumn="0" w:noHBand="0" w:noVBand="1"/>
      </w:tblPr>
      <w:tblGrid>
        <w:gridCol w:w="1929"/>
        <w:gridCol w:w="6158"/>
      </w:tblGrid>
      <w:tr w:rsidR="00B60846" w:rsidTr="00B60846">
        <w:trPr>
          <w:cnfStyle w:val="100000000000" w:firstRow="1" w:lastRow="0" w:firstColumn="0" w:lastColumn="0" w:oddVBand="0" w:evenVBand="0" w:oddHBand="0" w:evenHBand="0" w:firstRowFirstColumn="0" w:firstRowLastColumn="0" w:lastRowFirstColumn="0" w:lastRowLastColumn="0"/>
          <w:tblHeader/>
        </w:trPr>
        <w:tc>
          <w:tcPr>
            <w:tcW w:w="1929" w:type="dxa"/>
            <w:tcBorders>
              <w:right w:val="single" w:sz="4" w:space="0" w:color="FFFFFF" w:themeColor="background1"/>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Energy infrastructure category</w:t>
            </w:r>
          </w:p>
        </w:tc>
        <w:tc>
          <w:tcPr>
            <w:tcW w:w="6158" w:type="dxa"/>
            <w:tcBorders>
              <w:left w:val="single" w:sz="4" w:space="0" w:color="FFFFFF" w:themeColor="background1"/>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Specific criteria</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restart"/>
            <w:tcBorders>
              <w:top w:val="single" w:sz="6" w:space="0" w:color="006DB6"/>
              <w:bottom w:val="single" w:sz="4" w:space="0" w:color="A6A6A6" w:themeColor="background1" w:themeShade="A6"/>
            </w:tcBorders>
            <w:shd w:val="clear" w:color="auto" w:fill="A4BFE1"/>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Electricity</w:t>
            </w:r>
          </w:p>
        </w:tc>
        <w:tc>
          <w:tcPr>
            <w:tcW w:w="6158" w:type="dxa"/>
            <w:tcBorders>
              <w:top w:val="single" w:sz="6" w:space="0" w:color="006DB6"/>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Market integration</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Sustainability</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006DB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Security of supply</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929" w:type="dxa"/>
            <w:vMerge w:val="restart"/>
            <w:tcBorders>
              <w:top w:val="single" w:sz="4" w:space="0" w:color="006DB6"/>
              <w:bottom w:val="single" w:sz="4" w:space="0" w:color="A6A6A6" w:themeColor="background1" w:themeShade="A6"/>
            </w:tcBorders>
            <w:shd w:val="clear" w:color="auto" w:fill="A4BFE1"/>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Gas</w:t>
            </w:r>
          </w:p>
        </w:tc>
        <w:tc>
          <w:tcPr>
            <w:tcW w:w="6158" w:type="dxa"/>
            <w:tcBorders>
              <w:top w:val="single" w:sz="4" w:space="0" w:color="006DB6"/>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Market integration</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Security of supply</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Competition</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006DB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Sustainability</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929" w:type="dxa"/>
            <w:vMerge w:val="restart"/>
            <w:tcBorders>
              <w:top w:val="single" w:sz="4" w:space="0" w:color="006DB6"/>
              <w:bottom w:val="single" w:sz="4" w:space="0" w:color="A6A6A6" w:themeColor="background1" w:themeShade="A6"/>
            </w:tcBorders>
            <w:shd w:val="clear" w:color="auto" w:fill="A4BFE1"/>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Smart grids</w:t>
            </w:r>
          </w:p>
        </w:tc>
        <w:tc>
          <w:tcPr>
            <w:tcW w:w="6158" w:type="dxa"/>
            <w:tcBorders>
              <w:top w:val="single" w:sz="4" w:space="0" w:color="006DB6"/>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 xml:space="preserve">Integration and involvement of network users </w:t>
            </w:r>
            <w:r>
              <w:rPr>
                <w:rFonts w:eastAsia="Arial"/>
                <w:noProof/>
                <w:szCs w:val="24"/>
              </w:rPr>
              <w:t>with regard to supply and demand</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Efficiency and interoperability in day-to-day network operation</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Network security, system control and quality of supply</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Optimised planning of future cost-efficient network investments</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 xml:space="preserve">Market functioning and customer </w:t>
            </w:r>
            <w:r>
              <w:rPr>
                <w:rFonts w:eastAsia="Arial"/>
                <w:noProof/>
                <w:szCs w:val="24"/>
              </w:rPr>
              <w:t>services</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006DB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Involvement of users in the management of their energy usage</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929" w:type="dxa"/>
            <w:vMerge w:val="restart"/>
            <w:tcBorders>
              <w:top w:val="single" w:sz="4" w:space="0" w:color="006DB6"/>
              <w:bottom w:val="single" w:sz="4" w:space="0" w:color="A6A6A6" w:themeColor="background1" w:themeShade="A6"/>
            </w:tcBorders>
            <w:shd w:val="clear" w:color="auto" w:fill="A4BFE1"/>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Oil</w:t>
            </w:r>
          </w:p>
        </w:tc>
        <w:tc>
          <w:tcPr>
            <w:tcW w:w="6158" w:type="dxa"/>
            <w:tcBorders>
              <w:top w:val="single" w:sz="4" w:space="0" w:color="006DB6"/>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Security of supply</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Efficient and sustainable use of resources</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006DB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Interoperability</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restart"/>
            <w:tcBorders>
              <w:top w:val="single" w:sz="4" w:space="0" w:color="006DB6"/>
              <w:bottom w:val="single" w:sz="4" w:space="0" w:color="A6A6A6" w:themeColor="background1" w:themeShade="A6"/>
            </w:tcBorders>
            <w:shd w:val="clear" w:color="auto" w:fill="A4BFE1"/>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CO2</w:t>
            </w:r>
          </w:p>
        </w:tc>
        <w:tc>
          <w:tcPr>
            <w:tcW w:w="6158" w:type="dxa"/>
            <w:tcBorders>
              <w:top w:val="single" w:sz="4" w:space="0" w:color="006DB6"/>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Avoidance of carbon dioxide emissions while maintaining security of energy supply</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A6A6A6" w:themeColor="background1" w:themeShade="A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Increasing resilience and security of CO2 transport</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929" w:type="dxa"/>
            <w:vMerge/>
            <w:vAlign w:val="center"/>
          </w:tcPr>
          <w:p w:rsidR="00B60846" w:rsidRDefault="00B60846">
            <w:pPr>
              <w:tabs>
                <w:tab w:val="clear" w:pos="2302"/>
              </w:tabs>
              <w:spacing w:after="0" w:line="280" w:lineRule="atLeast"/>
              <w:jc w:val="left"/>
              <w:rPr>
                <w:rFonts w:eastAsia="Arial"/>
                <w:noProof/>
                <w:szCs w:val="24"/>
              </w:rPr>
            </w:pPr>
          </w:p>
        </w:tc>
        <w:tc>
          <w:tcPr>
            <w:tcW w:w="6158" w:type="dxa"/>
            <w:tcBorders>
              <w:bottom w:val="single" w:sz="4" w:space="0" w:color="006DB6"/>
            </w:tcBorders>
            <w:vAlign w:val="center"/>
          </w:tcPr>
          <w:p w:rsidR="00B60846" w:rsidRDefault="008069FF">
            <w:pPr>
              <w:tabs>
                <w:tab w:val="clear" w:pos="2302"/>
              </w:tabs>
              <w:spacing w:after="0" w:line="280" w:lineRule="atLeast"/>
              <w:jc w:val="left"/>
              <w:rPr>
                <w:rFonts w:eastAsia="Arial"/>
                <w:noProof/>
                <w:szCs w:val="24"/>
              </w:rPr>
            </w:pPr>
            <w:r>
              <w:rPr>
                <w:rFonts w:eastAsia="Arial"/>
                <w:noProof/>
                <w:szCs w:val="24"/>
              </w:rPr>
              <w:t>Efficient use of resources and Minimising environmental burden and risks</w:t>
            </w:r>
          </w:p>
        </w:tc>
      </w:tr>
    </w:tbl>
    <w:p w:rsidR="00B60846" w:rsidRDefault="008069FF">
      <w:pPr>
        <w:rPr>
          <w:noProof/>
        </w:rPr>
      </w:pPr>
      <w:r>
        <w:rPr>
          <w:rFonts w:eastAsia="Arial"/>
          <w:i/>
          <w:noProof/>
          <w:szCs w:val="24"/>
          <w:lang w:eastAsia="nl-NL"/>
        </w:rPr>
        <w:t>Source: Regulation (EU) No 347/2013 Article 4</w:t>
      </w:r>
    </w:p>
    <w:p w:rsidR="00B60846" w:rsidRDefault="008069FF">
      <w:pPr>
        <w:tabs>
          <w:tab w:val="clear" w:pos="2302"/>
        </w:tabs>
        <w:spacing w:after="200" w:line="276" w:lineRule="auto"/>
        <w:rPr>
          <w:noProof/>
        </w:rPr>
      </w:pPr>
      <w:r>
        <w:rPr>
          <w:noProof/>
        </w:rPr>
        <w:t>The TEN-E Regulation requires that ENTSO-E and ENTSO-G draft a methodology for the Cost Benefit Analysis (CBA methodology) to assess the projects included in the TYNDPs for electricity and gas projects respectively. According to the Regulation, to be eligi</w:t>
      </w:r>
      <w:r>
        <w:rPr>
          <w:noProof/>
        </w:rPr>
        <w:t xml:space="preserve">ble for the PCI status, gas and electricity transmission and storage projects shall be part of the TYNDP. To become a PCI, the project must apply for it in line with the rules and timeline of the PCI selection process. The interlinkage between the process </w:t>
      </w:r>
      <w:r>
        <w:rPr>
          <w:noProof/>
        </w:rPr>
        <w:t xml:space="preserve">for establishing the PCI list and the TYNDP can be summarised as shown on Figure 3. </w:t>
      </w:r>
    </w:p>
    <w:p w:rsidR="00B60846" w:rsidRDefault="00B60846">
      <w:pPr>
        <w:tabs>
          <w:tab w:val="clear" w:pos="2302"/>
        </w:tabs>
        <w:spacing w:after="200" w:line="276" w:lineRule="auto"/>
        <w:jc w:val="left"/>
        <w:rPr>
          <w:noProof/>
        </w:rPr>
      </w:pPr>
    </w:p>
    <w:p w:rsidR="00B60846" w:rsidRDefault="008069FF">
      <w:pPr>
        <w:keepNext/>
        <w:tabs>
          <w:tab w:val="clear" w:pos="2302"/>
        </w:tabs>
        <w:spacing w:after="200" w:line="276" w:lineRule="auto"/>
        <w:jc w:val="left"/>
        <w:rPr>
          <w:noProof/>
        </w:rPr>
      </w:pPr>
      <w:r>
        <w:rPr>
          <w:noProof/>
          <w:lang w:eastAsia="en-GB"/>
        </w:rPr>
        <w:drawing>
          <wp:inline distT="0" distB="0" distL="0" distR="0">
            <wp:extent cx="5472430" cy="20332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2430" cy="2033270"/>
                    </a:xfrm>
                    <a:prstGeom prst="rect">
                      <a:avLst/>
                    </a:prstGeom>
                  </pic:spPr>
                </pic:pic>
              </a:graphicData>
            </a:graphic>
          </wp:inline>
        </w:drawing>
      </w:r>
    </w:p>
    <w:p w:rsidR="00B60846" w:rsidRDefault="008069FF">
      <w:pPr>
        <w:keepNext/>
        <w:spacing w:before="120" w:after="120"/>
        <w:jc w:val="center"/>
        <w:rPr>
          <w:b/>
          <w:noProof/>
          <w:szCs w:val="16"/>
        </w:rPr>
      </w:pPr>
      <w:r>
        <w:rPr>
          <w:b/>
          <w:noProof/>
          <w:szCs w:val="16"/>
        </w:rPr>
        <w:t>Figure 3: TYNDP and PCI list process</w:t>
      </w:r>
    </w:p>
    <w:p w:rsidR="00B60846" w:rsidRDefault="008069FF">
      <w:pPr>
        <w:rPr>
          <w:noProof/>
        </w:rPr>
      </w:pPr>
      <w:r>
        <w:rPr>
          <w:noProof/>
        </w:rPr>
        <w:t xml:space="preserve">The TYNDP-related approach does not apply to carbon dioxide network, smart grid or oil PCIs. For smart grids, an updated </w:t>
      </w:r>
      <w:r>
        <w:rPr>
          <w:noProof/>
        </w:rPr>
        <w:t>methodology was published by the Joint Research Centre (JRC) in 2017.</w:t>
      </w:r>
    </w:p>
    <w:p w:rsidR="00B60846" w:rsidRDefault="008069FF">
      <w:pPr>
        <w:rPr>
          <w:noProof/>
        </w:rPr>
      </w:pPr>
      <w:r>
        <w:rPr>
          <w:noProof/>
        </w:rPr>
        <w:t>The 1st list of PCIs was adopted in October 2013 and contained 248 projects. The 2nd, 3rd and 4th PCI lists contained 195, 173 and 149 projects, respectively. Excluding PCIs that appeare</w:t>
      </w:r>
      <w:r>
        <w:rPr>
          <w:noProof/>
        </w:rPr>
        <w:t xml:space="preserve">d in several lists, the lists comprise 437 unique projects. </w:t>
      </w:r>
    </w:p>
    <w:p w:rsidR="00B60846" w:rsidRDefault="008069FF">
      <w:pPr>
        <w:rPr>
          <w:noProof/>
        </w:rPr>
      </w:pPr>
      <w:r>
        <w:rPr>
          <w:noProof/>
        </w:rPr>
        <w:t>Amongst Member States, Poland is most frequently represented in the 4th list with 18 PCIs listed, followed by Lithuania, Germany and Estonia with respectively 15, 12 and 12 PCIs. Outside of the E</w:t>
      </w:r>
      <w:r>
        <w:rPr>
          <w:noProof/>
        </w:rPr>
        <w:t xml:space="preserve">U, the United Kingdom is most frequently represented with 16 PCIs. Electricity projects are most frequently hosted by the UK (14 PCIs) followed by Lithuania (12 PCIs), gas PCIs are most frequently hosted by Greece (6 PCIs), and Poland is the most dominant </w:t>
      </w:r>
      <w:r>
        <w:rPr>
          <w:noProof/>
        </w:rPr>
        <w:t>host of oil projects (3 PCIs).</w:t>
      </w:r>
    </w:p>
    <w:p w:rsidR="00B60846" w:rsidRDefault="008069FF">
      <w:pPr>
        <w:rPr>
          <w:i/>
          <w:noProof/>
          <w:u w:val="single"/>
        </w:rPr>
      </w:pPr>
      <w:r>
        <w:rPr>
          <w:i/>
          <w:noProof/>
          <w:u w:val="single"/>
        </w:rPr>
        <w:t xml:space="preserve">Permit granting and public participation </w:t>
      </w:r>
    </w:p>
    <w:p w:rsidR="00B60846" w:rsidRDefault="008069FF">
      <w:pPr>
        <w:rPr>
          <w:noProof/>
        </w:rPr>
      </w:pPr>
      <w:r>
        <w:rPr>
          <w:noProof/>
        </w:rPr>
        <w:t>A key objective of the Regulation is to streamline the permit granting process, while ensuring sufficient public participation.</w:t>
      </w:r>
    </w:p>
    <w:p w:rsidR="00B60846" w:rsidRDefault="008069FF">
      <w:pPr>
        <w:rPr>
          <w:noProof/>
        </w:rPr>
      </w:pPr>
      <w:r>
        <w:rPr>
          <w:noProof/>
        </w:rPr>
        <w:t>The Regulation allocates a ‘priority status’ for a proj</w:t>
      </w:r>
      <w:r>
        <w:rPr>
          <w:noProof/>
        </w:rPr>
        <w:t xml:space="preserve">ect, once selected for the PCI list. PCIs are granted the status of the highest national significance possible in the relevant Member State for consideration especially during permit granting processes. The TEN-Regulation defines and sets out a variety of </w:t>
      </w:r>
      <w:r>
        <w:rPr>
          <w:noProof/>
        </w:rPr>
        <w:t>activities that contribute to the  streamlining of the permit granting process. Member States are required to designate a “one-stop shop’ (NCA), which shall be responsible for facilitating and coordinating the permit granting process for PCIs and which all</w:t>
      </w:r>
      <w:r>
        <w:rPr>
          <w:noProof/>
        </w:rPr>
        <w:t xml:space="preserve"> Member States have established by 16 November 2013 at the latest. The NCA is the sole point of contact for the project promoter in the process leading to a comprehensive decision for a given PCI, and coordinates the submission of all relevant documents an</w:t>
      </w:r>
      <w:r>
        <w:rPr>
          <w:noProof/>
        </w:rPr>
        <w:t>d information.</w:t>
      </w:r>
    </w:p>
    <w:p w:rsidR="00B60846" w:rsidRDefault="008069FF">
      <w:pPr>
        <w:rPr>
          <w:noProof/>
        </w:rPr>
      </w:pPr>
      <w:r>
        <w:rPr>
          <w:noProof/>
        </w:rPr>
        <w:t>Member States are required to additionally implement a two-stage permitting process. It consists of a pre-application procedure and a statutory permit granting procedure. It also sets time limits for each stage. The pre-application procedure</w:t>
      </w:r>
      <w:r>
        <w:rPr>
          <w:noProof/>
        </w:rPr>
        <w:t xml:space="preserve"> should take place within one year and six months. The combined process should not take more than 3.5 years, but can be extended by a maximum of nine months on a case-by-case basis.</w:t>
      </w:r>
    </w:p>
    <w:p w:rsidR="00B60846" w:rsidRDefault="008069FF">
      <w:pPr>
        <w:spacing w:after="0"/>
        <w:rPr>
          <w:noProof/>
        </w:rPr>
      </w:pPr>
      <w:r>
        <w:rPr>
          <w:noProof/>
        </w:rPr>
        <w:t>The progress of PCI implementation is monitored every year by ACER and rep</w:t>
      </w:r>
      <w:r>
        <w:rPr>
          <w:noProof/>
        </w:rPr>
        <w:t xml:space="preserve">orted to the Commission and regional groups. Additionally, NCAs from associated Member States report to the regional group on permit granting delays. </w:t>
      </w:r>
    </w:p>
    <w:p w:rsidR="00B60846" w:rsidRDefault="00B60846">
      <w:pPr>
        <w:spacing w:after="0"/>
        <w:rPr>
          <w:noProof/>
        </w:rPr>
      </w:pPr>
    </w:p>
    <w:p w:rsidR="00B60846" w:rsidRDefault="008069FF">
      <w:pPr>
        <w:rPr>
          <w:noProof/>
        </w:rPr>
      </w:pPr>
      <w:r>
        <w:rPr>
          <w:noProof/>
        </w:rPr>
        <w:t>Monitoring data, as shown in figure 4, indicates that permit granting procedures have shortened since th</w:t>
      </w:r>
      <w:r>
        <w:rPr>
          <w:noProof/>
        </w:rPr>
        <w:t>e entry into force of the TEN-E Regulation. Current the EU average of 4 and 3.1 years for electricity and gas projects, respectively show significant progress compared to baseline national averages of up to 10 years in 2011. As a central element of the TEN</w:t>
      </w:r>
      <w:r>
        <w:rPr>
          <w:noProof/>
        </w:rPr>
        <w:t xml:space="preserve">-E Regulation, the establishment of one-stop shops is appraised as an instrument to reduce the complexity and duration of permitting procedures. </w:t>
      </w:r>
    </w:p>
    <w:p w:rsidR="00B60846" w:rsidRDefault="008069FF">
      <w:pPr>
        <w:rPr>
          <w:b/>
          <w:noProof/>
        </w:rPr>
      </w:pPr>
      <w:r>
        <w:rPr>
          <w:b/>
          <w:noProof/>
        </w:rPr>
        <w:t>Figure 4: PCI implementation progress to date</w:t>
      </w:r>
    </w:p>
    <w:p w:rsidR="00B60846" w:rsidRDefault="008069FF">
      <w:pPr>
        <w:jc w:val="center"/>
        <w:rPr>
          <w:noProof/>
        </w:rPr>
      </w:pPr>
      <w:r>
        <w:rPr>
          <w:noProof/>
          <w:lang w:eastAsia="en-GB"/>
        </w:rPr>
        <w:drawing>
          <wp:inline distT="0" distB="0" distL="0" distR="0">
            <wp:extent cx="5589775" cy="3232337"/>
            <wp:effectExtent l="0" t="0" r="11430" b="6350"/>
            <wp:docPr id="18" name="Chart 18">
              <a:extLst xmlns:a="http://schemas.openxmlformats.org/drawingml/2006/main">
                <a:ext uri="{FF2B5EF4-FFF2-40B4-BE49-F238E27FC236}">
                  <a16:creationId xmlns:a16="http://schemas.microsoft.com/office/drawing/2014/main" id="{276B6DD1-5289-4154-A42B-FBD76C251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60846" w:rsidRDefault="008069FF">
      <w:pPr>
        <w:rPr>
          <w:noProof/>
        </w:rPr>
      </w:pPr>
      <w:r>
        <w:rPr>
          <w:i/>
          <w:noProof/>
          <w:sz w:val="20"/>
        </w:rPr>
        <w:t>Source: Underlying data of the ACER monitoring reports. No rel</w:t>
      </w:r>
      <w:r>
        <w:rPr>
          <w:i/>
          <w:noProof/>
          <w:sz w:val="20"/>
        </w:rPr>
        <w:t>iable data available for 2019 since the question was not part of the monitoring format or it was limited to the cases where there was a difference compared to 2018 only.</w:t>
      </w:r>
    </w:p>
    <w:p w:rsidR="00B60846" w:rsidRDefault="008069FF">
      <w:pPr>
        <w:rPr>
          <w:noProof/>
        </w:rPr>
      </w:pPr>
      <w:r>
        <w:rPr>
          <w:noProof/>
        </w:rPr>
        <w:t>As section 5 will describe, the effectiveness of permit granting procedures strongly d</w:t>
      </w:r>
      <w:r>
        <w:rPr>
          <w:noProof/>
        </w:rPr>
        <w:t>epends on national implementation; experiences of project promoters vary substantially because of national differences in the way TEN-E provisions have been implemented (e.g. as regards the responsibilities of authorities in the permit granting process. Th</w:t>
      </w:r>
      <w:r>
        <w:rPr>
          <w:noProof/>
        </w:rPr>
        <w:t>e table below outlines the permitting schemes as chosen by Member States to facilitate and coordinate the permit granting process for PCIs.</w:t>
      </w:r>
    </w:p>
    <w:p w:rsidR="00B60846" w:rsidRDefault="00B60846">
      <w:pPr>
        <w:rPr>
          <w:b/>
          <w:noProof/>
        </w:rPr>
      </w:pPr>
    </w:p>
    <w:p w:rsidR="00B60846" w:rsidRDefault="00B60846">
      <w:pPr>
        <w:rPr>
          <w:b/>
          <w:noProof/>
        </w:rPr>
      </w:pPr>
    </w:p>
    <w:p w:rsidR="00B60846" w:rsidRDefault="008069FF">
      <w:pPr>
        <w:rPr>
          <w:b/>
          <w:noProof/>
        </w:rPr>
      </w:pPr>
      <w:r>
        <w:rPr>
          <w:b/>
          <w:noProof/>
        </w:rPr>
        <w:t>Table 2: Overview of schemes adopted by Member States</w:t>
      </w:r>
    </w:p>
    <w:tbl>
      <w:tblPr>
        <w:tblStyle w:val="table-style-blauw-100-outline11"/>
        <w:tblW w:w="5000" w:type="pct"/>
        <w:tblLook w:val="04A0" w:firstRow="1" w:lastRow="0" w:firstColumn="1" w:lastColumn="0" w:noHBand="0" w:noVBand="1"/>
      </w:tblPr>
      <w:tblGrid>
        <w:gridCol w:w="2208"/>
        <w:gridCol w:w="2208"/>
        <w:gridCol w:w="2209"/>
        <w:gridCol w:w="2209"/>
      </w:tblGrid>
      <w:tr w:rsidR="00B60846" w:rsidTr="00B60846">
        <w:trPr>
          <w:cnfStyle w:val="100000000000" w:firstRow="1" w:lastRow="0" w:firstColumn="0" w:lastColumn="0" w:oddVBand="0" w:evenVBand="0" w:oddHBand="0" w:evenHBand="0" w:firstRowFirstColumn="0" w:firstRowLastColumn="0" w:lastRowFirstColumn="0" w:lastRowLastColumn="0"/>
          <w:tblHeader/>
        </w:trPr>
        <w:tc>
          <w:tcPr>
            <w:tcW w:w="1250" w:type="pct"/>
            <w:tcBorders>
              <w:right w:val="single" w:sz="4" w:space="0" w:color="FFFFFF" w:themeColor="background1"/>
            </w:tcBorders>
          </w:tcPr>
          <w:p w:rsidR="00B60846" w:rsidRDefault="00B60846">
            <w:pPr>
              <w:tabs>
                <w:tab w:val="left" w:pos="720"/>
              </w:tabs>
              <w:spacing w:after="0" w:line="280" w:lineRule="atLeast"/>
              <w:jc w:val="left"/>
              <w:rPr>
                <w:rFonts w:ascii="Arial" w:eastAsia="Arial" w:hAnsi="Arial"/>
                <w:noProof/>
                <w:sz w:val="16"/>
                <w:szCs w:val="24"/>
              </w:rPr>
            </w:pPr>
          </w:p>
        </w:tc>
        <w:tc>
          <w:tcPr>
            <w:tcW w:w="1250" w:type="pct"/>
            <w:tcBorders>
              <w:left w:val="single" w:sz="4" w:space="0" w:color="FFFFFF" w:themeColor="background1"/>
              <w:right w:val="single" w:sz="4" w:space="0" w:color="FFFFFF" w:themeColor="background1"/>
            </w:tcBorders>
            <w:hideMark/>
          </w:tcPr>
          <w:p w:rsidR="00B60846" w:rsidRDefault="008069FF">
            <w:pPr>
              <w:keepLines w:val="0"/>
              <w:tabs>
                <w:tab w:val="left" w:pos="720"/>
              </w:tabs>
              <w:spacing w:after="0"/>
              <w:jc w:val="left"/>
              <w:rPr>
                <w:rFonts w:ascii="Arial" w:eastAsia="Arial" w:hAnsi="Arial"/>
                <w:noProof/>
                <w:sz w:val="16"/>
                <w:szCs w:val="24"/>
              </w:rPr>
            </w:pPr>
            <w:r>
              <w:rPr>
                <w:rFonts w:ascii="Arial" w:eastAsia="Arial" w:hAnsi="Arial"/>
                <w:noProof/>
                <w:sz w:val="16"/>
                <w:szCs w:val="24"/>
              </w:rPr>
              <w:t>Integrated</w:t>
            </w:r>
          </w:p>
        </w:tc>
        <w:tc>
          <w:tcPr>
            <w:tcW w:w="1250" w:type="pct"/>
            <w:tcBorders>
              <w:left w:val="single" w:sz="4" w:space="0" w:color="FFFFFF" w:themeColor="background1"/>
              <w:right w:val="single" w:sz="4" w:space="0" w:color="FFFFFF" w:themeColor="background1"/>
            </w:tcBorders>
            <w:hideMark/>
          </w:tcPr>
          <w:p w:rsidR="00B60846" w:rsidRDefault="008069FF">
            <w:pPr>
              <w:keepLines w:val="0"/>
              <w:tabs>
                <w:tab w:val="left" w:pos="720"/>
              </w:tabs>
              <w:spacing w:after="0"/>
              <w:jc w:val="left"/>
              <w:rPr>
                <w:rFonts w:ascii="Arial" w:eastAsia="Arial" w:hAnsi="Arial"/>
                <w:noProof/>
                <w:sz w:val="16"/>
                <w:szCs w:val="24"/>
              </w:rPr>
            </w:pPr>
            <w:r>
              <w:rPr>
                <w:rFonts w:ascii="Arial" w:eastAsia="Arial" w:hAnsi="Arial"/>
                <w:noProof/>
                <w:sz w:val="16"/>
                <w:szCs w:val="24"/>
              </w:rPr>
              <w:t>Coordinated</w:t>
            </w:r>
          </w:p>
        </w:tc>
        <w:tc>
          <w:tcPr>
            <w:tcW w:w="1250" w:type="pct"/>
            <w:tcBorders>
              <w:left w:val="single" w:sz="4" w:space="0" w:color="FFFFFF" w:themeColor="background1"/>
            </w:tcBorders>
            <w:hideMark/>
          </w:tcPr>
          <w:p w:rsidR="00B60846" w:rsidRDefault="008069FF">
            <w:pPr>
              <w:keepLines w:val="0"/>
              <w:tabs>
                <w:tab w:val="left" w:pos="720"/>
              </w:tabs>
              <w:spacing w:after="0"/>
              <w:jc w:val="left"/>
              <w:rPr>
                <w:rFonts w:ascii="Arial" w:eastAsia="Arial" w:hAnsi="Arial"/>
                <w:noProof/>
                <w:sz w:val="16"/>
                <w:szCs w:val="24"/>
              </w:rPr>
            </w:pPr>
            <w:r>
              <w:rPr>
                <w:rFonts w:ascii="Arial" w:eastAsia="Arial" w:hAnsi="Arial"/>
                <w:noProof/>
                <w:sz w:val="16"/>
                <w:szCs w:val="24"/>
              </w:rPr>
              <w:t>Collaborative</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BE</w:t>
            </w:r>
          </w:p>
        </w:tc>
        <w:tc>
          <w:tcPr>
            <w:tcW w:w="1250" w:type="pct"/>
            <w:tcBorders>
              <w:left w:val="single" w:sz="6" w:space="0" w:color="006DB6"/>
              <w:bottom w:val="nil"/>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top w:val="single" w:sz="6" w:space="0" w:color="006DB6"/>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BG</w:t>
            </w:r>
          </w:p>
        </w:tc>
        <w:tc>
          <w:tcPr>
            <w:tcW w:w="1250" w:type="pct"/>
            <w:tcBorders>
              <w:left w:val="single" w:sz="6" w:space="0" w:color="006DB6"/>
              <w:bottom w:val="nil"/>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CY</w:t>
            </w:r>
          </w:p>
        </w:tc>
        <w:tc>
          <w:tcPr>
            <w:tcW w:w="1250" w:type="pct"/>
            <w:tcBorders>
              <w:left w:val="single" w:sz="6" w:space="0" w:color="006DB6"/>
              <w:bottom w:val="nil"/>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nil"/>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CZ</w:t>
            </w:r>
          </w:p>
        </w:tc>
        <w:tc>
          <w:tcPr>
            <w:tcW w:w="1250" w:type="pct"/>
            <w:tcBorders>
              <w:left w:val="single" w:sz="6" w:space="0" w:color="006DB6"/>
              <w:bottom w:val="nil"/>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nil"/>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006DB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DE</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top w:val="single" w:sz="4" w:space="0" w:color="006DB6"/>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DK</w:t>
            </w: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EE</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EL</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ES</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FI</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FR</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HR</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HU</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IE</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IT</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LT</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LU</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LV</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MT</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NL</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PL</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PT</w:t>
            </w: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RO</w:t>
            </w: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SI</w:t>
            </w: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SK</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Borders>
              <w:left w:val="single" w:sz="6" w:space="0" w:color="006DB6"/>
              <w:bottom w:val="nil"/>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SE</w:t>
            </w: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4" w:space="0" w:color="A6A6A6" w:themeColor="background1" w:themeShade="A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left w:val="single" w:sz="6" w:space="0" w:color="006DB6"/>
              <w:bottom w:val="single" w:sz="6" w:space="0" w:color="006DB6"/>
              <w:right w:val="single" w:sz="6" w:space="0" w:color="006DB6"/>
            </w:tcBorders>
            <w:hideMark/>
          </w:tcPr>
          <w:p w:rsidR="00B60846" w:rsidRDefault="008069FF">
            <w:pPr>
              <w:tabs>
                <w:tab w:val="left" w:pos="720"/>
              </w:tabs>
              <w:spacing w:after="0"/>
              <w:jc w:val="left"/>
              <w:rPr>
                <w:rFonts w:ascii="Arial" w:eastAsia="Arial" w:hAnsi="Arial"/>
                <w:noProof/>
                <w:sz w:val="16"/>
                <w:szCs w:val="24"/>
              </w:rPr>
            </w:pPr>
            <w:r>
              <w:rPr>
                <w:rFonts w:ascii="Arial" w:eastAsia="Arial" w:hAnsi="Arial"/>
                <w:noProof/>
                <w:sz w:val="16"/>
                <w:szCs w:val="24"/>
              </w:rPr>
              <w:t>UK</w:t>
            </w:r>
          </w:p>
        </w:tc>
        <w:tc>
          <w:tcPr>
            <w:tcW w:w="1250" w:type="pct"/>
            <w:tcBorders>
              <w:left w:val="single" w:sz="6" w:space="0" w:color="006DB6"/>
              <w:bottom w:val="single" w:sz="6" w:space="0" w:color="006DB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6" w:space="0" w:color="006DB6"/>
              <w:right w:val="single" w:sz="6" w:space="0" w:color="006DB6"/>
            </w:tcBorders>
          </w:tcPr>
          <w:p w:rsidR="00B60846" w:rsidRDefault="00B60846">
            <w:pPr>
              <w:tabs>
                <w:tab w:val="left" w:pos="720"/>
              </w:tabs>
              <w:spacing w:after="0" w:line="280" w:lineRule="atLeast"/>
              <w:jc w:val="center"/>
              <w:rPr>
                <w:rFonts w:ascii="Arial" w:eastAsia="Arial" w:hAnsi="Arial"/>
                <w:noProof/>
                <w:sz w:val="16"/>
                <w:szCs w:val="24"/>
              </w:rPr>
            </w:pPr>
          </w:p>
        </w:tc>
        <w:tc>
          <w:tcPr>
            <w:tcW w:w="1250" w:type="pct"/>
            <w:tcBorders>
              <w:left w:val="single" w:sz="6" w:space="0" w:color="006DB6"/>
              <w:bottom w:val="single" w:sz="6" w:space="0" w:color="006DB6"/>
              <w:right w:val="single" w:sz="6" w:space="0" w:color="006DB6"/>
            </w:tcBorders>
            <w:shd w:val="clear" w:color="auto" w:fill="A4BFE1"/>
            <w:hideMark/>
          </w:tcPr>
          <w:p w:rsidR="00B60846" w:rsidRDefault="008069FF">
            <w:pPr>
              <w:tabs>
                <w:tab w:val="left" w:pos="720"/>
              </w:tabs>
              <w:spacing w:after="0"/>
              <w:jc w:val="center"/>
              <w:rPr>
                <w:rFonts w:ascii="Arial" w:eastAsia="Arial" w:hAnsi="Arial"/>
                <w:noProof/>
                <w:sz w:val="16"/>
                <w:szCs w:val="24"/>
              </w:rPr>
            </w:pPr>
            <w:r>
              <w:rPr>
                <w:rFonts w:ascii="Arial" w:eastAsia="Arial" w:hAnsi="Arial"/>
                <w:noProof/>
                <w:sz w:val="16"/>
                <w:szCs w:val="24"/>
              </w:rPr>
              <w:t>X</w:t>
            </w:r>
          </w:p>
        </w:tc>
      </w:tr>
    </w:tbl>
    <w:p w:rsidR="00B60846" w:rsidRDefault="008069FF">
      <w:pPr>
        <w:tabs>
          <w:tab w:val="clear" w:pos="2302"/>
        </w:tabs>
        <w:spacing w:after="0" w:line="200" w:lineRule="atLeast"/>
        <w:rPr>
          <w:rFonts w:eastAsia="Arial"/>
          <w:i/>
          <w:noProof/>
          <w:sz w:val="20"/>
          <w:lang w:eastAsia="nl-NL"/>
        </w:rPr>
      </w:pPr>
      <w:r>
        <w:rPr>
          <w:rFonts w:eastAsia="Arial"/>
          <w:i/>
          <w:noProof/>
          <w:sz w:val="20"/>
          <w:lang w:eastAsia="nl-NL"/>
        </w:rPr>
        <w:t xml:space="preserve">Source: Milieu (2016) Analysis of the manuals of </w:t>
      </w:r>
      <w:r>
        <w:rPr>
          <w:rFonts w:eastAsia="Arial"/>
          <w:i/>
          <w:noProof/>
          <w:sz w:val="20"/>
          <w:lang w:eastAsia="nl-NL"/>
        </w:rPr>
        <w:t>procedures for the permit granting process applicable to projects of common interest prepared under Art.9 Regulation No 347/2013. Based on the stakeholder consultation, the implemented permitting scheme in Portugal was updated to “integrated” and for Slove</w:t>
      </w:r>
      <w:r>
        <w:rPr>
          <w:rFonts w:eastAsia="Arial"/>
          <w:i/>
          <w:noProof/>
          <w:sz w:val="20"/>
          <w:lang w:eastAsia="nl-NL"/>
        </w:rPr>
        <w:t>nia – to “integrated” and “collaborative”.</w:t>
      </w:r>
    </w:p>
    <w:p w:rsidR="00B60846" w:rsidRDefault="00B60846">
      <w:pPr>
        <w:tabs>
          <w:tab w:val="clear" w:pos="2302"/>
        </w:tabs>
        <w:spacing w:after="0" w:line="280" w:lineRule="atLeast"/>
        <w:jc w:val="left"/>
        <w:rPr>
          <w:rFonts w:eastAsia="Arial"/>
          <w:noProof/>
          <w:szCs w:val="24"/>
          <w:lang w:eastAsia="nl-NL"/>
        </w:rPr>
      </w:pPr>
    </w:p>
    <w:p w:rsidR="00B60846" w:rsidRDefault="00B60846">
      <w:pPr>
        <w:tabs>
          <w:tab w:val="clear" w:pos="2302"/>
        </w:tabs>
        <w:spacing w:after="0" w:line="280" w:lineRule="atLeast"/>
        <w:jc w:val="left"/>
        <w:rPr>
          <w:rFonts w:eastAsia="Arial"/>
          <w:noProof/>
          <w:szCs w:val="24"/>
          <w:lang w:eastAsia="nl-NL"/>
        </w:rPr>
      </w:pPr>
    </w:p>
    <w:p w:rsidR="00B60846" w:rsidRDefault="008069FF">
      <w:pPr>
        <w:rPr>
          <w:noProof/>
        </w:rPr>
      </w:pPr>
      <w:r>
        <w:rPr>
          <w:noProof/>
        </w:rPr>
        <w:t>In spite of the introduction of targeted provisions, longer permitting durations in the implementation of key projects of common interest are still experienced.</w:t>
      </w:r>
    </w:p>
    <w:p w:rsidR="00B60846" w:rsidRDefault="008069FF">
      <w:pPr>
        <w:rPr>
          <w:noProof/>
        </w:rPr>
      </w:pPr>
      <w:r>
        <w:rPr>
          <w:noProof/>
        </w:rPr>
        <w:t>The TEN-E Regulation sets out specific requirements on transparency and public participation. The purpose of the requirements is to improve public engagement and to increase public acceptance of the implementation of PCIs. Project promoters, Member States,</w:t>
      </w:r>
      <w:r>
        <w:rPr>
          <w:noProof/>
        </w:rPr>
        <w:t xml:space="preserve"> NCAs and other involved parties are required to comply with the requirements before submitting the application. As one of the central challenges to energy infrastructure projects in 2011 was the opposition from affected citizens, the TEN-E Regulation intr</w:t>
      </w:r>
      <w:r>
        <w:rPr>
          <w:noProof/>
        </w:rPr>
        <w:t>oduced an additional public consultation during the permitting process to ensure early consultation of local communities and stakeholders and ultimately improve public acceptance of such projects. Other key transparency provisions include the creation of a</w:t>
      </w:r>
      <w:r>
        <w:rPr>
          <w:noProof/>
        </w:rPr>
        <w:t xml:space="preserve"> dedicated PCI website by project promoters that displays updated relevant information about the project and the publication of a manual of procedures by NCAs that groups all required permitting provisions. </w:t>
      </w:r>
    </w:p>
    <w:p w:rsidR="00B60846" w:rsidRDefault="008069FF">
      <w:pPr>
        <w:rPr>
          <w:noProof/>
        </w:rPr>
      </w:pPr>
      <w:r>
        <w:rPr>
          <w:noProof/>
        </w:rPr>
        <w:t>The most recent data on the implementation of th</w:t>
      </w:r>
      <w:r>
        <w:rPr>
          <w:noProof/>
        </w:rPr>
        <w:t>e transparency and participation provisions indicated that Belgium, France and Latvia are the only Member States that have adopted specific legislation related to the Regulation on permit granting and public participation. A study by Milieu (2016) show tha</w:t>
      </w:r>
      <w:r>
        <w:rPr>
          <w:noProof/>
        </w:rPr>
        <w:t>t only four Member States apply the obligation for project promoters to draw up public participation concepts and only eight have held public participation procedures in addition to the one envisaged in the EIA</w:t>
      </w:r>
      <w:r>
        <w:rPr>
          <w:noProof/>
          <w:vertAlign w:val="superscript"/>
        </w:rPr>
        <w:footnoteReference w:id="151"/>
      </w:r>
      <w:r>
        <w:rPr>
          <w:noProof/>
        </w:rPr>
        <w:t>. Although in place, the information availabl</w:t>
      </w:r>
      <w:r>
        <w:rPr>
          <w:noProof/>
        </w:rPr>
        <w:t>e on the dedicated PCI websites vary considerably in terms of detail, scope and accuracy</w:t>
      </w:r>
      <w:r>
        <w:rPr>
          <w:noProof/>
          <w:vertAlign w:val="superscript"/>
        </w:rPr>
        <w:footnoteReference w:id="152"/>
      </w:r>
      <w:r>
        <w:rPr>
          <w:noProof/>
        </w:rPr>
        <w:t>.</w:t>
      </w:r>
    </w:p>
    <w:p w:rsidR="00B60846" w:rsidRDefault="008069FF">
      <w:pPr>
        <w:rPr>
          <w:i/>
          <w:noProof/>
          <w:u w:val="single"/>
        </w:rPr>
      </w:pPr>
      <w:r>
        <w:rPr>
          <w:i/>
          <w:noProof/>
          <w:u w:val="single"/>
        </w:rPr>
        <w:t xml:space="preserve">Regulatory treatment </w:t>
      </w:r>
    </w:p>
    <w:p w:rsidR="00B60846" w:rsidRDefault="008069FF">
      <w:pPr>
        <w:rPr>
          <w:noProof/>
        </w:rPr>
      </w:pPr>
      <w:r>
        <w:rPr>
          <w:noProof/>
        </w:rPr>
        <w:t>The Regulation applies to the regulatory treatment of PCIs by setting out rules for establishing methodologies for cost-benefit analysis, guide</w:t>
      </w:r>
      <w:r>
        <w:rPr>
          <w:noProof/>
        </w:rPr>
        <w:t>lines on cost allocations and risk-related incentives.</w:t>
      </w:r>
    </w:p>
    <w:p w:rsidR="00B60846" w:rsidRDefault="008069FF">
      <w:pPr>
        <w:rPr>
          <w:noProof/>
        </w:rPr>
      </w:pPr>
      <w:r>
        <w:rPr>
          <w:noProof/>
        </w:rPr>
        <w:t>When at least one Member State, affected by a PCI, estimates net negative impacts, it raises an important barrier for the project promoter(s) to invest in that PCI. The Regulation aims to eliminate thi</w:t>
      </w:r>
      <w:r>
        <w:rPr>
          <w:noProof/>
        </w:rPr>
        <w:t>s barrier and thereby facilitate investments. This is done by incorporating decisions on the allocation of the costs of such projects across borders by National Regulatory Authorities (NRAs) and by the Agency for the Cooperation of Energy Regulators (ACER)</w:t>
      </w:r>
      <w:r>
        <w:rPr>
          <w:noProof/>
        </w:rPr>
        <w:t xml:space="preserve"> if project promoters submit an investment request, including a request for Cross-Border Cost Allocation (CBCA). This mechanism has also been effective to varying extents. Currently 42 CBCA decisions were made, of which respectively 37 and 30 were reported</w:t>
      </w:r>
      <w:r>
        <w:rPr>
          <w:noProof/>
        </w:rPr>
        <w:t xml:space="preserve"> in ACER’s 2019 list of CBCA decisions and ACER’s 2018 CBCA monitoring report. Two of the total of 42 CBCA decisions were taken by ACER, where for the remaining 40 were coordinated decisions by NRAs. ACER indicated in their latest summary report</w:t>
      </w:r>
      <w:r>
        <w:rPr>
          <w:rFonts w:eastAsiaTheme="majorEastAsia"/>
          <w:noProof/>
          <w:vertAlign w:val="superscript"/>
        </w:rPr>
        <w:footnoteReference w:id="153"/>
      </w:r>
      <w:r>
        <w:rPr>
          <w:noProof/>
        </w:rPr>
        <w:t xml:space="preserve"> on the CB</w:t>
      </w:r>
      <w:r>
        <w:rPr>
          <w:noProof/>
        </w:rPr>
        <w:t xml:space="preserve">CA decisions that 70% of all CBCA decisions (21 out of 30) concluded before March 2018 concerned projects where the project was built on the territory of one country and the costs were allocated to that same country only. Despite showing a strong decrease </w:t>
      </w:r>
      <w:r>
        <w:rPr>
          <w:noProof/>
        </w:rPr>
        <w:t>in in the latest period from 2018-2020, a relatively large share of these PCIs in one country with one cost carrier remained as of March 2020 (24 out of 42 cases). These PCIs mostly involved internal lines with cross-border impact.  Another 30% of CBCA dec</w:t>
      </w:r>
      <w:r>
        <w:rPr>
          <w:noProof/>
        </w:rPr>
        <w:t>isions taken until March 2018 (9 out of 30) concerned projects with multiple Member States involved. For 5 out of 9 cross-border PCIs with CBCA decisions, the territorial principle (each country pays the part of the project on its territory) is relevant fo</w:t>
      </w:r>
      <w:r>
        <w:rPr>
          <w:noProof/>
        </w:rPr>
        <w:t xml:space="preserve">r the project crossing two countries without offshore sections. For 2 of these cases all involved countries were estimated to be net beneficiaries, thus the territorial principle was applied to formalise the cost division and to clarify on the costs to be </w:t>
      </w:r>
      <w:r>
        <w:rPr>
          <w:noProof/>
        </w:rPr>
        <w:t xml:space="preserve">covered by each country’s national system tariffs. </w:t>
      </w:r>
    </w:p>
    <w:p w:rsidR="00B60846" w:rsidRDefault="008069FF">
      <w:pPr>
        <w:rPr>
          <w:i/>
          <w:noProof/>
          <w:u w:val="single"/>
        </w:rPr>
      </w:pPr>
      <w:r>
        <w:rPr>
          <w:i/>
          <w:noProof/>
          <w:u w:val="single"/>
        </w:rPr>
        <w:t>Financing</w:t>
      </w:r>
    </w:p>
    <w:p w:rsidR="00B60846" w:rsidRDefault="008069FF">
      <w:pPr>
        <w:spacing w:after="0"/>
        <w:rPr>
          <w:noProof/>
        </w:rPr>
      </w:pPr>
      <w:r>
        <w:rPr>
          <w:noProof/>
        </w:rPr>
        <w:t>The TEN-E Regulation is based on a three-step logic:</w:t>
      </w:r>
    </w:p>
    <w:p w:rsidR="00B60846" w:rsidRDefault="008069FF">
      <w:pPr>
        <w:numPr>
          <w:ilvl w:val="0"/>
          <w:numId w:val="41"/>
        </w:numPr>
        <w:spacing w:after="0"/>
        <w:rPr>
          <w:noProof/>
        </w:rPr>
      </w:pPr>
      <w:r>
        <w:rPr>
          <w:noProof/>
        </w:rPr>
        <w:t xml:space="preserve">As a principle, infrastructure should be paid for through congestion rents. If costs are covered through congestion rents a project can be </w:t>
      </w:r>
      <w:r>
        <w:rPr>
          <w:noProof/>
        </w:rPr>
        <w:t>considered sufficiently commercially viable and therefore no further provisions are applicable;</w:t>
      </w:r>
    </w:p>
    <w:p w:rsidR="00B60846" w:rsidRDefault="008069FF">
      <w:pPr>
        <w:numPr>
          <w:ilvl w:val="0"/>
          <w:numId w:val="41"/>
        </w:numPr>
        <w:spacing w:after="0"/>
        <w:rPr>
          <w:noProof/>
        </w:rPr>
      </w:pPr>
      <w:r>
        <w:rPr>
          <w:noProof/>
        </w:rPr>
        <w:t xml:space="preserve">If a network operator is not able to recover the costs of the network through congestion rents, the Regulation establishes the principle that it should be paid </w:t>
      </w:r>
      <w:r>
        <w:rPr>
          <w:noProof/>
        </w:rPr>
        <w:t>for by network users through tariffs for network access. The Cross-Border Cost Allocation (CBCA) provision allows for a (re)allocation of project costs across borders to Members States, where the project has a net positive impact;</w:t>
      </w:r>
    </w:p>
    <w:p w:rsidR="00B60846" w:rsidRDefault="008069FF">
      <w:pPr>
        <w:numPr>
          <w:ilvl w:val="0"/>
          <w:numId w:val="41"/>
        </w:numPr>
        <w:rPr>
          <w:noProof/>
        </w:rPr>
      </w:pPr>
      <w:r>
        <w:rPr>
          <w:noProof/>
        </w:rPr>
        <w:t xml:space="preserve">Finally, if reallocation </w:t>
      </w:r>
      <w:r>
        <w:rPr>
          <w:noProof/>
        </w:rPr>
        <w:t>of costs through CBCA is still not sufficient and a project remains commercially non-viable, PCIs can, under certain conditions, apply for Union financial assistance in the form of grants for studies and grants for works.</w:t>
      </w:r>
    </w:p>
    <w:p w:rsidR="00B60846" w:rsidRDefault="008069FF">
      <w:pPr>
        <w:rPr>
          <w:noProof/>
        </w:rPr>
      </w:pPr>
      <w:r>
        <w:rPr>
          <w:noProof/>
        </w:rPr>
        <w:t>The share of congestion revenue ef</w:t>
      </w:r>
      <w:r>
        <w:rPr>
          <w:noProof/>
        </w:rPr>
        <w:t>fectively spent on maintaining or increasing interconnection capacity increased between 2011 and 2015 (from 18% to 40%)</w:t>
      </w:r>
      <w:r>
        <w:rPr>
          <w:noProof/>
          <w:vertAlign w:val="superscript"/>
        </w:rPr>
        <w:footnoteReference w:id="154"/>
      </w:r>
      <w:r>
        <w:rPr>
          <w:noProof/>
        </w:rPr>
        <w:t>.</w:t>
      </w:r>
    </w:p>
    <w:p w:rsidR="00B60846" w:rsidRDefault="008069FF">
      <w:pPr>
        <w:rPr>
          <w:noProof/>
        </w:rPr>
      </w:pPr>
      <w:r>
        <w:rPr>
          <w:noProof/>
        </w:rPr>
        <w:t>CEF has provided EUR 4.7 billion to PCIs for 149 actions. A large share of the funding provided has been used for works, and electrici</w:t>
      </w:r>
      <w:r>
        <w:rPr>
          <w:noProof/>
        </w:rPr>
        <w:t>ty projects have received more grants than gas projects. Smart grid and CO2 infrastructure – which represent smaller numbers of PCIs that also are less mature than electricity or gas transmission projects – only account for marginal shares of CEF grants pr</w:t>
      </w:r>
      <w:r>
        <w:rPr>
          <w:noProof/>
        </w:rPr>
        <w:t>ovided. As indicated in the most recent CEF-Energy Report</w:t>
      </w:r>
      <w:r>
        <w:rPr>
          <w:noProof/>
          <w:vertAlign w:val="superscript"/>
        </w:rPr>
        <w:footnoteReference w:id="155"/>
      </w:r>
      <w:r>
        <w:rPr>
          <w:noProof/>
        </w:rPr>
        <w:t>, transmission infrastructure projects attract the largest share of funding.</w:t>
      </w:r>
    </w:p>
    <w:p w:rsidR="00B60846" w:rsidRDefault="008069FF">
      <w:pPr>
        <w:pStyle w:val="Heading1"/>
        <w:rPr>
          <w:noProof/>
        </w:rPr>
      </w:pPr>
      <w:bookmarkStart w:id="1341" w:name="_Toc55496488"/>
      <w:r>
        <w:rPr>
          <w:noProof/>
        </w:rPr>
        <w:t>Method</w:t>
      </w:r>
      <w:bookmarkEnd w:id="1341"/>
    </w:p>
    <w:p w:rsidR="00B60846" w:rsidRDefault="008069FF">
      <w:pPr>
        <w:rPr>
          <w:noProof/>
        </w:rPr>
      </w:pPr>
      <w:r>
        <w:rPr>
          <w:noProof/>
        </w:rPr>
        <w:t>This evaluation was supported by a study “Support to the evaluation of Regulation (EU) No 347/2013 on guidelines f</w:t>
      </w:r>
      <w:r>
        <w:rPr>
          <w:noProof/>
        </w:rPr>
        <w:t>or trans-European energy infrastructure” commissioned to an external contractor which helped gather, quantify and assess evidence drawn from a range of sources on the performance of the TEN-E instrument to date.</w:t>
      </w:r>
    </w:p>
    <w:p w:rsidR="00B60846" w:rsidRDefault="008069FF">
      <w:pPr>
        <w:rPr>
          <w:noProof/>
        </w:rPr>
      </w:pPr>
      <w:r>
        <w:rPr>
          <w:noProof/>
        </w:rPr>
        <w:t>To provide relevant evidence on the implemen</w:t>
      </w:r>
      <w:r>
        <w:rPr>
          <w:noProof/>
        </w:rPr>
        <w:t>tation of the TEN-E Regulation, a number of methods were employed to collect primary and secondary data. The data collection included desk research, portfolio analysis, case study analysis, modelling and expert and stakeholder consultations. As mentioned u</w:t>
      </w:r>
      <w:r>
        <w:rPr>
          <w:noProof/>
        </w:rPr>
        <w:t>nder section 2, the data was collected from literature research, stakeholder input to the extensive consultations carried out in this respect (notably expert interviews, 4 webinars and 2 stakeholder surveys), PCI portfolio and case study analysis and relat</w:t>
      </w:r>
      <w:r>
        <w:rPr>
          <w:noProof/>
        </w:rPr>
        <w:t>ed monitoring reports and modelling.</w:t>
      </w:r>
    </w:p>
    <w:p w:rsidR="00B60846" w:rsidRDefault="008069FF">
      <w:pPr>
        <w:rPr>
          <w:noProof/>
        </w:rPr>
      </w:pPr>
      <w:r>
        <w:rPr>
          <w:noProof/>
        </w:rPr>
        <w:t>The evaluation questions were drafted with a strong focus on how the ‘activities’ of the TEN-E Regulation perform (as listed in the intervention logic) and how they contribute to its output and objectives. Each question</w:t>
      </w:r>
      <w:r>
        <w:rPr>
          <w:noProof/>
        </w:rPr>
        <w:t xml:space="preserve"> has been further ramified into a set of sub-questions. </w:t>
      </w:r>
    </w:p>
    <w:p w:rsidR="00B60846" w:rsidRDefault="008069FF">
      <w:pPr>
        <w:rPr>
          <w:noProof/>
        </w:rPr>
      </w:pPr>
      <w:r>
        <w:rPr>
          <w:noProof/>
        </w:rPr>
        <w:t>The evaluation matrix included each set of questions and their sub-questions, as well as  assessment criteria; indicators which inform the assessment, data sources and collection methods, analysis an</w:t>
      </w:r>
      <w:r>
        <w:rPr>
          <w:noProof/>
        </w:rPr>
        <w:t xml:space="preserve">d approaches and ability to answer the evaluation question and limitations. </w:t>
      </w:r>
    </w:p>
    <w:p w:rsidR="00B60846" w:rsidRDefault="008069FF">
      <w:pPr>
        <w:rPr>
          <w:noProof/>
        </w:rPr>
      </w:pPr>
      <w:r>
        <w:rPr>
          <w:noProof/>
        </w:rPr>
        <w:t xml:space="preserve">The evaluation questions and sub-questions per each evaluation criteria as used in the evaluation are outlined in the table below. </w:t>
      </w:r>
    </w:p>
    <w:p w:rsidR="00B60846" w:rsidRDefault="008069FF">
      <w:pPr>
        <w:rPr>
          <w:noProof/>
        </w:rPr>
      </w:pPr>
      <w:r>
        <w:rPr>
          <w:noProof/>
        </w:rPr>
        <w:t>The main (implementation) provisions of the TEN</w:t>
      </w:r>
      <w:r>
        <w:rPr>
          <w:noProof/>
        </w:rPr>
        <w:t xml:space="preserve">-E Regulation have been further looked into more detail and a set of questions directly assessing their effectiveness has been developed in order to gather specific evidence on </w:t>
      </w:r>
      <w:r>
        <w:rPr>
          <w:i/>
          <w:noProof/>
        </w:rPr>
        <w:t>i) the PCI selection process; ii) permit granting and public participation; iii</w:t>
      </w:r>
      <w:r>
        <w:rPr>
          <w:i/>
          <w:noProof/>
        </w:rPr>
        <w:t>) monitoring</w:t>
      </w:r>
      <w:r>
        <w:rPr>
          <w:noProof/>
        </w:rPr>
        <w:t xml:space="preserve"> and </w:t>
      </w:r>
      <w:r>
        <w:rPr>
          <w:i/>
          <w:noProof/>
        </w:rPr>
        <w:t xml:space="preserve">iv) regulatory incentives and CBCA. </w:t>
      </w:r>
      <w:r>
        <w:rPr>
          <w:noProof/>
        </w:rPr>
        <w:t xml:space="preserve">The replies to this set of implementation questions have been analysed together with the evidence under the effectiveness criteria. </w:t>
      </w:r>
    </w:p>
    <w:p w:rsidR="00B60846" w:rsidRDefault="008069FF">
      <w:pPr>
        <w:rPr>
          <w:noProof/>
        </w:rPr>
      </w:pPr>
      <w:r>
        <w:rPr>
          <w:noProof/>
        </w:rPr>
        <w:t>In the process of data collection and analysis the  several challenges</w:t>
      </w:r>
      <w:r>
        <w:rPr>
          <w:noProof/>
        </w:rPr>
        <w:t xml:space="preserve"> and limitations were identified. These are presented below, together with  the impact they may have had on the evaluation itself and the corresponding mitigation measures.  </w:t>
      </w:r>
    </w:p>
    <w:tbl>
      <w:tblPr>
        <w:tblStyle w:val="CV14"/>
        <w:tblW w:w="0" w:type="auto"/>
        <w:tblLook w:val="04A0" w:firstRow="1" w:lastRow="0" w:firstColumn="1" w:lastColumn="0" w:noHBand="0" w:noVBand="1"/>
      </w:tblPr>
      <w:tblGrid>
        <w:gridCol w:w="2949"/>
        <w:gridCol w:w="1130"/>
        <w:gridCol w:w="4755"/>
      </w:tblGrid>
      <w:tr w:rsidR="00B60846">
        <w:tc>
          <w:tcPr>
            <w:tcW w:w="3080" w:type="dxa"/>
          </w:tcPr>
          <w:p w:rsidR="00B60846" w:rsidRDefault="008069FF">
            <w:pPr>
              <w:jc w:val="left"/>
              <w:rPr>
                <w:b/>
                <w:noProof/>
              </w:rPr>
            </w:pPr>
            <w:r>
              <w:rPr>
                <w:b/>
                <w:noProof/>
              </w:rPr>
              <w:t xml:space="preserve">Issue or limitation </w:t>
            </w:r>
          </w:p>
        </w:tc>
        <w:tc>
          <w:tcPr>
            <w:tcW w:w="1139" w:type="dxa"/>
          </w:tcPr>
          <w:p w:rsidR="00B60846" w:rsidRDefault="008069FF">
            <w:pPr>
              <w:jc w:val="left"/>
              <w:rPr>
                <w:b/>
                <w:noProof/>
              </w:rPr>
            </w:pPr>
            <w:r>
              <w:rPr>
                <w:b/>
                <w:noProof/>
              </w:rPr>
              <w:t>Impact</w:t>
            </w:r>
          </w:p>
        </w:tc>
        <w:tc>
          <w:tcPr>
            <w:tcW w:w="5023" w:type="dxa"/>
          </w:tcPr>
          <w:p w:rsidR="00B60846" w:rsidRDefault="008069FF">
            <w:pPr>
              <w:jc w:val="left"/>
              <w:rPr>
                <w:b/>
                <w:noProof/>
              </w:rPr>
            </w:pPr>
            <w:r>
              <w:rPr>
                <w:b/>
                <w:noProof/>
              </w:rPr>
              <w:t xml:space="preserve">Mitigation measure </w:t>
            </w:r>
          </w:p>
        </w:tc>
      </w:tr>
      <w:tr w:rsidR="00B60846">
        <w:tc>
          <w:tcPr>
            <w:tcW w:w="3080" w:type="dxa"/>
          </w:tcPr>
          <w:p w:rsidR="00B60846" w:rsidRDefault="008069FF">
            <w:pPr>
              <w:jc w:val="left"/>
              <w:rPr>
                <w:noProof/>
              </w:rPr>
            </w:pPr>
            <w:r>
              <w:rPr>
                <w:noProof/>
              </w:rPr>
              <w:t>Limited information available as</w:t>
            </w:r>
            <w:r>
              <w:rPr>
                <w:noProof/>
              </w:rPr>
              <w:t xml:space="preserve"> part of the desk research </w:t>
            </w:r>
          </w:p>
        </w:tc>
        <w:tc>
          <w:tcPr>
            <w:tcW w:w="1139" w:type="dxa"/>
          </w:tcPr>
          <w:p w:rsidR="00B60846" w:rsidRDefault="008069FF">
            <w:pPr>
              <w:jc w:val="left"/>
              <w:rPr>
                <w:noProof/>
              </w:rPr>
            </w:pPr>
            <w:r>
              <w:rPr>
                <w:noProof/>
              </w:rPr>
              <w:t xml:space="preserve">Low </w:t>
            </w:r>
          </w:p>
        </w:tc>
        <w:tc>
          <w:tcPr>
            <w:tcW w:w="5023" w:type="dxa"/>
          </w:tcPr>
          <w:p w:rsidR="00B60846" w:rsidRDefault="008069FF">
            <w:pPr>
              <w:jc w:val="left"/>
              <w:rPr>
                <w:noProof/>
              </w:rPr>
            </w:pPr>
            <w:r>
              <w:rPr>
                <w:noProof/>
              </w:rPr>
              <w:t>The available information was gathered against the evaluation matrix at an early stage of the evaluation. Therefore, the gaps were identified at earlier stages and missing topics were included in the questionnaires for the targeted survey and open public c</w:t>
            </w:r>
            <w:r>
              <w:rPr>
                <w:noProof/>
              </w:rPr>
              <w:t xml:space="preserve">onsultation In addition, further gaps have been identified and addressed as part of the interviewing process. </w:t>
            </w:r>
          </w:p>
        </w:tc>
      </w:tr>
      <w:tr w:rsidR="00B60846">
        <w:tc>
          <w:tcPr>
            <w:tcW w:w="3080" w:type="dxa"/>
          </w:tcPr>
          <w:p w:rsidR="00B60846" w:rsidRDefault="008069FF">
            <w:pPr>
              <w:jc w:val="left"/>
              <w:rPr>
                <w:noProof/>
              </w:rPr>
            </w:pPr>
            <w:r>
              <w:rPr>
                <w:noProof/>
              </w:rPr>
              <w:t xml:space="preserve">Fragmented quantitative information on specific PCI technical data </w:t>
            </w:r>
          </w:p>
        </w:tc>
        <w:tc>
          <w:tcPr>
            <w:tcW w:w="1139" w:type="dxa"/>
          </w:tcPr>
          <w:p w:rsidR="00B60846" w:rsidRDefault="008069FF">
            <w:pPr>
              <w:jc w:val="left"/>
              <w:rPr>
                <w:noProof/>
              </w:rPr>
            </w:pPr>
            <w:r>
              <w:rPr>
                <w:noProof/>
              </w:rPr>
              <w:t xml:space="preserve">Medium </w:t>
            </w:r>
          </w:p>
        </w:tc>
        <w:tc>
          <w:tcPr>
            <w:tcW w:w="5023" w:type="dxa"/>
          </w:tcPr>
          <w:p w:rsidR="00B60846" w:rsidRDefault="008069FF">
            <w:pPr>
              <w:jc w:val="left"/>
              <w:rPr>
                <w:noProof/>
              </w:rPr>
            </w:pPr>
            <w:r>
              <w:rPr>
                <w:noProof/>
              </w:rPr>
              <w:t>Desk research revealed that quantitative information on PCIs is fragmented or somewhat difficult to access. Specifically combining monitoring data with CEF funding and historical PCI data is problematic due to inconsistencies in formats and a lack of centr</w:t>
            </w:r>
            <w:r>
              <w:rPr>
                <w:noProof/>
              </w:rPr>
              <w:t xml:space="preserve">alised accessibility. This is why special attention to this information was paid when drafting the questionnaires for the OPC and targeted survey. </w:t>
            </w:r>
          </w:p>
        </w:tc>
      </w:tr>
      <w:tr w:rsidR="00B60846">
        <w:tc>
          <w:tcPr>
            <w:tcW w:w="3080" w:type="dxa"/>
          </w:tcPr>
          <w:p w:rsidR="00B60846" w:rsidRDefault="008069FF">
            <w:pPr>
              <w:jc w:val="left"/>
              <w:rPr>
                <w:noProof/>
              </w:rPr>
            </w:pPr>
            <w:r>
              <w:rPr>
                <w:noProof/>
              </w:rPr>
              <w:t xml:space="preserve">Meaningful cost estimates to answer the evaluation questions on efficiency </w:t>
            </w:r>
          </w:p>
        </w:tc>
        <w:tc>
          <w:tcPr>
            <w:tcW w:w="1139" w:type="dxa"/>
          </w:tcPr>
          <w:p w:rsidR="00B60846" w:rsidRDefault="008069FF">
            <w:pPr>
              <w:jc w:val="left"/>
              <w:rPr>
                <w:noProof/>
              </w:rPr>
            </w:pPr>
            <w:r>
              <w:rPr>
                <w:noProof/>
              </w:rPr>
              <w:t xml:space="preserve">Medium </w:t>
            </w:r>
          </w:p>
        </w:tc>
        <w:tc>
          <w:tcPr>
            <w:tcW w:w="5023" w:type="dxa"/>
          </w:tcPr>
          <w:p w:rsidR="00B60846" w:rsidRDefault="008069FF">
            <w:pPr>
              <w:jc w:val="left"/>
              <w:rPr>
                <w:noProof/>
              </w:rPr>
            </w:pPr>
            <w:r>
              <w:rPr>
                <w:noProof/>
              </w:rPr>
              <w:t xml:space="preserve">The questionnaires for </w:t>
            </w:r>
            <w:r>
              <w:rPr>
                <w:noProof/>
              </w:rPr>
              <w:t>the targeted survey and OPC were composed in such a way to address this issue and include questions on the estimates of FTE’s and cost drivers for cost items which are considered ‘high’ or ‘too high’ according to stakeholders.  Further information was requ</w:t>
            </w:r>
            <w:r>
              <w:rPr>
                <w:noProof/>
              </w:rPr>
              <w:t xml:space="preserve">ested in the interviews. Results were triangulated between different types of stakeholders. </w:t>
            </w:r>
          </w:p>
          <w:p w:rsidR="00B60846" w:rsidRDefault="00B60846">
            <w:pPr>
              <w:jc w:val="left"/>
              <w:rPr>
                <w:noProof/>
              </w:rPr>
            </w:pPr>
          </w:p>
        </w:tc>
      </w:tr>
      <w:tr w:rsidR="00B60846">
        <w:tc>
          <w:tcPr>
            <w:tcW w:w="3080" w:type="dxa"/>
          </w:tcPr>
          <w:p w:rsidR="00B60846" w:rsidRDefault="008069FF">
            <w:pPr>
              <w:jc w:val="left"/>
              <w:rPr>
                <w:noProof/>
              </w:rPr>
            </w:pPr>
            <w:r>
              <w:rPr>
                <w:noProof/>
              </w:rPr>
              <w:t xml:space="preserve">Divergence from initially planned distribution of interviewees </w:t>
            </w:r>
          </w:p>
        </w:tc>
        <w:tc>
          <w:tcPr>
            <w:tcW w:w="1139" w:type="dxa"/>
          </w:tcPr>
          <w:p w:rsidR="00B60846" w:rsidRDefault="008069FF">
            <w:pPr>
              <w:jc w:val="left"/>
              <w:rPr>
                <w:noProof/>
              </w:rPr>
            </w:pPr>
            <w:r>
              <w:rPr>
                <w:noProof/>
              </w:rPr>
              <w:t>Medium</w:t>
            </w:r>
          </w:p>
        </w:tc>
        <w:tc>
          <w:tcPr>
            <w:tcW w:w="5023" w:type="dxa"/>
          </w:tcPr>
          <w:p w:rsidR="00B60846" w:rsidRDefault="008069FF">
            <w:pPr>
              <w:jc w:val="left"/>
              <w:rPr>
                <w:noProof/>
              </w:rPr>
            </w:pPr>
            <w:r>
              <w:rPr>
                <w:noProof/>
              </w:rPr>
              <w:t xml:space="preserve">The differences in representation of types of stakeholders in comparison to the initially </w:t>
            </w:r>
            <w:r>
              <w:rPr>
                <w:noProof/>
              </w:rPr>
              <w:t xml:space="preserve">planned representation are taken into account in the qualitative analysis and presented in a way that reflects the share of interviews conducted with the different stakeholder categories. </w:t>
            </w:r>
          </w:p>
        </w:tc>
      </w:tr>
      <w:tr w:rsidR="00B60846">
        <w:tc>
          <w:tcPr>
            <w:tcW w:w="3080" w:type="dxa"/>
          </w:tcPr>
          <w:p w:rsidR="00B60846" w:rsidRDefault="008069FF">
            <w:pPr>
              <w:jc w:val="left"/>
              <w:rPr>
                <w:noProof/>
              </w:rPr>
            </w:pPr>
            <w:r>
              <w:rPr>
                <w:noProof/>
              </w:rPr>
              <w:t>Data on permitting schemes is potentially outdated. Current inform</w:t>
            </w:r>
            <w:r>
              <w:rPr>
                <w:noProof/>
              </w:rPr>
              <w:t xml:space="preserve">ation is dispersed and difficult to access. </w:t>
            </w:r>
          </w:p>
        </w:tc>
        <w:tc>
          <w:tcPr>
            <w:tcW w:w="1139" w:type="dxa"/>
          </w:tcPr>
          <w:p w:rsidR="00B60846" w:rsidRDefault="008069FF">
            <w:pPr>
              <w:jc w:val="left"/>
              <w:rPr>
                <w:noProof/>
              </w:rPr>
            </w:pPr>
            <w:r>
              <w:rPr>
                <w:noProof/>
              </w:rPr>
              <w:t xml:space="preserve">Medium </w:t>
            </w:r>
          </w:p>
        </w:tc>
        <w:tc>
          <w:tcPr>
            <w:tcW w:w="5023" w:type="dxa"/>
          </w:tcPr>
          <w:p w:rsidR="00B60846" w:rsidRDefault="008069FF">
            <w:pPr>
              <w:jc w:val="left"/>
              <w:rPr>
                <w:noProof/>
              </w:rPr>
            </w:pPr>
            <w:r>
              <w:rPr>
                <w:noProof/>
              </w:rPr>
              <w:t xml:space="preserve">The latest study on permitting schemes adopted in Member States dates from 2016. As such, NCAs were further contacted for clarity, and additional information on the schemes currently in place. </w:t>
            </w:r>
          </w:p>
        </w:tc>
      </w:tr>
      <w:tr w:rsidR="00B60846">
        <w:tc>
          <w:tcPr>
            <w:tcW w:w="3080" w:type="dxa"/>
          </w:tcPr>
          <w:p w:rsidR="00B60846" w:rsidRDefault="008069FF">
            <w:pPr>
              <w:jc w:val="left"/>
              <w:rPr>
                <w:noProof/>
              </w:rPr>
            </w:pPr>
            <w:r>
              <w:rPr>
                <w:noProof/>
              </w:rPr>
              <w:t>Data qua</w:t>
            </w:r>
            <w:r>
              <w:rPr>
                <w:noProof/>
              </w:rPr>
              <w:t xml:space="preserve">lity issues project monitoring data </w:t>
            </w:r>
          </w:p>
        </w:tc>
        <w:tc>
          <w:tcPr>
            <w:tcW w:w="1139" w:type="dxa"/>
          </w:tcPr>
          <w:p w:rsidR="00B60846" w:rsidRDefault="008069FF">
            <w:pPr>
              <w:jc w:val="left"/>
              <w:rPr>
                <w:noProof/>
              </w:rPr>
            </w:pPr>
            <w:r>
              <w:rPr>
                <w:noProof/>
              </w:rPr>
              <w:t xml:space="preserve">Low </w:t>
            </w:r>
          </w:p>
        </w:tc>
        <w:tc>
          <w:tcPr>
            <w:tcW w:w="5023" w:type="dxa"/>
          </w:tcPr>
          <w:p w:rsidR="00B60846" w:rsidRDefault="008069FF">
            <w:pPr>
              <w:jc w:val="left"/>
              <w:rPr>
                <w:noProof/>
              </w:rPr>
            </w:pPr>
            <w:r>
              <w:rPr>
                <w:noProof/>
              </w:rPr>
              <w:t>Project monitoring data from ACER was used for the analysis of the portfolio of electricity and gas projects. Several data quality issues were identified, as a result not all data could be used (data quality of recent years improved). Monitoring data is on</w:t>
            </w:r>
            <w:r>
              <w:rPr>
                <w:noProof/>
              </w:rPr>
              <w:t xml:space="preserve">ly used when complete and accurate. </w:t>
            </w:r>
          </w:p>
        </w:tc>
      </w:tr>
      <w:tr w:rsidR="00B60846">
        <w:tc>
          <w:tcPr>
            <w:tcW w:w="3080" w:type="dxa"/>
          </w:tcPr>
          <w:p w:rsidR="00B60846" w:rsidRDefault="008069FF">
            <w:pPr>
              <w:jc w:val="left"/>
              <w:rPr>
                <w:noProof/>
              </w:rPr>
            </w:pPr>
            <w:r>
              <w:rPr>
                <w:noProof/>
              </w:rPr>
              <w:t xml:space="preserve">Fragmented quantitative information on specific PCI technical data </w:t>
            </w:r>
          </w:p>
        </w:tc>
        <w:tc>
          <w:tcPr>
            <w:tcW w:w="1139" w:type="dxa"/>
          </w:tcPr>
          <w:p w:rsidR="00B60846" w:rsidRDefault="008069FF">
            <w:pPr>
              <w:jc w:val="left"/>
              <w:rPr>
                <w:noProof/>
              </w:rPr>
            </w:pPr>
            <w:r>
              <w:rPr>
                <w:noProof/>
              </w:rPr>
              <w:t xml:space="preserve">Medium </w:t>
            </w:r>
          </w:p>
        </w:tc>
        <w:tc>
          <w:tcPr>
            <w:tcW w:w="5023" w:type="dxa"/>
          </w:tcPr>
          <w:p w:rsidR="00B60846" w:rsidRDefault="008069FF">
            <w:pPr>
              <w:jc w:val="left"/>
              <w:rPr>
                <w:noProof/>
              </w:rPr>
            </w:pPr>
            <w:r>
              <w:rPr>
                <w:noProof/>
              </w:rPr>
              <w:t xml:space="preserve">Desk research revealed that quantitative information on PCIs is fragmented or somewhat difficult to access. The available and consistent data </w:t>
            </w:r>
            <w:r>
              <w:rPr>
                <w:noProof/>
              </w:rPr>
              <w:t xml:space="preserve">was filtered where possible , checked against insights from stakeholder interviews and complemented with ACER monitoring data... </w:t>
            </w:r>
          </w:p>
        </w:tc>
      </w:tr>
      <w:tr w:rsidR="00B60846">
        <w:tc>
          <w:tcPr>
            <w:tcW w:w="3080" w:type="dxa"/>
          </w:tcPr>
          <w:p w:rsidR="00B60846" w:rsidRDefault="008069FF">
            <w:pPr>
              <w:jc w:val="left"/>
              <w:rPr>
                <w:noProof/>
              </w:rPr>
            </w:pPr>
            <w:r>
              <w:rPr>
                <w:noProof/>
              </w:rPr>
              <w:t xml:space="preserve">Lack of cost estimates to answer all the evaluation questions on efficiency </w:t>
            </w:r>
          </w:p>
        </w:tc>
        <w:tc>
          <w:tcPr>
            <w:tcW w:w="1139" w:type="dxa"/>
          </w:tcPr>
          <w:p w:rsidR="00B60846" w:rsidRDefault="008069FF">
            <w:pPr>
              <w:jc w:val="left"/>
              <w:rPr>
                <w:noProof/>
              </w:rPr>
            </w:pPr>
            <w:r>
              <w:rPr>
                <w:noProof/>
              </w:rPr>
              <w:t xml:space="preserve">Medium </w:t>
            </w:r>
          </w:p>
        </w:tc>
        <w:tc>
          <w:tcPr>
            <w:tcW w:w="5023" w:type="dxa"/>
          </w:tcPr>
          <w:p w:rsidR="00B60846" w:rsidRDefault="008069FF">
            <w:pPr>
              <w:jc w:val="left"/>
              <w:rPr>
                <w:noProof/>
              </w:rPr>
            </w:pPr>
            <w:r>
              <w:rPr>
                <w:noProof/>
              </w:rPr>
              <w:t>A more qualitative assessment of adminis</w:t>
            </w:r>
            <w:r>
              <w:rPr>
                <w:noProof/>
              </w:rPr>
              <w:t xml:space="preserve">trative costs was carried out, whilst aiming at the provision of quantitative results to the extent possible. </w:t>
            </w:r>
          </w:p>
        </w:tc>
      </w:tr>
      <w:tr w:rsidR="00B60846">
        <w:tc>
          <w:tcPr>
            <w:tcW w:w="3080" w:type="dxa"/>
          </w:tcPr>
          <w:p w:rsidR="00B60846" w:rsidRDefault="008069FF">
            <w:pPr>
              <w:jc w:val="left"/>
              <w:rPr>
                <w:noProof/>
              </w:rPr>
            </w:pPr>
            <w:r>
              <w:rPr>
                <w:noProof/>
              </w:rPr>
              <w:t xml:space="preserve">Modelling: not all benefits can be quantified </w:t>
            </w:r>
          </w:p>
        </w:tc>
        <w:tc>
          <w:tcPr>
            <w:tcW w:w="1139" w:type="dxa"/>
          </w:tcPr>
          <w:p w:rsidR="00B60846" w:rsidRDefault="008069FF">
            <w:pPr>
              <w:jc w:val="left"/>
              <w:rPr>
                <w:noProof/>
              </w:rPr>
            </w:pPr>
            <w:r>
              <w:rPr>
                <w:noProof/>
              </w:rPr>
              <w:t xml:space="preserve">Low </w:t>
            </w:r>
          </w:p>
        </w:tc>
        <w:tc>
          <w:tcPr>
            <w:tcW w:w="5023" w:type="dxa"/>
          </w:tcPr>
          <w:p w:rsidR="00B60846" w:rsidRDefault="008069FF">
            <w:pPr>
              <w:jc w:val="left"/>
              <w:rPr>
                <w:noProof/>
              </w:rPr>
            </w:pPr>
            <w:r>
              <w:rPr>
                <w:noProof/>
              </w:rPr>
              <w:t>In the modelling, socio-economic benefits are quantified but estimates do not reflect all be</w:t>
            </w:r>
            <w:r>
              <w:rPr>
                <w:noProof/>
              </w:rPr>
              <w:t xml:space="preserve">nefits. This has been addressed by explaining socio-economic benefits in the annex with the modelling results. </w:t>
            </w:r>
          </w:p>
        </w:tc>
      </w:tr>
    </w:tbl>
    <w:p w:rsidR="00B60846" w:rsidRDefault="00B60846">
      <w:pPr>
        <w:rPr>
          <w:noProof/>
        </w:rPr>
      </w:pPr>
    </w:p>
    <w:p w:rsidR="00B60846" w:rsidRDefault="008069FF">
      <w:pPr>
        <w:pStyle w:val="Heading1"/>
        <w:rPr>
          <w:noProof/>
        </w:rPr>
      </w:pPr>
      <w:bookmarkStart w:id="1342" w:name="_Toc55496489"/>
      <w:r>
        <w:rPr>
          <w:noProof/>
        </w:rPr>
        <w:t>Analysis and answers to the evaluation questions</w:t>
      </w:r>
      <w:bookmarkEnd w:id="1342"/>
    </w:p>
    <w:p w:rsidR="00B60846" w:rsidRDefault="008069FF">
      <w:pPr>
        <w:rPr>
          <w:noProof/>
        </w:rPr>
      </w:pPr>
      <w:r>
        <w:rPr>
          <w:noProof/>
        </w:rPr>
        <w:t>This section presents the answers to each set of evaluation questions per criterion in an agg</w:t>
      </w:r>
      <w:r>
        <w:rPr>
          <w:noProof/>
        </w:rPr>
        <w:t>regated manner. The questions, as well as the findings are mentioned under each subsection</w:t>
      </w:r>
    </w:p>
    <w:p w:rsidR="00B60846" w:rsidRDefault="008069FF">
      <w:pPr>
        <w:rPr>
          <w:noProof/>
        </w:rPr>
      </w:pPr>
      <w:r>
        <w:rPr>
          <w:b/>
          <w:bCs/>
          <w:noProof/>
        </w:rPr>
        <w:t xml:space="preserve">Effectiveness </w:t>
      </w:r>
      <w:r>
        <w:rPr>
          <w:noProof/>
        </w:rPr>
        <w:t xml:space="preserve"> </w:t>
      </w:r>
    </w:p>
    <w:p w:rsidR="00B60846" w:rsidRDefault="008069FF">
      <w:pPr>
        <w:rPr>
          <w:noProof/>
        </w:rPr>
      </w:pPr>
      <w:r>
        <w:rPr>
          <w:noProof/>
        </w:rPr>
        <w:t>Three main questions have guided the assessment of the effectiveness of the TEN-E Regulation, as presented below:</w:t>
      </w:r>
    </w:p>
    <w:p w:rsidR="00B60846" w:rsidRDefault="008069FF">
      <w:pPr>
        <w:numPr>
          <w:ilvl w:val="0"/>
          <w:numId w:val="45"/>
        </w:numPr>
        <w:contextualSpacing/>
        <w:rPr>
          <w:noProof/>
        </w:rPr>
      </w:pPr>
      <w:r>
        <w:rPr>
          <w:noProof/>
        </w:rPr>
        <w:t>How effective has the regulatory ap</w:t>
      </w:r>
      <w:r>
        <w:rPr>
          <w:noProof/>
        </w:rPr>
        <w:t xml:space="preserve">proach of the TEN-E Regulation been both in terms of scope and main provisions in contributing to the goals of market integration, security of supply, competitiveness and the climate and energy targets for 2020?  </w:t>
      </w:r>
    </w:p>
    <w:p w:rsidR="00B60846" w:rsidRDefault="008069FF">
      <w:pPr>
        <w:numPr>
          <w:ilvl w:val="0"/>
          <w:numId w:val="45"/>
        </w:numPr>
        <w:contextualSpacing/>
        <w:rPr>
          <w:noProof/>
        </w:rPr>
      </w:pPr>
      <w:r>
        <w:rPr>
          <w:noProof/>
        </w:rPr>
        <w:t>To what extent has the Regulation’ main pr</w:t>
      </w:r>
      <w:r>
        <w:rPr>
          <w:noProof/>
        </w:rPr>
        <w:t xml:space="preserve">ovisions addressed the needs identified in the Impact Assessment accompanying the Commission proposal in 2011?  </w:t>
      </w:r>
    </w:p>
    <w:p w:rsidR="00B60846" w:rsidRDefault="008069FF">
      <w:pPr>
        <w:numPr>
          <w:ilvl w:val="0"/>
          <w:numId w:val="45"/>
        </w:numPr>
        <w:contextualSpacing/>
        <w:rPr>
          <w:noProof/>
        </w:rPr>
      </w:pPr>
      <w:r>
        <w:rPr>
          <w:noProof/>
        </w:rPr>
        <w:t xml:space="preserve">What unintended or unexpected positive and negative effects, if any, have been produced by the TEN-E Regulation? (e.g. in terms of human </w:t>
      </w:r>
      <w:r>
        <w:rPr>
          <w:noProof/>
        </w:rPr>
        <w:t>health, use of resources, and natural ecosystems)?</w:t>
      </w:r>
    </w:p>
    <w:p w:rsidR="00B60846" w:rsidRDefault="008069FF">
      <w:pPr>
        <w:rPr>
          <w:noProof/>
        </w:rPr>
      </w:pPr>
      <w:r>
        <w:rPr>
          <w:noProof/>
        </w:rPr>
        <w:t>In terms of the overall goals, the TEN-E Regulation has effectively improved market integration and competitiveness, as shown in the evidence on interconnection targets and energy prices and their converge</w:t>
      </w:r>
      <w:r>
        <w:rPr>
          <w:noProof/>
        </w:rPr>
        <w:t>nce across the EU and thus contributed to the overall development towards achieving them. 42 PCIs have been commissioned to date and contributed to this development by creating the interconnection capacities.</w:t>
      </w:r>
    </w:p>
    <w:p w:rsidR="00B60846" w:rsidRDefault="008069FF">
      <w:pPr>
        <w:rPr>
          <w:noProof/>
        </w:rPr>
      </w:pPr>
      <w:r>
        <w:rPr>
          <w:noProof/>
        </w:rPr>
        <w:t>As a main contextual driver to the design of th</w:t>
      </w:r>
      <w:r>
        <w:rPr>
          <w:noProof/>
        </w:rPr>
        <w:t>e TEN-E Regulation, security of supply has also been improved, to which PCIs in electricity, gas and oil have strongly contributed. For gas, the infrastructure and supply resilience has improved substantially since 2013. Member States are almost exclusivel</w:t>
      </w:r>
      <w:r>
        <w:rPr>
          <w:noProof/>
        </w:rPr>
        <w:t>y compliant with the N-1 rule and the infrastructure resilient to disruption scenarios. The focus on cross-border projects that increase the interconnection is found to have been an effective contribution to these goals. Modelling indicates strong socio-ec</w:t>
      </w:r>
      <w:r>
        <w:rPr>
          <w:noProof/>
        </w:rPr>
        <w:t>onomic benefits in gas security of supply arising from implemented PCIs (118 m€/yr in 2020 market situation, which was even more substantial in a 2013 market situation scenario (193 m€/yr)). Security of supply of electricity is increased through enhanced i</w:t>
      </w:r>
      <w:r>
        <w:rPr>
          <w:noProof/>
        </w:rPr>
        <w:t>nterconnectivity with 19 Member States reaching or going beyond the 10% interconnection target for 2020. Modelling shows </w:t>
      </w:r>
      <w:r>
        <w:rPr>
          <w:noProof/>
          <w:lang w:val="en-IE"/>
        </w:rPr>
        <w:t>that electricity PCIs commissioned already deliver substantial benefits that might even increase in the future.</w:t>
      </w:r>
    </w:p>
    <w:p w:rsidR="00B60846" w:rsidRDefault="008069FF">
      <w:pPr>
        <w:rPr>
          <w:noProof/>
        </w:rPr>
      </w:pPr>
      <w:r>
        <w:rPr>
          <w:noProof/>
          <w:lang w:val="hu-HU"/>
        </w:rPr>
        <w:t>T</w:t>
      </w:r>
      <w:r>
        <w:rPr>
          <w:noProof/>
        </w:rPr>
        <w:t>he organisation of PCI</w:t>
      </w:r>
      <w:r>
        <w:rPr>
          <w:noProof/>
        </w:rPr>
        <w:t xml:space="preserve"> selection in Regional Groups under the coordination of the Commission is found to be an important factor, as well as the approach to share costs between Member States to enable projects with benefits across borders. The financing support provided by CEF a</w:t>
      </w:r>
      <w:r>
        <w:rPr>
          <w:noProof/>
        </w:rPr>
        <w:t>lso contributed to this. 4.7 billion EUR in CEF co-financing have been allocated to 149 actions in relation to 95 PCIs. The grants for studies helped projects to reduce risks in the early stages while grants for works supported projects addressing key bott</w:t>
      </w:r>
      <w:r>
        <w:rPr>
          <w:noProof/>
        </w:rPr>
        <w:t xml:space="preserve">lenecks. </w:t>
      </w:r>
    </w:p>
    <w:p w:rsidR="00B60846" w:rsidRDefault="008069FF">
      <w:pPr>
        <w:rPr>
          <w:noProof/>
        </w:rPr>
      </w:pPr>
      <w:r>
        <w:rPr>
          <w:noProof/>
          <w:lang w:val="en-IE"/>
        </w:rPr>
        <w:t>Analysed data on TEN-E’s performance shows a contribution towards EU’s energy and climate targets, albeit less significant than compared to the other internal market objectives (</w:t>
      </w:r>
      <w:r>
        <w:rPr>
          <w:noProof/>
        </w:rPr>
        <w:t>market integration, security of supply, competitiveness)</w:t>
      </w:r>
      <w:r>
        <w:rPr>
          <w:noProof/>
          <w:lang w:val="en-IE"/>
        </w:rPr>
        <w:t xml:space="preserve">  due to the</w:t>
      </w:r>
      <w:r>
        <w:rPr>
          <w:noProof/>
          <w:lang w:val="en-IE"/>
        </w:rPr>
        <w:t xml:space="preserve"> historic priorities of the policy and difficulty in devising a robust sustainability assessment of gas PCIs</w:t>
      </w:r>
      <w:r>
        <w:rPr>
          <w:noProof/>
          <w:vertAlign w:val="superscript"/>
          <w:lang w:val="en-IE"/>
        </w:rPr>
        <w:footnoteReference w:id="156"/>
      </w:r>
      <w:r>
        <w:rPr>
          <w:noProof/>
          <w:lang w:val="en-IE"/>
        </w:rPr>
        <w:t xml:space="preserve">. </w:t>
      </w:r>
      <w:r>
        <w:rPr>
          <w:noProof/>
        </w:rPr>
        <w:t>Electricity interconnection PCIs are key elements for the integration of renewable energy sources into the European market.</w:t>
      </w:r>
      <w:r>
        <w:rPr>
          <w:noProof/>
          <w:lang w:val="en-IE"/>
        </w:rPr>
        <w:t xml:space="preserve"> Although quantitative data on the effect of the TEN-E Regulation in this field is more limited, the modelling shows a reduction of CO2 emissions of 2804 kilotons across EU (or 0.4% decrease) for the year 2020 compared to the baseline resulting from the im</w:t>
      </w:r>
      <w:r>
        <w:rPr>
          <w:noProof/>
          <w:lang w:val="en-IE"/>
        </w:rPr>
        <w:t>plementation of electricity interconnection PCIs</w:t>
      </w:r>
      <w:r>
        <w:rPr>
          <w:noProof/>
        </w:rPr>
        <w:t>. Quantified impact of gas PCIs on CO2 reduction is rather negligible. A positive contribution has been qualitatively described during the consultation by TSOs, NCAs Eastern Europe.</w:t>
      </w:r>
    </w:p>
    <w:p w:rsidR="00B60846" w:rsidRDefault="008069FF">
      <w:pPr>
        <w:rPr>
          <w:noProof/>
        </w:rPr>
      </w:pPr>
      <w:r>
        <w:rPr>
          <w:noProof/>
        </w:rPr>
        <w:t>The regulation addressed t</w:t>
      </w:r>
      <w:r>
        <w:rPr>
          <w:noProof/>
        </w:rPr>
        <w:t xml:space="preserve">he needs identified in the 2011 Impact Assessment, as regards the lengthy and ineffective permit granting procedures, regulatory challenges for cross-border projects and difficulties in financing such large infrastructure projects. The specific objectives </w:t>
      </w:r>
      <w:r>
        <w:rPr>
          <w:noProof/>
        </w:rPr>
        <w:t>of reducing permit duration and complexity, advancing the regulatory framework and improving the financing conditions of energy infrastructure projects in a cross-border context have overall been improved since the Regulation entered into force in 2013. Ho</w:t>
      </w:r>
      <w:r>
        <w:rPr>
          <w:noProof/>
        </w:rPr>
        <w:t xml:space="preserve">wever, the positive picture at the level of overall improvement also faces challenges in the specific implementation of the main provisions. </w:t>
      </w:r>
    </w:p>
    <w:p w:rsidR="00B60846" w:rsidRDefault="008069FF">
      <w:pPr>
        <w:rPr>
          <w:noProof/>
        </w:rPr>
      </w:pPr>
      <w:r>
        <w:rPr>
          <w:noProof/>
        </w:rPr>
        <w:t>As already indicated under section 3, the duration of permit granting processes in the Member States has shortened</w:t>
      </w:r>
      <w:r>
        <w:rPr>
          <w:noProof/>
        </w:rPr>
        <w:t xml:space="preserve"> compared to the baseline situation. Looking at the overall picture, monitoring reports indicate an average duration of 4 years for electricity PCIs and 3.1 years for gas PCIs.</w:t>
      </w:r>
    </w:p>
    <w:p w:rsidR="00B60846" w:rsidRDefault="008069FF">
      <w:pPr>
        <w:rPr>
          <w:b/>
          <w:noProof/>
        </w:rPr>
      </w:pPr>
      <w:r>
        <w:rPr>
          <w:b/>
          <w:noProof/>
        </w:rPr>
        <w:t>Figure 5:</w:t>
      </w:r>
      <w:r>
        <w:rPr>
          <w:rFonts w:ascii="Arial" w:eastAsiaTheme="minorHAnsi" w:hAnsi="Arial" w:cstheme="minorBidi"/>
          <w:b/>
          <w:noProof/>
          <w:sz w:val="18"/>
          <w:szCs w:val="22"/>
        </w:rPr>
        <w:t xml:space="preserve"> </w:t>
      </w:r>
      <w:r>
        <w:rPr>
          <w:b/>
          <w:noProof/>
        </w:rPr>
        <w:t>Duration of the permit granting process for electricity PCIs</w:t>
      </w:r>
    </w:p>
    <w:p w:rsidR="00B60846" w:rsidRDefault="008069FF">
      <w:pPr>
        <w:tabs>
          <w:tab w:val="clear" w:pos="2302"/>
        </w:tabs>
        <w:spacing w:after="0" w:line="280" w:lineRule="atLeast"/>
        <w:jc w:val="left"/>
        <w:rPr>
          <w:rFonts w:eastAsia="Arial"/>
          <w:noProof/>
          <w:szCs w:val="24"/>
          <w:lang w:eastAsia="nl-NL"/>
        </w:rPr>
      </w:pPr>
      <w:r>
        <w:rPr>
          <w:rFonts w:eastAsia="Arial"/>
          <w:noProof/>
          <w:szCs w:val="24"/>
          <w:lang w:eastAsia="en-GB"/>
        </w:rPr>
        <w:drawing>
          <wp:inline distT="0" distB="0" distL="0" distR="0">
            <wp:extent cx="4953689" cy="2391109"/>
            <wp:effectExtent l="0" t="0" r="0" b="9525"/>
            <wp:docPr id="19" name="Picture 13101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194245"/>
                    <pic:cNvPicPr/>
                  </pic:nvPicPr>
                  <pic:blipFill>
                    <a:blip r:embed="rId40">
                      <a:extLst>
                        <a:ext uri="{28A0092B-C50C-407E-A947-70E740481C1C}">
                          <a14:useLocalDpi xmlns:a14="http://schemas.microsoft.com/office/drawing/2010/main" val="0"/>
                        </a:ext>
                      </a:extLst>
                    </a:blip>
                    <a:stretch>
                      <a:fillRect/>
                    </a:stretch>
                  </pic:blipFill>
                  <pic:spPr>
                    <a:xfrm>
                      <a:off x="0" y="0"/>
                      <a:ext cx="4953689" cy="2391109"/>
                    </a:xfrm>
                    <a:prstGeom prst="rect">
                      <a:avLst/>
                    </a:prstGeom>
                  </pic:spPr>
                </pic:pic>
              </a:graphicData>
            </a:graphic>
          </wp:inline>
        </w:drawing>
      </w:r>
    </w:p>
    <w:p w:rsidR="00B60846" w:rsidRDefault="008069FF">
      <w:pPr>
        <w:keepNext/>
        <w:rPr>
          <w:noProof/>
          <w:sz w:val="14"/>
          <w:szCs w:val="18"/>
        </w:rPr>
      </w:pPr>
      <w:r>
        <w:rPr>
          <w:noProof/>
          <w:sz w:val="14"/>
          <w:szCs w:val="18"/>
        </w:rPr>
        <w:t>Source</w:t>
      </w:r>
      <w:r>
        <w:rPr>
          <w:noProof/>
          <w:sz w:val="14"/>
          <w:szCs w:val="18"/>
        </w:rPr>
        <w:t>: adapted from ACER 2019 (Consolidated Progress Report).</w:t>
      </w:r>
    </w:p>
    <w:p w:rsidR="00B60846" w:rsidRDefault="00B60846">
      <w:pPr>
        <w:rPr>
          <w:noProof/>
        </w:rPr>
      </w:pPr>
    </w:p>
    <w:p w:rsidR="00B60846" w:rsidRDefault="008069FF">
      <w:pPr>
        <w:rPr>
          <w:b/>
          <w:noProof/>
        </w:rPr>
      </w:pPr>
      <w:r>
        <w:rPr>
          <w:b/>
          <w:noProof/>
        </w:rPr>
        <w:t>Figure 6: Duration of the expected permit granting process for gas PCIs</w:t>
      </w:r>
    </w:p>
    <w:p w:rsidR="00B60846" w:rsidRDefault="008069FF">
      <w:pPr>
        <w:tabs>
          <w:tab w:val="clear" w:pos="2302"/>
        </w:tabs>
        <w:spacing w:after="0" w:line="280" w:lineRule="atLeast"/>
        <w:jc w:val="left"/>
        <w:rPr>
          <w:rFonts w:eastAsia="Arial"/>
          <w:noProof/>
          <w:szCs w:val="24"/>
          <w:lang w:eastAsia="nl-NL"/>
        </w:rPr>
      </w:pPr>
      <w:r>
        <w:rPr>
          <w:rFonts w:eastAsia="Arial"/>
          <w:noProof/>
          <w:szCs w:val="24"/>
          <w:lang w:eastAsia="en-GB"/>
        </w:rPr>
        <w:drawing>
          <wp:inline distT="0" distB="0" distL="0" distR="0">
            <wp:extent cx="5039360" cy="2446655"/>
            <wp:effectExtent l="0" t="0" r="8890" b="0"/>
            <wp:docPr id="20" name="Chart 20">
              <a:extLst xmlns:a="http://schemas.openxmlformats.org/drawingml/2006/main">
                <a:ext uri="{FF2B5EF4-FFF2-40B4-BE49-F238E27FC236}">
                  <a16:creationId xmlns:a16="http://schemas.microsoft.com/office/drawing/2014/main" id="{52A256FD-2756-4DB0-AFB2-A45B03AC5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60846" w:rsidRDefault="008069FF">
      <w:pPr>
        <w:tabs>
          <w:tab w:val="clear" w:pos="2302"/>
        </w:tabs>
        <w:spacing w:after="0" w:line="200" w:lineRule="atLeast"/>
        <w:jc w:val="left"/>
        <w:rPr>
          <w:rFonts w:eastAsia="Arial"/>
          <w:noProof/>
          <w:sz w:val="14"/>
          <w:szCs w:val="24"/>
          <w:lang w:eastAsia="nl-NL"/>
        </w:rPr>
      </w:pPr>
      <w:r>
        <w:rPr>
          <w:rFonts w:eastAsia="Arial"/>
          <w:noProof/>
          <w:sz w:val="14"/>
          <w:szCs w:val="24"/>
          <w:lang w:eastAsia="nl-NL"/>
        </w:rPr>
        <w:t>Source: adapted from ACER 2019 (Consolidated Progress Report).</w:t>
      </w:r>
    </w:p>
    <w:p w:rsidR="00B60846" w:rsidRDefault="00B60846">
      <w:pPr>
        <w:rPr>
          <w:noProof/>
        </w:rPr>
      </w:pPr>
    </w:p>
    <w:p w:rsidR="00B60846" w:rsidRDefault="008069FF">
      <w:pPr>
        <w:rPr>
          <w:noProof/>
        </w:rPr>
      </w:pPr>
      <w:r>
        <w:rPr>
          <w:noProof/>
        </w:rPr>
        <w:t>The permitting process constitutes one of the main causes fo</w:t>
      </w:r>
      <w:r>
        <w:rPr>
          <w:noProof/>
        </w:rPr>
        <w:t>r delays for both electricity and gas PCIs. For instance, 25% of electricity PCIs were reported as delayed in the 2019 ACER report. Of these, 46% encountered delays specifically during the permit granting process. These numbers are similar to those provide</w:t>
      </w:r>
      <w:r>
        <w:rPr>
          <w:noProof/>
        </w:rPr>
        <w:t>d in the 2018 report but slightly lower than those in the 2017 report, suggesting a slight improvement. For gas PCIs, the picture looks similar - 12 PCIs have been delayed (i.e. 28% of gas PCIs), of which 7 (58%) report the permitting stage as the cause. T</w:t>
      </w:r>
      <w:r>
        <w:rPr>
          <w:noProof/>
        </w:rPr>
        <w:t xml:space="preserve">hese results are similar to those reported in 2018. </w:t>
      </w:r>
    </w:p>
    <w:p w:rsidR="00B60846" w:rsidRDefault="008069FF">
      <w:pPr>
        <w:rPr>
          <w:b/>
          <w:noProof/>
        </w:rPr>
      </w:pPr>
      <w:r>
        <w:rPr>
          <w:b/>
          <w:noProof/>
        </w:rPr>
        <w:t>Figure 7: Reasons for electricity and gas PCI delays</w:t>
      </w:r>
    </w:p>
    <w:p w:rsidR="00B60846" w:rsidRDefault="008069FF">
      <w:pPr>
        <w:rPr>
          <w:noProof/>
        </w:rPr>
      </w:pPr>
      <w:r>
        <w:rPr>
          <w:rFonts w:ascii="Arial" w:eastAsia="Calibri" w:hAnsi="Arial" w:cs="Arial"/>
          <w:noProof/>
          <w:sz w:val="18"/>
          <w:szCs w:val="22"/>
          <w:lang w:eastAsia="en-GB"/>
        </w:rPr>
        <w:drawing>
          <wp:inline distT="0" distB="0" distL="0" distR="0">
            <wp:extent cx="5029484" cy="275272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29484" cy="2752725"/>
                    </a:xfrm>
                    <a:prstGeom prst="rect">
                      <a:avLst/>
                    </a:prstGeom>
                  </pic:spPr>
                </pic:pic>
              </a:graphicData>
            </a:graphic>
          </wp:inline>
        </w:drawing>
      </w:r>
    </w:p>
    <w:p w:rsidR="00B60846" w:rsidRDefault="008069FF">
      <w:pPr>
        <w:rPr>
          <w:noProof/>
        </w:rPr>
      </w:pPr>
      <w:r>
        <w:rPr>
          <w:noProof/>
        </w:rPr>
        <w:t>However, longer permitting durations are still observed, including PCIs needing up to 9 years before obtaining the permit according to ACER’s latest</w:t>
      </w:r>
      <w:r>
        <w:rPr>
          <w:noProof/>
        </w:rPr>
        <w:t xml:space="preserve"> progress report, which indicates a high difference in permit granting duration between individual projects. The finding of differing permitting durations is strongly supported by the results of the stakeholder consultation which indicate that the effectiv</w:t>
      </w:r>
      <w:r>
        <w:rPr>
          <w:noProof/>
        </w:rPr>
        <w:t xml:space="preserve">eness of permit granting procedures strongly depends on national implementation. Experiences of project promoters vary substantially because of differences in applying TEN-E permitting requirements such as the responsibilities of authorities in the permit </w:t>
      </w:r>
      <w:r>
        <w:rPr>
          <w:noProof/>
        </w:rPr>
        <w:t>granting process. Project characteristics have a substantial influence on the requirements of the permitting process. The nature of PCIs as large projects with cross-border impacts creates strong needs for impact assessment and complex planning documentati</w:t>
      </w:r>
      <w:r>
        <w:rPr>
          <w:noProof/>
        </w:rPr>
        <w:t>on according to project promoters. In section 3 we have outlined the permitting schemes as chosen by Member States to facilitate and coordinate the permit granting process for PCIs.</w:t>
      </w:r>
    </w:p>
    <w:p w:rsidR="00B60846" w:rsidRDefault="008069FF">
      <w:pPr>
        <w:keepNext/>
        <w:spacing w:before="120" w:after="120"/>
        <w:rPr>
          <w:noProof/>
          <w:szCs w:val="24"/>
        </w:rPr>
      </w:pPr>
      <w:r>
        <w:rPr>
          <w:noProof/>
          <w:szCs w:val="24"/>
        </w:rPr>
        <w:t xml:space="preserve">In terms of the effectiveness of the permitting scheme employed, the 2016 </w:t>
      </w:r>
      <w:r>
        <w:rPr>
          <w:noProof/>
          <w:szCs w:val="24"/>
        </w:rPr>
        <w:t>ACER progress report</w:t>
      </w:r>
      <w:r>
        <w:rPr>
          <w:noProof/>
          <w:szCs w:val="24"/>
        </w:rPr>
        <w:footnoteReference w:id="157"/>
      </w:r>
      <w:r>
        <w:rPr>
          <w:b/>
          <w:noProof/>
          <w:szCs w:val="24"/>
        </w:rPr>
        <w:t xml:space="preserve"> </w:t>
      </w:r>
      <w:r>
        <w:rPr>
          <w:noProof/>
          <w:szCs w:val="24"/>
        </w:rPr>
        <w:t xml:space="preserve">estimated the duration of permit granting per scheme, which is shown for electricity PCIs in the figure below. This report found that coordinated schemes had the shortest duration for permit granting, followed by a similar duration </w:t>
      </w:r>
      <w:r>
        <w:rPr>
          <w:noProof/>
          <w:szCs w:val="24"/>
        </w:rPr>
        <w:t>for integrated, collaborative and multiple schemes</w:t>
      </w:r>
      <w:r>
        <w:rPr>
          <w:noProof/>
          <w:szCs w:val="24"/>
        </w:rPr>
        <w:footnoteReference w:id="158"/>
      </w:r>
      <w:r>
        <w:rPr>
          <w:noProof/>
          <w:szCs w:val="24"/>
        </w:rPr>
        <w:t>. The table also shows that coordinated schemes were compliant with the 3.5-year time limit, whereas the other types of schemes resulted in durations of the permitting stage slightly above the limit establ</w:t>
      </w:r>
      <w:r>
        <w:rPr>
          <w:noProof/>
          <w:szCs w:val="24"/>
        </w:rPr>
        <w:t xml:space="preserve">ished in Art. 10(2). </w:t>
      </w:r>
    </w:p>
    <w:p w:rsidR="00B60846" w:rsidRDefault="00B60846">
      <w:pPr>
        <w:tabs>
          <w:tab w:val="clear" w:pos="2302"/>
        </w:tabs>
        <w:spacing w:after="0" w:line="280" w:lineRule="atLeast"/>
        <w:jc w:val="left"/>
        <w:rPr>
          <w:rFonts w:eastAsia="Arial"/>
          <w:noProof/>
          <w:szCs w:val="24"/>
          <w:lang w:eastAsia="nl-NL"/>
        </w:rPr>
      </w:pPr>
    </w:p>
    <w:p w:rsidR="00B60846" w:rsidRDefault="008069FF">
      <w:pPr>
        <w:rPr>
          <w:b/>
          <w:noProof/>
        </w:rPr>
      </w:pPr>
      <w:r>
        <w:rPr>
          <w:b/>
          <w:noProof/>
        </w:rPr>
        <w:t>Table 3: Distribution of permitting schemes for electricity PCIs and expected duration of permit granting depending on the scheme</w:t>
      </w:r>
    </w:p>
    <w:tbl>
      <w:tblPr>
        <w:tblStyle w:val="table-style-blauw-100-none11"/>
        <w:tblpPr w:leftFromText="141" w:rightFromText="141" w:vertAnchor="text" w:horzAnchor="margin" w:tblpY="72"/>
        <w:tblW w:w="5000" w:type="pct"/>
        <w:tblInd w:w="0" w:type="dxa"/>
        <w:tblLook w:val="04A0" w:firstRow="1" w:lastRow="0" w:firstColumn="1" w:lastColumn="0" w:noHBand="0" w:noVBand="1"/>
      </w:tblPr>
      <w:tblGrid>
        <w:gridCol w:w="2208"/>
        <w:gridCol w:w="2209"/>
        <w:gridCol w:w="2057"/>
        <w:gridCol w:w="2360"/>
      </w:tblGrid>
      <w:tr w:rsidR="00B60846" w:rsidTr="00B60846">
        <w:trPr>
          <w:cnfStyle w:val="100000000000" w:firstRow="1" w:lastRow="0" w:firstColumn="0" w:lastColumn="0" w:oddVBand="0" w:evenVBand="0" w:oddHBand="0" w:evenHBand="0" w:firstRowFirstColumn="0" w:firstRowLastColumn="0" w:lastRowFirstColumn="0" w:lastRowLastColumn="0"/>
        </w:trPr>
        <w:tc>
          <w:tcPr>
            <w:tcW w:w="1250" w:type="pct"/>
            <w:tcBorders>
              <w:top w:val="single" w:sz="4" w:space="0" w:color="006DB6"/>
              <w:left w:val="single" w:sz="4" w:space="0" w:color="006DB6"/>
              <w:bottom w:val="single" w:sz="4" w:space="0" w:color="006DB6"/>
              <w:right w:val="single" w:sz="4" w:space="0" w:color="FFFFFF" w:themeColor="background1"/>
            </w:tcBorders>
            <w:vAlign w:val="center"/>
          </w:tcPr>
          <w:p w:rsidR="00B60846" w:rsidRDefault="008069FF">
            <w:pPr>
              <w:tabs>
                <w:tab w:val="clear" w:pos="2302"/>
              </w:tabs>
              <w:spacing w:after="0" w:line="280" w:lineRule="atLeast"/>
              <w:jc w:val="left"/>
              <w:rPr>
                <w:noProof/>
                <w:sz w:val="16"/>
                <w:szCs w:val="24"/>
              </w:rPr>
            </w:pPr>
            <w:r>
              <w:rPr>
                <w:noProof/>
                <w:sz w:val="16"/>
                <w:szCs w:val="24"/>
              </w:rPr>
              <w:t>Permitting scheme</w:t>
            </w:r>
          </w:p>
        </w:tc>
        <w:tc>
          <w:tcPr>
            <w:tcW w:w="1250" w:type="pct"/>
            <w:tcBorders>
              <w:top w:val="single" w:sz="4" w:space="0" w:color="006DB6"/>
              <w:left w:val="single" w:sz="4" w:space="0" w:color="FFFFFF" w:themeColor="background1"/>
              <w:bottom w:val="single" w:sz="4" w:space="0" w:color="006DB6"/>
              <w:right w:val="single" w:sz="4" w:space="0" w:color="FFFFFF" w:themeColor="background1"/>
            </w:tcBorders>
            <w:vAlign w:val="center"/>
          </w:tcPr>
          <w:p w:rsidR="00B60846" w:rsidRDefault="008069FF">
            <w:pPr>
              <w:tabs>
                <w:tab w:val="clear" w:pos="2302"/>
              </w:tabs>
              <w:spacing w:after="0" w:line="280" w:lineRule="atLeast"/>
              <w:jc w:val="left"/>
              <w:rPr>
                <w:noProof/>
                <w:sz w:val="16"/>
                <w:szCs w:val="24"/>
              </w:rPr>
            </w:pPr>
            <w:r>
              <w:rPr>
                <w:noProof/>
                <w:sz w:val="16"/>
                <w:szCs w:val="24"/>
              </w:rPr>
              <w:t>Number of Member States applying the scheme (in 2016)</w:t>
            </w:r>
          </w:p>
        </w:tc>
        <w:tc>
          <w:tcPr>
            <w:tcW w:w="1164" w:type="pct"/>
            <w:tcBorders>
              <w:top w:val="single" w:sz="4" w:space="0" w:color="006DB6"/>
              <w:left w:val="single" w:sz="4" w:space="0" w:color="FFFFFF" w:themeColor="background1"/>
              <w:bottom w:val="single" w:sz="4" w:space="0" w:color="006DB6"/>
              <w:right w:val="single" w:sz="4" w:space="0" w:color="FFFFFF" w:themeColor="background1"/>
            </w:tcBorders>
            <w:vAlign w:val="center"/>
          </w:tcPr>
          <w:p w:rsidR="00B60846" w:rsidRDefault="008069FF">
            <w:pPr>
              <w:tabs>
                <w:tab w:val="clear" w:pos="2302"/>
              </w:tabs>
              <w:spacing w:after="0" w:line="280" w:lineRule="atLeast"/>
              <w:jc w:val="left"/>
              <w:rPr>
                <w:noProof/>
                <w:sz w:val="16"/>
                <w:szCs w:val="24"/>
              </w:rPr>
            </w:pPr>
            <w:r>
              <w:rPr>
                <w:noProof/>
                <w:sz w:val="16"/>
                <w:szCs w:val="24"/>
              </w:rPr>
              <w:t>Number of PCIs (in 2016)</w:t>
            </w:r>
          </w:p>
        </w:tc>
        <w:tc>
          <w:tcPr>
            <w:tcW w:w="1337" w:type="pct"/>
            <w:tcBorders>
              <w:top w:val="single" w:sz="4" w:space="0" w:color="006DB6"/>
              <w:left w:val="single" w:sz="4" w:space="0" w:color="FFFFFF" w:themeColor="background1"/>
              <w:bottom w:val="single" w:sz="4" w:space="0" w:color="006DB6"/>
              <w:right w:val="single" w:sz="4" w:space="0" w:color="006DB6"/>
            </w:tcBorders>
            <w:vAlign w:val="center"/>
          </w:tcPr>
          <w:p w:rsidR="00B60846" w:rsidRDefault="008069FF">
            <w:pPr>
              <w:tabs>
                <w:tab w:val="clear" w:pos="2302"/>
              </w:tabs>
              <w:spacing w:after="0" w:line="280" w:lineRule="atLeast"/>
              <w:jc w:val="left"/>
              <w:rPr>
                <w:noProof/>
                <w:sz w:val="16"/>
                <w:szCs w:val="24"/>
              </w:rPr>
            </w:pPr>
            <w:r>
              <w:rPr>
                <w:noProof/>
                <w:sz w:val="16"/>
                <w:szCs w:val="24"/>
              </w:rPr>
              <w:t>Average expected duration of permit granting (years, in 2016)</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Borders>
              <w:top w:val="single" w:sz="4" w:space="0" w:color="006DB6"/>
            </w:tcBorders>
          </w:tcPr>
          <w:p w:rsidR="00B60846" w:rsidRDefault="008069FF">
            <w:pPr>
              <w:tabs>
                <w:tab w:val="clear" w:pos="2302"/>
              </w:tabs>
              <w:spacing w:after="0" w:line="280" w:lineRule="atLeast"/>
              <w:jc w:val="left"/>
              <w:rPr>
                <w:noProof/>
                <w:sz w:val="16"/>
                <w:szCs w:val="24"/>
              </w:rPr>
            </w:pPr>
            <w:r>
              <w:rPr>
                <w:noProof/>
                <w:sz w:val="16"/>
                <w:szCs w:val="24"/>
              </w:rPr>
              <w:t xml:space="preserve">Integrated </w:t>
            </w:r>
          </w:p>
        </w:tc>
        <w:tc>
          <w:tcPr>
            <w:tcW w:w="1250" w:type="pct"/>
            <w:tcBorders>
              <w:top w:val="single" w:sz="4" w:space="0" w:color="006DB6"/>
            </w:tcBorders>
            <w:vAlign w:val="center"/>
          </w:tcPr>
          <w:p w:rsidR="00B60846" w:rsidRDefault="008069FF">
            <w:pPr>
              <w:tabs>
                <w:tab w:val="clear" w:pos="2302"/>
              </w:tabs>
              <w:spacing w:after="0" w:line="280" w:lineRule="atLeast"/>
              <w:jc w:val="left"/>
              <w:rPr>
                <w:noProof/>
                <w:sz w:val="16"/>
                <w:szCs w:val="24"/>
              </w:rPr>
            </w:pPr>
            <w:r>
              <w:rPr>
                <w:noProof/>
                <w:sz w:val="16"/>
                <w:szCs w:val="24"/>
              </w:rPr>
              <w:t>1</w:t>
            </w:r>
          </w:p>
        </w:tc>
        <w:tc>
          <w:tcPr>
            <w:tcW w:w="1164" w:type="pct"/>
            <w:tcBorders>
              <w:top w:val="single" w:sz="4" w:space="0" w:color="006DB6"/>
            </w:tcBorders>
            <w:vAlign w:val="center"/>
          </w:tcPr>
          <w:p w:rsidR="00B60846" w:rsidRDefault="008069FF">
            <w:pPr>
              <w:tabs>
                <w:tab w:val="clear" w:pos="2302"/>
              </w:tabs>
              <w:spacing w:after="0" w:line="280" w:lineRule="atLeast"/>
              <w:jc w:val="left"/>
              <w:rPr>
                <w:noProof/>
                <w:sz w:val="16"/>
                <w:szCs w:val="24"/>
              </w:rPr>
            </w:pPr>
            <w:r>
              <w:rPr>
                <w:noProof/>
                <w:sz w:val="16"/>
                <w:szCs w:val="24"/>
              </w:rPr>
              <w:t>4</w:t>
            </w:r>
          </w:p>
        </w:tc>
        <w:tc>
          <w:tcPr>
            <w:tcW w:w="1337" w:type="pct"/>
            <w:tcBorders>
              <w:top w:val="single" w:sz="4" w:space="0" w:color="006DB6"/>
            </w:tcBorders>
            <w:vAlign w:val="center"/>
          </w:tcPr>
          <w:p w:rsidR="00B60846" w:rsidRDefault="008069FF">
            <w:pPr>
              <w:tabs>
                <w:tab w:val="clear" w:pos="2302"/>
              </w:tabs>
              <w:spacing w:after="0" w:line="280" w:lineRule="atLeast"/>
              <w:jc w:val="left"/>
              <w:rPr>
                <w:noProof/>
                <w:sz w:val="16"/>
                <w:szCs w:val="24"/>
              </w:rPr>
            </w:pPr>
            <w:r>
              <w:rPr>
                <w:noProof/>
                <w:sz w:val="16"/>
                <w:szCs w:val="24"/>
              </w:rPr>
              <w:t>3.8</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Pr>
          <w:p w:rsidR="00B60846" w:rsidRDefault="008069FF">
            <w:pPr>
              <w:tabs>
                <w:tab w:val="clear" w:pos="2302"/>
              </w:tabs>
              <w:spacing w:after="0" w:line="280" w:lineRule="atLeast"/>
              <w:jc w:val="left"/>
              <w:rPr>
                <w:noProof/>
                <w:sz w:val="16"/>
                <w:szCs w:val="24"/>
              </w:rPr>
            </w:pPr>
            <w:r>
              <w:rPr>
                <w:noProof/>
                <w:sz w:val="16"/>
                <w:szCs w:val="24"/>
              </w:rPr>
              <w:t>Coordinated</w:t>
            </w:r>
          </w:p>
        </w:tc>
        <w:tc>
          <w:tcPr>
            <w:tcW w:w="1250" w:type="pct"/>
            <w:vAlign w:val="center"/>
          </w:tcPr>
          <w:p w:rsidR="00B60846" w:rsidRDefault="008069FF">
            <w:pPr>
              <w:tabs>
                <w:tab w:val="clear" w:pos="2302"/>
              </w:tabs>
              <w:spacing w:after="0" w:line="280" w:lineRule="atLeast"/>
              <w:jc w:val="left"/>
              <w:rPr>
                <w:noProof/>
                <w:sz w:val="16"/>
                <w:szCs w:val="24"/>
              </w:rPr>
            </w:pPr>
            <w:r>
              <w:rPr>
                <w:noProof/>
                <w:sz w:val="16"/>
                <w:szCs w:val="24"/>
              </w:rPr>
              <w:t>9</w:t>
            </w:r>
          </w:p>
        </w:tc>
        <w:tc>
          <w:tcPr>
            <w:tcW w:w="1164" w:type="pct"/>
            <w:vAlign w:val="center"/>
          </w:tcPr>
          <w:p w:rsidR="00B60846" w:rsidRDefault="008069FF">
            <w:pPr>
              <w:tabs>
                <w:tab w:val="clear" w:pos="2302"/>
              </w:tabs>
              <w:spacing w:after="0" w:line="280" w:lineRule="atLeast"/>
              <w:jc w:val="left"/>
              <w:rPr>
                <w:noProof/>
                <w:sz w:val="16"/>
                <w:szCs w:val="24"/>
              </w:rPr>
            </w:pPr>
            <w:r>
              <w:rPr>
                <w:noProof/>
                <w:sz w:val="16"/>
                <w:szCs w:val="24"/>
              </w:rPr>
              <w:t>24</w:t>
            </w:r>
          </w:p>
        </w:tc>
        <w:tc>
          <w:tcPr>
            <w:tcW w:w="1337" w:type="pct"/>
            <w:vAlign w:val="center"/>
          </w:tcPr>
          <w:p w:rsidR="00B60846" w:rsidRDefault="008069FF">
            <w:pPr>
              <w:tabs>
                <w:tab w:val="clear" w:pos="2302"/>
              </w:tabs>
              <w:spacing w:after="0" w:line="280" w:lineRule="atLeast"/>
              <w:jc w:val="left"/>
              <w:rPr>
                <w:noProof/>
                <w:sz w:val="16"/>
                <w:szCs w:val="24"/>
              </w:rPr>
            </w:pPr>
            <w:r>
              <w:rPr>
                <w:noProof/>
                <w:sz w:val="16"/>
                <w:szCs w:val="24"/>
              </w:rPr>
              <w:t>2.8</w:t>
            </w:r>
          </w:p>
        </w:tc>
      </w:tr>
      <w:tr w:rsidR="00B60846" w:rsidTr="00B60846">
        <w:trPr>
          <w:cnfStyle w:val="000000100000" w:firstRow="0" w:lastRow="0" w:firstColumn="0" w:lastColumn="0" w:oddVBand="0" w:evenVBand="0" w:oddHBand="1" w:evenHBand="0" w:firstRowFirstColumn="0" w:firstRowLastColumn="0" w:lastRowFirstColumn="0" w:lastRowLastColumn="0"/>
        </w:trPr>
        <w:tc>
          <w:tcPr>
            <w:tcW w:w="1250" w:type="pct"/>
          </w:tcPr>
          <w:p w:rsidR="00B60846" w:rsidRDefault="008069FF">
            <w:pPr>
              <w:tabs>
                <w:tab w:val="clear" w:pos="2302"/>
              </w:tabs>
              <w:spacing w:after="0" w:line="280" w:lineRule="atLeast"/>
              <w:jc w:val="left"/>
              <w:rPr>
                <w:noProof/>
                <w:sz w:val="16"/>
                <w:szCs w:val="24"/>
              </w:rPr>
            </w:pPr>
            <w:r>
              <w:rPr>
                <w:noProof/>
                <w:sz w:val="16"/>
                <w:szCs w:val="24"/>
              </w:rPr>
              <w:t>Collaborative</w:t>
            </w:r>
          </w:p>
        </w:tc>
        <w:tc>
          <w:tcPr>
            <w:tcW w:w="1250" w:type="pct"/>
            <w:vAlign w:val="center"/>
          </w:tcPr>
          <w:p w:rsidR="00B60846" w:rsidRDefault="008069FF">
            <w:pPr>
              <w:tabs>
                <w:tab w:val="clear" w:pos="2302"/>
              </w:tabs>
              <w:spacing w:after="0" w:line="280" w:lineRule="atLeast"/>
              <w:jc w:val="left"/>
              <w:rPr>
                <w:noProof/>
                <w:sz w:val="16"/>
                <w:szCs w:val="24"/>
              </w:rPr>
            </w:pPr>
            <w:r>
              <w:rPr>
                <w:noProof/>
                <w:sz w:val="16"/>
                <w:szCs w:val="24"/>
              </w:rPr>
              <w:t>15</w:t>
            </w:r>
          </w:p>
        </w:tc>
        <w:tc>
          <w:tcPr>
            <w:tcW w:w="1164" w:type="pct"/>
            <w:vAlign w:val="center"/>
          </w:tcPr>
          <w:p w:rsidR="00B60846" w:rsidRDefault="008069FF">
            <w:pPr>
              <w:tabs>
                <w:tab w:val="clear" w:pos="2302"/>
              </w:tabs>
              <w:spacing w:after="0" w:line="280" w:lineRule="atLeast"/>
              <w:jc w:val="left"/>
              <w:rPr>
                <w:noProof/>
                <w:sz w:val="16"/>
                <w:szCs w:val="24"/>
              </w:rPr>
            </w:pPr>
            <w:r>
              <w:rPr>
                <w:noProof/>
                <w:sz w:val="16"/>
                <w:szCs w:val="24"/>
              </w:rPr>
              <w:t>47</w:t>
            </w:r>
          </w:p>
        </w:tc>
        <w:tc>
          <w:tcPr>
            <w:tcW w:w="1337" w:type="pct"/>
            <w:vAlign w:val="center"/>
          </w:tcPr>
          <w:p w:rsidR="00B60846" w:rsidRDefault="008069FF">
            <w:pPr>
              <w:tabs>
                <w:tab w:val="clear" w:pos="2302"/>
              </w:tabs>
              <w:spacing w:after="0" w:line="280" w:lineRule="atLeast"/>
              <w:jc w:val="left"/>
              <w:rPr>
                <w:noProof/>
                <w:sz w:val="16"/>
                <w:szCs w:val="24"/>
              </w:rPr>
            </w:pPr>
            <w:r>
              <w:rPr>
                <w:noProof/>
                <w:sz w:val="16"/>
                <w:szCs w:val="24"/>
              </w:rPr>
              <w:t>3.6</w:t>
            </w:r>
          </w:p>
        </w:tc>
      </w:tr>
      <w:tr w:rsidR="00B60846" w:rsidTr="00B60846">
        <w:trPr>
          <w:cnfStyle w:val="000000010000" w:firstRow="0" w:lastRow="0" w:firstColumn="0" w:lastColumn="0" w:oddVBand="0" w:evenVBand="0" w:oddHBand="0" w:evenHBand="1" w:firstRowFirstColumn="0" w:firstRowLastColumn="0" w:lastRowFirstColumn="0" w:lastRowLastColumn="0"/>
        </w:trPr>
        <w:tc>
          <w:tcPr>
            <w:tcW w:w="1250" w:type="pct"/>
          </w:tcPr>
          <w:p w:rsidR="00B60846" w:rsidRDefault="008069FF">
            <w:pPr>
              <w:tabs>
                <w:tab w:val="clear" w:pos="2302"/>
              </w:tabs>
              <w:spacing w:after="0" w:line="280" w:lineRule="atLeast"/>
              <w:jc w:val="left"/>
              <w:rPr>
                <w:noProof/>
                <w:sz w:val="16"/>
                <w:szCs w:val="24"/>
              </w:rPr>
            </w:pPr>
            <w:r>
              <w:rPr>
                <w:noProof/>
                <w:sz w:val="16"/>
                <w:szCs w:val="24"/>
              </w:rPr>
              <w:t>Multiple schemes</w:t>
            </w:r>
          </w:p>
        </w:tc>
        <w:tc>
          <w:tcPr>
            <w:tcW w:w="1250" w:type="pct"/>
            <w:vAlign w:val="center"/>
          </w:tcPr>
          <w:p w:rsidR="00B60846" w:rsidRDefault="008069FF">
            <w:pPr>
              <w:tabs>
                <w:tab w:val="clear" w:pos="2302"/>
              </w:tabs>
              <w:spacing w:after="0" w:line="280" w:lineRule="atLeast"/>
              <w:jc w:val="left"/>
              <w:rPr>
                <w:noProof/>
                <w:sz w:val="16"/>
                <w:szCs w:val="24"/>
              </w:rPr>
            </w:pPr>
            <w:r>
              <w:rPr>
                <w:noProof/>
                <w:sz w:val="16"/>
                <w:szCs w:val="24"/>
              </w:rPr>
              <w:t>2</w:t>
            </w:r>
          </w:p>
        </w:tc>
        <w:tc>
          <w:tcPr>
            <w:tcW w:w="1164" w:type="pct"/>
            <w:vAlign w:val="center"/>
          </w:tcPr>
          <w:p w:rsidR="00B60846" w:rsidRDefault="008069FF">
            <w:pPr>
              <w:tabs>
                <w:tab w:val="clear" w:pos="2302"/>
              </w:tabs>
              <w:spacing w:after="0" w:line="280" w:lineRule="atLeast"/>
              <w:jc w:val="left"/>
              <w:rPr>
                <w:noProof/>
                <w:sz w:val="16"/>
                <w:szCs w:val="24"/>
              </w:rPr>
            </w:pPr>
            <w:r>
              <w:rPr>
                <w:noProof/>
                <w:sz w:val="16"/>
                <w:szCs w:val="24"/>
              </w:rPr>
              <w:t>21</w:t>
            </w:r>
          </w:p>
        </w:tc>
        <w:tc>
          <w:tcPr>
            <w:tcW w:w="1337" w:type="pct"/>
            <w:vAlign w:val="center"/>
          </w:tcPr>
          <w:p w:rsidR="00B60846" w:rsidRDefault="008069FF">
            <w:pPr>
              <w:tabs>
                <w:tab w:val="clear" w:pos="2302"/>
              </w:tabs>
              <w:spacing w:after="0" w:line="280" w:lineRule="atLeast"/>
              <w:jc w:val="left"/>
              <w:rPr>
                <w:noProof/>
                <w:sz w:val="16"/>
                <w:szCs w:val="24"/>
              </w:rPr>
            </w:pPr>
            <w:r>
              <w:rPr>
                <w:noProof/>
                <w:sz w:val="16"/>
                <w:szCs w:val="24"/>
              </w:rPr>
              <w:t>3.7</w:t>
            </w:r>
          </w:p>
        </w:tc>
      </w:tr>
    </w:tbl>
    <w:p w:rsidR="00B60846" w:rsidRDefault="008069FF">
      <w:pPr>
        <w:tabs>
          <w:tab w:val="clear" w:pos="2302"/>
        </w:tabs>
        <w:spacing w:after="0" w:line="200" w:lineRule="atLeast"/>
        <w:jc w:val="left"/>
        <w:rPr>
          <w:rFonts w:eastAsia="Arial"/>
          <w:noProof/>
          <w:sz w:val="14"/>
          <w:szCs w:val="24"/>
          <w:lang w:eastAsia="nl-NL"/>
        </w:rPr>
      </w:pPr>
      <w:r>
        <w:rPr>
          <w:rFonts w:eastAsia="Arial"/>
          <w:noProof/>
          <w:sz w:val="14"/>
          <w:szCs w:val="24"/>
          <w:lang w:eastAsia="nl-NL"/>
        </w:rPr>
        <w:t>Source: ACER 2016, Milieu 2016.</w:t>
      </w:r>
    </w:p>
    <w:p w:rsidR="00B60846" w:rsidRDefault="00B60846">
      <w:pPr>
        <w:tabs>
          <w:tab w:val="clear" w:pos="2302"/>
        </w:tabs>
        <w:spacing w:after="0" w:line="280" w:lineRule="atLeast"/>
        <w:jc w:val="left"/>
        <w:rPr>
          <w:rFonts w:eastAsia="Arial"/>
          <w:noProof/>
          <w:szCs w:val="24"/>
          <w:lang w:eastAsia="nl-NL"/>
        </w:rPr>
      </w:pPr>
    </w:p>
    <w:p w:rsidR="00B60846" w:rsidRDefault="008069FF">
      <w:pPr>
        <w:rPr>
          <w:noProof/>
        </w:rPr>
      </w:pPr>
      <w:r>
        <w:rPr>
          <w:noProof/>
        </w:rPr>
        <w:t>However, the evaluation indicated that the underlying reasons for delays fall outside the direct scope of the TEN-E Regulation and cannot be addressed by the Regulation specifically. While continuously complex national procedures are one cause for this, en</w:t>
      </w:r>
      <w:r>
        <w:rPr>
          <w:noProof/>
        </w:rPr>
        <w:t>vironmental procedures of PCIs and public opposition causing lengthy court cases against the projects are other reasons for extended permitting times. However, in this case, it is worth highlighting the procedural dimension of environmental obligation as o</w:t>
      </w:r>
      <w:r>
        <w:rPr>
          <w:noProof/>
        </w:rPr>
        <w:t>pposed to issues that relate to the substantial provision of the EU environmental legislation. These environmental procedures that were found as reasons for delay are often linked to the need for re-assessment of the project due to its re-routing. The eval</w:t>
      </w:r>
      <w:r>
        <w:rPr>
          <w:noProof/>
        </w:rPr>
        <w:t>uation based on stakeholder input showed that the positive aspects of the projects’ compliance with the environmental acquis has been highlighted as mitigating possible environmental and biodiversity impact. This in turn, substantiates the need for early p</w:t>
      </w:r>
      <w:r>
        <w:rPr>
          <w:noProof/>
        </w:rPr>
        <w:t xml:space="preserve">ublic consultations in timely implementation of any necessary re-assessment and adjustment of projects. At the same time, the delays caused by lengthy court cases do show that the provisions on public participation have increased and ensured opportunities </w:t>
      </w:r>
      <w:r>
        <w:rPr>
          <w:noProof/>
        </w:rPr>
        <w:t xml:space="preserve">for the public to be involved in the permitting stages of a project, but have not been effective in reducing public opposition to many PCIs. </w:t>
      </w:r>
    </w:p>
    <w:p w:rsidR="00B60846" w:rsidRDefault="008069FF">
      <w:pPr>
        <w:rPr>
          <w:noProof/>
        </w:rPr>
      </w:pPr>
      <w:r>
        <w:rPr>
          <w:noProof/>
        </w:rPr>
        <w:t>As regards the effectiveness of the TEN-E Regulation provisions for cross-border cost allocation (CBCA), the evalu</w:t>
      </w:r>
      <w:r>
        <w:rPr>
          <w:noProof/>
        </w:rPr>
        <w:t>ation showed varying extents as already referred to under section 3.</w:t>
      </w:r>
    </w:p>
    <w:p w:rsidR="00B60846" w:rsidRDefault="008069FF">
      <w:pPr>
        <w:rPr>
          <w:noProof/>
        </w:rPr>
      </w:pPr>
      <w:r>
        <w:rPr>
          <w:noProof/>
        </w:rPr>
        <w:t xml:space="preserve">There are three ways through which CBCA decisions can support investment decisions: </w:t>
      </w:r>
    </w:p>
    <w:p w:rsidR="00B60846" w:rsidRDefault="008069FF">
      <w:pPr>
        <w:numPr>
          <w:ilvl w:val="0"/>
          <w:numId w:val="40"/>
        </w:numPr>
        <w:rPr>
          <w:noProof/>
        </w:rPr>
      </w:pPr>
      <w:r>
        <w:rPr>
          <w:noProof/>
        </w:rPr>
        <w:t xml:space="preserve">By allocating overall project costs to specifically compensate net negative impact for at least one involved party, reducing the barrier to invest for these specific parties; </w:t>
      </w:r>
    </w:p>
    <w:p w:rsidR="00B60846" w:rsidRDefault="008069FF">
      <w:pPr>
        <w:numPr>
          <w:ilvl w:val="0"/>
          <w:numId w:val="40"/>
        </w:numPr>
        <w:rPr>
          <w:noProof/>
        </w:rPr>
      </w:pPr>
      <w:r>
        <w:rPr>
          <w:noProof/>
        </w:rPr>
        <w:t xml:space="preserve">By providing clarity on the acceptance of the relevant costs to be covered by national system tariffs in each concerned Member State; and </w:t>
      </w:r>
    </w:p>
    <w:p w:rsidR="00B60846" w:rsidRDefault="008069FF">
      <w:pPr>
        <w:numPr>
          <w:ilvl w:val="0"/>
          <w:numId w:val="40"/>
        </w:numPr>
        <w:rPr>
          <w:noProof/>
        </w:rPr>
      </w:pPr>
      <w:r>
        <w:rPr>
          <w:noProof/>
        </w:rPr>
        <w:t>By Providing access to (additional) financial support through CEF grants for works.</w:t>
      </w:r>
    </w:p>
    <w:p w:rsidR="00B60846" w:rsidRDefault="008069FF">
      <w:pPr>
        <w:rPr>
          <w:noProof/>
        </w:rPr>
      </w:pPr>
      <w:r>
        <w:rPr>
          <w:noProof/>
        </w:rPr>
        <w:t>While the approach taken to share</w:t>
      </w:r>
      <w:r>
        <w:rPr>
          <w:noProof/>
        </w:rPr>
        <w:t xml:space="preserve"> costs between Member States in relation to benefits is largely appraised, the details of the mechanism like time and data requirements as well as its complexity reduce its attractiveness. Therefore, CBCAs prove to be effective in some cases while a questi</w:t>
      </w:r>
      <w:r>
        <w:rPr>
          <w:noProof/>
        </w:rPr>
        <w:t>on on the valuation of the mechanism remains as it is a step to an application for CEF grants. The complexity of obtaining data, the additional time until an investment decision can be made and the lack of unambiguous results to base the decision on are fa</w:t>
      </w:r>
      <w:r>
        <w:rPr>
          <w:noProof/>
        </w:rPr>
        <w:t xml:space="preserve">ctors reducing the satisfaction of stakeholders with the process. At the same time, the concept is appreciated in enabling the understanding of the benefits of a project. </w:t>
      </w:r>
    </w:p>
    <w:p w:rsidR="00B60846" w:rsidRDefault="008069FF">
      <w:pPr>
        <w:tabs>
          <w:tab w:val="clear" w:pos="2302"/>
        </w:tabs>
        <w:spacing w:after="0" w:line="280" w:lineRule="atLeast"/>
        <w:rPr>
          <w:rFonts w:eastAsia="Arial"/>
          <w:noProof/>
          <w:szCs w:val="24"/>
          <w:lang w:eastAsia="nl-NL"/>
        </w:rPr>
      </w:pPr>
      <w:r>
        <w:rPr>
          <w:rFonts w:eastAsia="Arial"/>
          <w:noProof/>
          <w:szCs w:val="24"/>
          <w:lang w:eastAsia="nl-NL"/>
        </w:rPr>
        <w:t xml:space="preserve">The evaluation showed that CBCAs are beneficial in some cases but less effective in </w:t>
      </w:r>
      <w:r>
        <w:rPr>
          <w:rFonts w:eastAsia="Arial"/>
          <w:noProof/>
          <w:szCs w:val="24"/>
          <w:lang w:eastAsia="nl-NL"/>
        </w:rPr>
        <w:t>others. CBCA processes are often triggered to obtain access to CEF funding and are regularly concluded with no costs allocated across borders. The analysis of the most recent ACER data</w:t>
      </w:r>
      <w:r>
        <w:rPr>
          <w:rFonts w:eastAsia="Arial"/>
          <w:noProof/>
          <w:szCs w:val="24"/>
          <w:vertAlign w:val="superscript"/>
          <w:lang w:eastAsia="nl-NL"/>
        </w:rPr>
        <w:footnoteReference w:id="159"/>
      </w:r>
      <w:r>
        <w:rPr>
          <w:rFonts w:eastAsia="Arial"/>
          <w:noProof/>
          <w:szCs w:val="24"/>
          <w:lang w:eastAsia="nl-NL"/>
        </w:rPr>
        <w:t xml:space="preserve"> on CBCA decisions (triangulated with data on the CEF funding) show tha</w:t>
      </w:r>
      <w:r>
        <w:rPr>
          <w:rFonts w:eastAsia="Arial"/>
          <w:noProof/>
          <w:szCs w:val="24"/>
          <w:lang w:eastAsia="nl-NL"/>
        </w:rPr>
        <w:t xml:space="preserve">t these are rarely used to provide additional clarity on the acceptance of the relevant costs to be covered by national system tariffs in concerned Member States. 70% of all CBCA decisions (21 out of 30) taken until March 2018 concerned projects where the </w:t>
      </w:r>
      <w:r>
        <w:rPr>
          <w:rFonts w:eastAsia="Arial"/>
          <w:noProof/>
          <w:szCs w:val="24"/>
          <w:lang w:eastAsia="nl-NL"/>
        </w:rPr>
        <w:t>project was built on the territory of one country and the costs were allocated to that same country only. Despite showing a strong decrease in in the latest period from 2018-2020, still a relatively large share of these PCIs in one country with one cost ca</w:t>
      </w:r>
      <w:r>
        <w:rPr>
          <w:rFonts w:eastAsia="Arial"/>
          <w:noProof/>
          <w:szCs w:val="24"/>
          <w:lang w:eastAsia="nl-NL"/>
        </w:rPr>
        <w:t>rrier remained as of March 2020 (24 out of 42 cases), potentially anticipating CEF-E grants and not necessarily seeking a decision on cost allocation.</w:t>
      </w:r>
    </w:p>
    <w:p w:rsidR="00B60846" w:rsidRDefault="00B60846">
      <w:pPr>
        <w:tabs>
          <w:tab w:val="clear" w:pos="2302"/>
        </w:tabs>
        <w:spacing w:after="0" w:line="280" w:lineRule="atLeast"/>
        <w:rPr>
          <w:rFonts w:eastAsia="Arial"/>
          <w:noProof/>
          <w:szCs w:val="24"/>
          <w:lang w:eastAsia="nl-NL"/>
        </w:rPr>
      </w:pPr>
    </w:p>
    <w:p w:rsidR="00B60846" w:rsidRDefault="008069FF">
      <w:pPr>
        <w:tabs>
          <w:tab w:val="clear" w:pos="2302"/>
        </w:tabs>
        <w:spacing w:after="0" w:line="280" w:lineRule="atLeast"/>
        <w:rPr>
          <w:rFonts w:eastAsia="Arial"/>
          <w:noProof/>
          <w:szCs w:val="24"/>
          <w:lang w:eastAsia="nl-NL"/>
        </w:rPr>
      </w:pPr>
      <w:r>
        <w:rPr>
          <w:rFonts w:eastAsia="Arial"/>
          <w:noProof/>
          <w:szCs w:val="24"/>
          <w:lang w:eastAsia="nl-NL"/>
        </w:rPr>
        <w:t>Moreover, the results showed that CBCA decisions are rarely used to reallocate costs to compensate net n</w:t>
      </w:r>
      <w:r>
        <w:rPr>
          <w:rFonts w:eastAsia="Arial"/>
          <w:noProof/>
          <w:szCs w:val="24"/>
          <w:lang w:eastAsia="nl-NL"/>
        </w:rPr>
        <w:t>egative impact for at least one involved party, reducing the barrier to invest for these specific parties. With the exception of four cases in 2014 (all gas PCIs), none of the CBCA decisions allocated costs to non-hosting countries. This indicates that alm</w:t>
      </w:r>
      <w:r>
        <w:rPr>
          <w:rFonts w:eastAsia="Arial"/>
          <w:noProof/>
          <w:szCs w:val="24"/>
          <w:lang w:eastAsia="nl-NL"/>
        </w:rPr>
        <w:t>ost half of all cases (20 out of 42) involve situations where CBCA decisions did not provide compensation of net negative impact for the hosting country through allocation of overall project costs. Since these projects were internal project with benefits f</w:t>
      </w:r>
      <w:r>
        <w:rPr>
          <w:rFonts w:eastAsia="Arial"/>
          <w:noProof/>
          <w:szCs w:val="24"/>
          <w:lang w:eastAsia="nl-NL"/>
        </w:rPr>
        <w:t>or the one involved party, it can be concluded that for 48% of all cases the only intention for project promoters to have requested a CBCA decision was to gain access to CEF funding.</w:t>
      </w:r>
    </w:p>
    <w:p w:rsidR="00B60846" w:rsidRDefault="00B60846">
      <w:pPr>
        <w:tabs>
          <w:tab w:val="clear" w:pos="2302"/>
        </w:tabs>
        <w:spacing w:after="0" w:line="280" w:lineRule="atLeast"/>
        <w:rPr>
          <w:rFonts w:eastAsia="Arial"/>
          <w:noProof/>
          <w:szCs w:val="24"/>
          <w:lang w:eastAsia="nl-NL"/>
        </w:rPr>
      </w:pPr>
    </w:p>
    <w:p w:rsidR="00B60846" w:rsidRDefault="008069FF">
      <w:pPr>
        <w:tabs>
          <w:tab w:val="clear" w:pos="2302"/>
        </w:tabs>
        <w:spacing w:after="0" w:line="280" w:lineRule="atLeast"/>
        <w:rPr>
          <w:rFonts w:eastAsia="Arial"/>
          <w:noProof/>
          <w:szCs w:val="24"/>
          <w:lang w:eastAsia="nl-NL"/>
        </w:rPr>
      </w:pPr>
      <w:r>
        <w:rPr>
          <w:rFonts w:eastAsia="Arial"/>
          <w:noProof/>
          <w:szCs w:val="24"/>
          <w:lang w:eastAsia="nl-NL"/>
        </w:rPr>
        <w:t xml:space="preserve">Ineffectiveness of the CBCA process can result in projects that are not </w:t>
      </w:r>
      <w:r>
        <w:rPr>
          <w:rFonts w:eastAsia="Arial"/>
          <w:noProof/>
          <w:szCs w:val="24"/>
          <w:lang w:eastAsia="nl-NL"/>
        </w:rPr>
        <w:t>realised due to a lack of funding or may lead to the ‘disproportionate’ use of EU funding where insufficient consideration was given to funding from tariffs in Member States. Due to its ineffectiveness, project promoters, NRAs and ACER consider CBCAs as an</w:t>
      </w:r>
      <w:r>
        <w:rPr>
          <w:rFonts w:eastAsia="Arial"/>
          <w:noProof/>
          <w:szCs w:val="24"/>
          <w:lang w:eastAsia="nl-NL"/>
        </w:rPr>
        <w:t xml:space="preserve"> administrative burden with, in many cases, little to no direct benefits</w:t>
      </w:r>
      <w:r>
        <w:rPr>
          <w:rFonts w:eastAsia="Arial"/>
          <w:noProof/>
          <w:szCs w:val="24"/>
          <w:vertAlign w:val="superscript"/>
          <w:lang w:eastAsia="nl-NL"/>
        </w:rPr>
        <w:footnoteReference w:id="160"/>
      </w:r>
      <w:r>
        <w:rPr>
          <w:rFonts w:eastAsia="Arial"/>
          <w:noProof/>
          <w:szCs w:val="24"/>
          <w:lang w:eastAsia="nl-NL"/>
        </w:rPr>
        <w:t>.</w:t>
      </w:r>
    </w:p>
    <w:p w:rsidR="00B60846" w:rsidRDefault="00B60846">
      <w:pPr>
        <w:tabs>
          <w:tab w:val="clear" w:pos="2302"/>
        </w:tabs>
        <w:spacing w:after="0" w:line="280" w:lineRule="atLeast"/>
        <w:rPr>
          <w:rFonts w:eastAsia="Arial"/>
          <w:noProof/>
          <w:szCs w:val="24"/>
          <w:lang w:eastAsia="nl-NL"/>
        </w:rPr>
      </w:pPr>
    </w:p>
    <w:p w:rsidR="00B60846" w:rsidRDefault="008069FF">
      <w:pPr>
        <w:rPr>
          <w:noProof/>
        </w:rPr>
      </w:pPr>
      <w:r>
        <w:rPr>
          <w:noProof/>
        </w:rPr>
        <w:t>The availability of CEF funding has had the most significant influence on the financing of energy infrastructure projects addressing the third need as identified in the 2011 impact</w:t>
      </w:r>
      <w:r>
        <w:rPr>
          <w:noProof/>
        </w:rPr>
        <w:t xml:space="preserve"> assessment. The funding support offered in the form of grants by the CEF has been found important for improving the financing conditions for PCIs</w:t>
      </w:r>
      <w:r>
        <w:rPr>
          <w:noProof/>
          <w:vertAlign w:val="superscript"/>
        </w:rPr>
        <w:footnoteReference w:id="161"/>
      </w:r>
      <w:r>
        <w:rPr>
          <w:noProof/>
        </w:rPr>
        <w:t>. Public grants are described to enable private investment in energy infrastructure by absorbing risks and th</w:t>
      </w:r>
      <w:r>
        <w:rPr>
          <w:noProof/>
        </w:rPr>
        <w:t>erefore effectively advancing PCIs. By providing support in early stages, the grants offered for studies contribute to de-risk project development. This, on the one hand, helped to improve project realisation according to project promoters and national aut</w:t>
      </w:r>
      <w:r>
        <w:rPr>
          <w:noProof/>
        </w:rPr>
        <w:t>horities, and also contributed to attracting investors. The visibility of the project due to its PCI label and the political support that has been experienced by many project promoters also supports the attractiveness of PCIs to investors. CEF grants for w</w:t>
      </w:r>
      <w:r>
        <w:rPr>
          <w:noProof/>
        </w:rPr>
        <w:t>orks can also support projects that would not be economically viable otherwise and prevent high increases in tariffs. The additional mechanism of risk-based incentives has been rarely used</w:t>
      </w:r>
      <w:r>
        <w:rPr>
          <w:noProof/>
          <w:vertAlign w:val="superscript"/>
        </w:rPr>
        <w:footnoteReference w:id="162"/>
      </w:r>
      <w:r>
        <w:rPr>
          <w:noProof/>
        </w:rPr>
        <w:t xml:space="preserve"> mostly due to the assumptions from project promoters that NRA do n</w:t>
      </w:r>
      <w:r>
        <w:rPr>
          <w:noProof/>
        </w:rPr>
        <w:t xml:space="preserve">ot see higher risks for PCIs or that the regulatory framework allows coping with the risks. As such, I it has not had an effect to improve the financing situation of PCIs so far. </w:t>
      </w:r>
    </w:p>
    <w:p w:rsidR="00B60846" w:rsidRDefault="008069FF">
      <w:pPr>
        <w:rPr>
          <w:noProof/>
        </w:rPr>
      </w:pPr>
      <w:r>
        <w:rPr>
          <w:noProof/>
        </w:rPr>
        <w:t>As regards selection criteria, selected PCI projects demonstrated to help fu</w:t>
      </w:r>
      <w:r>
        <w:rPr>
          <w:noProof/>
        </w:rPr>
        <w:t>lfilling the current objectives of the TEN-E Regulation as it was conceived in 2013. The evaluation indicates that sustainability benefits were realised to a lesser extent than the other benefits mostly due to the difficulty in devising a robust methodolog</w:t>
      </w:r>
      <w:r>
        <w:rPr>
          <w:noProof/>
        </w:rPr>
        <w:t>y for assessment of sustainability impacts of gas projects. Some of the current selection criteria might be too restrictive for the inclusion of projects at DSO level, in particular: the cross-border impact criteria, and the 10 kV voltage threshold and 20%</w:t>
      </w:r>
      <w:r>
        <w:rPr>
          <w:noProof/>
        </w:rPr>
        <w:t xml:space="preserve"> RES origin for smart grids. A more flexible definition of the cross-border impact may allow to include relevant projects in one Member State with significant and quantifiable benefits in other Member States (or outermost regions) with regards to the objec</w:t>
      </w:r>
      <w:r>
        <w:rPr>
          <w:noProof/>
        </w:rPr>
        <w:t xml:space="preserve">tives of the TEN-E regulation. </w:t>
      </w:r>
    </w:p>
    <w:p w:rsidR="00B60846" w:rsidRDefault="008069FF">
      <w:pPr>
        <w:rPr>
          <w:noProof/>
        </w:rPr>
      </w:pPr>
      <w:r>
        <w:rPr>
          <w:noProof/>
        </w:rPr>
        <w:t xml:space="preserve">The electricity and gas network planning exercises are eminently related to the PCI selection process. Energy infrastructure needs are identified in the network planning process and potential projects addressing those needs </w:t>
      </w:r>
      <w:r>
        <w:rPr>
          <w:noProof/>
        </w:rPr>
        <w:t>must be evaluated according to the general objectives of the TEN-E Regulation (security of supply, market integration, competition and sustainability). A cost-benefit analysis methodology must be developed by the ENTSOs to assess the projects they shall in</w:t>
      </w:r>
      <w:r>
        <w:rPr>
          <w:noProof/>
        </w:rPr>
        <w:t xml:space="preserve">clude in the TYNDP. This CBA is also the basis to evaluate the candidate projects for PCI. In the network planning process, the models of the electricity and gas systems are currently independent, not allowing sufficient consideration of interdependencies </w:t>
      </w:r>
      <w:r>
        <w:rPr>
          <w:noProof/>
        </w:rPr>
        <w:t>between systems. However, the ENTSOs are currently developing an interlinked model with view to develop in the future the network planning process to a “system of systems” approach, including all energy vectors and demand sectors. CBA methodologies are not</w:t>
      </w:r>
      <w:r>
        <w:rPr>
          <w:noProof/>
        </w:rPr>
        <w:t xml:space="preserve"> aligned between electricity and gas, which does not allow a fair comparison between electricity and gas projects, since they can potentially compete to address system needs. </w:t>
      </w:r>
    </w:p>
    <w:p w:rsidR="00B60846" w:rsidRDefault="008069FF">
      <w:pPr>
        <w:rPr>
          <w:noProof/>
        </w:rPr>
      </w:pPr>
      <w:r>
        <w:rPr>
          <w:noProof/>
        </w:rPr>
        <w:t>The evaluation brought forward a series of insights that relate to the governanc</w:t>
      </w:r>
      <w:r>
        <w:rPr>
          <w:noProof/>
        </w:rPr>
        <w:t>e of the network planning exercise. The main finding concerns the lack of adequacy of roles of the different agents in the PCI process. The role of the ENTSOs has been found as conflicting with their interests as project promoters. Whilst the evaluation ac</w:t>
      </w:r>
      <w:r>
        <w:rPr>
          <w:noProof/>
        </w:rPr>
        <w:t>knowledged that the ENTSOs, as TSO operators, enjoy the necessary expertise and access to system and planning data, a higher degree of stakeholder consultation and validation of ENTSOs underlying planning assumptions (in scenarios and modelling) and CBA me</w:t>
      </w:r>
      <w:r>
        <w:rPr>
          <w:noProof/>
        </w:rPr>
        <w:t xml:space="preserve">thodologies developed may be needed to ensure an energy integrated system approach, where all energy carriers’ interdependencies can be captured when evaluating the benefits of projects. </w:t>
      </w:r>
    </w:p>
    <w:p w:rsidR="00B60846" w:rsidRDefault="008069FF">
      <w:pPr>
        <w:rPr>
          <w:noProof/>
        </w:rPr>
      </w:pPr>
      <w:r>
        <w:rPr>
          <w:noProof/>
        </w:rPr>
        <w:t xml:space="preserve">Whilst certain stakeholders indicated that the biennial periodicity </w:t>
      </w:r>
      <w:r>
        <w:rPr>
          <w:noProof/>
        </w:rPr>
        <w:t>of the PCI lists is unnecessarily burdensome and potentially carrying risks for investors in case of loss of the PCI label, the evaluation has not found conclusive data to support the claims. There is no evidence that the specificities of their business mo</w:t>
      </w:r>
      <w:r>
        <w:rPr>
          <w:noProof/>
        </w:rPr>
        <w:t>dels in the case of smart grids and CO2 infrastructure categories would qualify them for a streamlined reassessment in the PCI process and serve as a derogation from the biennial process. Moreover, twos-speed PCI processes for different types of infrastruc</w:t>
      </w:r>
      <w:r>
        <w:rPr>
          <w:noProof/>
        </w:rPr>
        <w:t>ture categories has been found unmanageable and not serving the scope of the Regulation.</w:t>
      </w:r>
    </w:p>
    <w:p w:rsidR="00B60846" w:rsidRDefault="008069FF">
      <w:pPr>
        <w:rPr>
          <w:noProof/>
        </w:rPr>
      </w:pPr>
      <w:r>
        <w:rPr>
          <w:noProof/>
        </w:rPr>
        <w:t>The evaluation concluded that priority corridors and thematic areas need to be updated to address future challenges and incorporate new types of projects. As such, new</w:t>
      </w:r>
      <w:r>
        <w:rPr>
          <w:noProof/>
        </w:rPr>
        <w:t xml:space="preserve"> categories could be considered such as cross-sectoral projects, joint gas-electricity-hydrogen corridors, sector coupling projects, smart gas grid projects, hydrogen, clean gases, digitalization, distribution projects, energy storage, hybrid wind offshore</w:t>
      </w:r>
      <w:r>
        <w:rPr>
          <w:noProof/>
        </w:rPr>
        <w:t>, hybrid solutions, electric priority corridor to South Mediterranean/North Africa, decarbonisation of islands, smart sector integration, electrification of heating and cooling systems, peripheral countries, sector integration technologies and solutions, r</w:t>
      </w:r>
      <w:r>
        <w:rPr>
          <w:noProof/>
        </w:rPr>
        <w:t xml:space="preserve">enewable heating and cooling infrastructures. On the other spectrum, electricity highways and oil priority corridor have been appraised as non-effective. </w:t>
      </w:r>
    </w:p>
    <w:p w:rsidR="00B60846" w:rsidRDefault="008069FF">
      <w:pPr>
        <w:rPr>
          <w:noProof/>
        </w:rPr>
      </w:pPr>
      <w:r>
        <w:rPr>
          <w:noProof/>
        </w:rPr>
        <w:t>As for the effectiveness of reporting and monitoring, the evaluation found that ACER’s annual monitor</w:t>
      </w:r>
      <w:r>
        <w:rPr>
          <w:noProof/>
        </w:rPr>
        <w:t xml:space="preserve">ing report could be done biennially with every PCI list by only focusing on relevant changes and tackling inefficiencies. The transparency platform and the PCI interaction map are positively valued. </w:t>
      </w:r>
    </w:p>
    <w:p w:rsidR="00B60846" w:rsidRDefault="008069FF">
      <w:pPr>
        <w:rPr>
          <w:b/>
          <w:noProof/>
        </w:rPr>
      </w:pPr>
      <w:r>
        <w:rPr>
          <w:b/>
          <w:noProof/>
        </w:rPr>
        <w:t xml:space="preserve">Efficiency </w:t>
      </w:r>
    </w:p>
    <w:p w:rsidR="00B60846" w:rsidRDefault="008069FF">
      <w:pPr>
        <w:rPr>
          <w:noProof/>
        </w:rPr>
      </w:pPr>
      <w:r>
        <w:rPr>
          <w:noProof/>
        </w:rPr>
        <w:t>Two main questions have guided the assessmen</w:t>
      </w:r>
      <w:r>
        <w:rPr>
          <w:noProof/>
        </w:rPr>
        <w:t>t of the efficiency of the TEN-E Regulation, as presented below:</w:t>
      </w:r>
    </w:p>
    <w:p w:rsidR="00B60846" w:rsidRDefault="008069FF">
      <w:pPr>
        <w:numPr>
          <w:ilvl w:val="0"/>
          <w:numId w:val="46"/>
        </w:numPr>
        <w:contextualSpacing/>
        <w:rPr>
          <w:noProof/>
        </w:rPr>
      </w:pPr>
      <w:r>
        <w:rPr>
          <w:noProof/>
        </w:rPr>
        <w:t xml:space="preserve">To what extent are the costs resulting from the implementation of the TEN-E Regulation proportionate to the benefits that have been achieved? What are the major sources of inefficiencies? </w:t>
      </w:r>
    </w:p>
    <w:p w:rsidR="00B60846" w:rsidRDefault="008069FF">
      <w:pPr>
        <w:numPr>
          <w:ilvl w:val="0"/>
          <w:numId w:val="46"/>
        </w:numPr>
        <w:contextualSpacing/>
        <w:rPr>
          <w:noProof/>
        </w:rPr>
      </w:pPr>
      <w:r>
        <w:rPr>
          <w:noProof/>
        </w:rPr>
        <w:t>To</w:t>
      </w:r>
      <w:r>
        <w:rPr>
          <w:noProof/>
        </w:rPr>
        <w:t xml:space="preserve"> what extent do the different types of costs resulting from the implementation of the TEN-E Regulation vary based on the approach taken to implement the legislation (while achieving the same results)? Which approach was most efficient?  </w:t>
      </w:r>
    </w:p>
    <w:p w:rsidR="00B60846" w:rsidRDefault="008069FF">
      <w:pPr>
        <w:rPr>
          <w:noProof/>
        </w:rPr>
      </w:pPr>
      <w:r>
        <w:rPr>
          <w:noProof/>
        </w:rPr>
        <w:t>Although lack of s</w:t>
      </w:r>
      <w:r>
        <w:rPr>
          <w:noProof/>
        </w:rPr>
        <w:t xml:space="preserve">ufficient data impeded the full and harmonised quantification of all the benefits and costs, it is likely that benefits of the Regulation outweigh the costs. Benefits include socio-economic net benefits and market efficiency. The analysis of effectiveness </w:t>
      </w:r>
      <w:r>
        <w:rPr>
          <w:noProof/>
        </w:rPr>
        <w:t>shows that socio-economic net benefits were realised through an increase in security of supply, competition and integration of markets and to a lesser extent sustainability. Modelling shows that net benefits of electricity PCIs increase in scenarios with a</w:t>
      </w:r>
      <w:r>
        <w:rPr>
          <w:noProof/>
        </w:rPr>
        <w:t xml:space="preserve"> higher CO2 price, which in turn shows these projects have benefits in the context of the Green Deal. The market efficiency benefits refer to benefits that improve information availability, increase cost savings, and ensure that a wider range of products o</w:t>
      </w:r>
      <w:r>
        <w:rPr>
          <w:noProof/>
        </w:rPr>
        <w:t>r services are provided. The Regulation has resulted in improved transparency. The evidence on the extent to which the Regulation resulted in improved processes and timely construction of projects is, however, mixed and it is strongly linked to the various</w:t>
      </w:r>
      <w:r>
        <w:rPr>
          <w:noProof/>
        </w:rPr>
        <w:t xml:space="preserve"> performance of the different provisions due to national implementation. </w:t>
      </w:r>
    </w:p>
    <w:p w:rsidR="00B60846" w:rsidRDefault="008069FF">
      <w:pPr>
        <w:rPr>
          <w:noProof/>
        </w:rPr>
      </w:pPr>
      <w:r>
        <w:rPr>
          <w:noProof/>
        </w:rPr>
        <w:t>The main cost drivers are the PCI selection process and monitoring, the permitting process, stakeholder consultation and costs associated with decisions on CBCA and regulatory incent</w:t>
      </w:r>
      <w:r>
        <w:rPr>
          <w:noProof/>
        </w:rPr>
        <w:t>ives. In general, stakeholders view the costs associated with the Regulation to be justified. Opportunities to improve the efficiency of the Regulation are limited but there is potential to reduce the administrative burden for project promoters in the CBCA</w:t>
      </w:r>
      <w:r>
        <w:rPr>
          <w:noProof/>
        </w:rPr>
        <w:t xml:space="preserve"> process, the PCI application process and monitoring. CBCA decisions are considered too burdensome when they are mainly used as a stepping stone for access to CEF grants. Costs for re-application of a project for a new PCI lists and monitoring costs are co</w:t>
      </w:r>
      <w:r>
        <w:rPr>
          <w:noProof/>
        </w:rPr>
        <w:t>nsidered too high by some stakeholders mainly because data requests are considered inefficient. The total impact on costs of any changes to the CBCA process and application/monitoring processes is limited compared to the total benefits and costs of the Reg</w:t>
      </w:r>
      <w:r>
        <w:rPr>
          <w:noProof/>
        </w:rPr>
        <w:t>ulation and changes can have a negative impact on other objectives of the Regulation.</w:t>
      </w:r>
    </w:p>
    <w:p w:rsidR="00B60846" w:rsidRDefault="008069FF">
      <w:pPr>
        <w:rPr>
          <w:b/>
          <w:noProof/>
        </w:rPr>
      </w:pPr>
      <w:r>
        <w:rPr>
          <w:b/>
          <w:noProof/>
        </w:rPr>
        <w:t xml:space="preserve">Relevance </w:t>
      </w:r>
    </w:p>
    <w:p w:rsidR="00B60846" w:rsidRDefault="008069FF">
      <w:pPr>
        <w:rPr>
          <w:noProof/>
        </w:rPr>
      </w:pPr>
      <w:r>
        <w:rPr>
          <w:noProof/>
        </w:rPr>
        <w:t>Three main questions have guided the assessment of the relevance of the TEN-E Regulation, as presented below:</w:t>
      </w:r>
    </w:p>
    <w:p w:rsidR="00B60846" w:rsidRDefault="008069FF">
      <w:pPr>
        <w:numPr>
          <w:ilvl w:val="0"/>
          <w:numId w:val="47"/>
        </w:numPr>
        <w:rPr>
          <w:noProof/>
        </w:rPr>
      </w:pPr>
      <w:r>
        <w:rPr>
          <w:noProof/>
        </w:rPr>
        <w:t>To what extent do the objectives of the TEN-E Reg</w:t>
      </w:r>
      <w:r>
        <w:rPr>
          <w:noProof/>
        </w:rPr>
        <w:t>ulation still respond to the needs of the EU in relation to energy infrastructure?</w:t>
      </w:r>
    </w:p>
    <w:p w:rsidR="00B60846" w:rsidRDefault="008069FF">
      <w:pPr>
        <w:numPr>
          <w:ilvl w:val="0"/>
          <w:numId w:val="47"/>
        </w:numPr>
        <w:rPr>
          <w:b/>
          <w:noProof/>
        </w:rPr>
      </w:pPr>
      <w:r>
        <w:rPr>
          <w:noProof/>
        </w:rPr>
        <w:t xml:space="preserve">To what extent are the 12 priority corridors still relevant? Do they address current and arising challenges for TEN-E networks (e.g. sector coupling, hydrogen)?  </w:t>
      </w:r>
    </w:p>
    <w:p w:rsidR="00B60846" w:rsidRDefault="008069FF">
      <w:pPr>
        <w:numPr>
          <w:ilvl w:val="0"/>
          <w:numId w:val="47"/>
        </w:numPr>
        <w:rPr>
          <w:b/>
          <w:noProof/>
        </w:rPr>
      </w:pPr>
      <w:r>
        <w:rPr>
          <w:noProof/>
        </w:rPr>
        <w:t xml:space="preserve">To what </w:t>
      </w:r>
      <w:r>
        <w:rPr>
          <w:noProof/>
        </w:rPr>
        <w:t>extent are the provisions of the TEN-E Regulation able to respond to new or emerging issues such as the energy and climate targets for 2030, the EU long-term decarbonisation commitment towards carbon neutrality, the energy efficiency first principle, and E</w:t>
      </w:r>
      <w:r>
        <w:rPr>
          <w:noProof/>
        </w:rPr>
        <w:t>U readiness for the digital age?</w:t>
      </w:r>
    </w:p>
    <w:p w:rsidR="00B60846" w:rsidRDefault="008069FF">
      <w:pPr>
        <w:rPr>
          <w:noProof/>
        </w:rPr>
      </w:pPr>
      <w:r>
        <w:rPr>
          <w:noProof/>
        </w:rPr>
        <w:t>The Paris Agreement and the European Green Deal involve a significant transformation of the current energy infrastructures into a fully carbon-neutral energy integrated system by 2050. While the initial objectives of the TE</w:t>
      </w:r>
      <w:r>
        <w:rPr>
          <w:noProof/>
        </w:rPr>
        <w:t>N-E Regulation -security of supply, market integration, competition and sustainability- are still relevant, the changes needed in the way we develop energy infrastructure claim for a rebalance of the objectives in order to fulfil the decarbonisation target</w:t>
      </w:r>
      <w:r>
        <w:rPr>
          <w:noProof/>
        </w:rPr>
        <w:t>s and be aligned with the climate-neutrality objectives. Along the pathway towards a decarbonised economy in 2050, energy infrastructure needs will gradually evolve as emerging technologies are deployed and the sectors gradually interlink and switch to sus</w:t>
      </w:r>
      <w:r>
        <w:rPr>
          <w:noProof/>
        </w:rPr>
        <w:t>tainable sources. There must be a realistic planning of the network from its current state to the targets in 2050. In the analysis performed based on desk review and the stakeholder’s consultation, many emerging technologies were identified to be necessary</w:t>
      </w:r>
      <w:r>
        <w:rPr>
          <w:noProof/>
        </w:rPr>
        <w:t xml:space="preserve"> in the future energy infrastructure. The following technologies are currently not specifically addressed by the TEN-E regulation: decarbonisation of gas – hydrogen, green gas infrastructures, retrofitting of existing gas networks, bidirectional gas flow p</w:t>
      </w:r>
      <w:r>
        <w:rPr>
          <w:noProof/>
        </w:rPr>
        <w:t>rojects, energy system integration – power-to-gas, smart system integration, gas smart grids, digitalization, electric vehicle charging infrastructures, decarbonisation – carbon storage, RES deployment and integration – hybrid offshore wind, meshed wind hu</w:t>
      </w:r>
      <w:r>
        <w:rPr>
          <w:noProof/>
        </w:rPr>
        <w:t xml:space="preserve">bs. </w:t>
      </w:r>
    </w:p>
    <w:p w:rsidR="00B60846" w:rsidRDefault="008069FF">
      <w:pPr>
        <w:rPr>
          <w:noProof/>
        </w:rPr>
      </w:pPr>
      <w:r>
        <w:rPr>
          <w:noProof/>
        </w:rPr>
        <w:t>In view of increasing its relevance, sustainability will need to be prioritised amongst the objectives of the TEN-E Regulation. In view of the necessary growing shares of intermittent renewable energy generation, their integration whilst ensuring secu</w:t>
      </w:r>
      <w:r>
        <w:rPr>
          <w:noProof/>
        </w:rPr>
        <w:t>rity of supply is becoming increasingly more relevant. Moreover, further alignment of sustainability aspects of energy infrastructure projects would have to be explored with the sustainable finance framework, once completed. The flexibility needs of the sy</w:t>
      </w:r>
      <w:r>
        <w:rPr>
          <w:noProof/>
        </w:rPr>
        <w:t xml:space="preserve">stem can also be addressed by energy system integration, potentially an additional objective per se in the regulation. </w:t>
      </w:r>
    </w:p>
    <w:p w:rsidR="00B60846" w:rsidRDefault="008069FF">
      <w:pPr>
        <w:rPr>
          <w:noProof/>
        </w:rPr>
      </w:pPr>
      <w:r>
        <w:rPr>
          <w:noProof/>
        </w:rPr>
        <w:t xml:space="preserve">Some TEN-E provisions do not facilitate the deployment of emerging technologies that are necessary in the context of the European Green </w:t>
      </w:r>
      <w:r>
        <w:rPr>
          <w:noProof/>
        </w:rPr>
        <w:t>Deal and which will inevitably gain predominance in the future energy infrastructure investments in Europe in the next decades. The methodologies developed by the ENTSOs, including scenario development, modelling and CBA assessment, as the basis of the PCI</w:t>
      </w:r>
      <w:r>
        <w:rPr>
          <w:noProof/>
        </w:rPr>
        <w:t xml:space="preserve"> selection process, are currently undergoing major changes towards coordinated multi-sectorial planning and smart sector coordination approach. The methodologies need to be adapted to include all new emerging technologies and have a holistic view of the en</w:t>
      </w:r>
      <w:r>
        <w:rPr>
          <w:noProof/>
        </w:rPr>
        <w:t>ergy system. Some PCI selection criteria may hinder deployment of emerging technologies. In particular, smart grid projects, according to Annex IV.1.e of the Regulation, have a voltage threshold of 10 kV that leaves out essential installations of these pro</w:t>
      </w:r>
      <w:r>
        <w:rPr>
          <w:noProof/>
        </w:rPr>
        <w:t>jects. Additionally, the 20% requirement of RES generations in the network can limit the deployment of smart grids in regions with lower penetration of RES capacity. The permit granting process, as conceived by the TEN-E regulation, seems to be only effect</w:t>
      </w:r>
      <w:r>
        <w:rPr>
          <w:noProof/>
        </w:rPr>
        <w:t>ive for large transmission infrastructure projects. Concepts such as the one-stop-shop and provisions in Article 10 related to the duration and implementation of the permit granting process cannot be adequately applied to smart grid projects, as it has bee</w:t>
      </w:r>
      <w:r>
        <w:rPr>
          <w:noProof/>
        </w:rPr>
        <w:t xml:space="preserve">n confirmed by all smart grid project promoters who took part in the stakeholder consultation. </w:t>
      </w:r>
    </w:p>
    <w:p w:rsidR="00B60846" w:rsidRDefault="008069FF">
      <w:pPr>
        <w:rPr>
          <w:b/>
          <w:noProof/>
        </w:rPr>
      </w:pPr>
      <w:r>
        <w:rPr>
          <w:b/>
          <w:noProof/>
        </w:rPr>
        <w:t xml:space="preserve">Coherence </w:t>
      </w:r>
    </w:p>
    <w:p w:rsidR="00B60846" w:rsidRDefault="008069FF">
      <w:pPr>
        <w:rPr>
          <w:noProof/>
        </w:rPr>
      </w:pPr>
      <w:r>
        <w:rPr>
          <w:noProof/>
        </w:rPr>
        <w:t>Four main questions have guided the assessment of the coherence of the TEN-E Regulation, as presented below:</w:t>
      </w:r>
    </w:p>
    <w:p w:rsidR="00B60846" w:rsidRDefault="008069FF">
      <w:pPr>
        <w:numPr>
          <w:ilvl w:val="0"/>
          <w:numId w:val="48"/>
        </w:numPr>
        <w:contextualSpacing/>
        <w:rPr>
          <w:noProof/>
        </w:rPr>
      </w:pPr>
      <w:r>
        <w:rPr>
          <w:noProof/>
        </w:rPr>
        <w:t>Three main questions have guided the ass</w:t>
      </w:r>
      <w:r>
        <w:rPr>
          <w:noProof/>
        </w:rPr>
        <w:t>essment of the coherence of the TEN-E Regulation, as presented below:</w:t>
      </w:r>
    </w:p>
    <w:p w:rsidR="00B60846" w:rsidRDefault="008069FF">
      <w:pPr>
        <w:numPr>
          <w:ilvl w:val="0"/>
          <w:numId w:val="48"/>
        </w:numPr>
        <w:rPr>
          <w:noProof/>
        </w:rPr>
      </w:pPr>
      <w:r>
        <w:rPr>
          <w:noProof/>
        </w:rPr>
        <w:t>Are the measures set out within the TEN-E Regulation mutually reinforcing or are there any overlaps, inconsistencies, or incoherencies (when read in isolation)?</w:t>
      </w:r>
    </w:p>
    <w:p w:rsidR="00B60846" w:rsidRDefault="008069FF">
      <w:pPr>
        <w:numPr>
          <w:ilvl w:val="0"/>
          <w:numId w:val="48"/>
        </w:numPr>
        <w:rPr>
          <w:b/>
          <w:noProof/>
        </w:rPr>
      </w:pPr>
      <w:r>
        <w:rPr>
          <w:noProof/>
        </w:rPr>
        <w:t xml:space="preserve">How does the legislation </w:t>
      </w:r>
      <w:r>
        <w:rPr>
          <w:noProof/>
        </w:rPr>
        <w:t>interact with other EU/ national/ international initiatives (e.g. actions in the field of environment, single market, climate action) which have similar objectives?</w:t>
      </w:r>
    </w:p>
    <w:p w:rsidR="00B60846" w:rsidRDefault="008069FF">
      <w:pPr>
        <w:numPr>
          <w:ilvl w:val="0"/>
          <w:numId w:val="48"/>
        </w:numPr>
        <w:rPr>
          <w:b/>
          <w:noProof/>
        </w:rPr>
      </w:pPr>
      <w:r>
        <w:rPr>
          <w:noProof/>
        </w:rPr>
        <w:t>How well does the legislation fit with and complement other EU policies (e.g. Regional Poli</w:t>
      </w:r>
      <w:r>
        <w:rPr>
          <w:noProof/>
        </w:rPr>
        <w:t>cy, Research and Innovation, Environment) but also other elements of EU energy policy (e.g. internal market design, renewable energy framework, energy efficiency first principle, Union energy and climate targets for 2030, the EU long-term decarbonisation c</w:t>
      </w:r>
      <w:r>
        <w:rPr>
          <w:noProof/>
        </w:rPr>
        <w:t>ommitment, European Green Deal)?</w:t>
      </w:r>
    </w:p>
    <w:p w:rsidR="00B60846" w:rsidRDefault="008069FF">
      <w:pPr>
        <w:rPr>
          <w:noProof/>
        </w:rPr>
      </w:pPr>
      <w:r>
        <w:rPr>
          <w:noProof/>
        </w:rPr>
        <w:t>Evidence obtained during the evaluation process identified limited concerns around the internal coherence of the TEN-E Regulation although a number of points have been identified concerning the implementation of certain ele</w:t>
      </w:r>
      <w:r>
        <w:rPr>
          <w:noProof/>
        </w:rPr>
        <w:t>ments such as insufficient flexibility to adapt to rapidly evolving policy areas, potential conflicts on legal drafting around cost allocation, insufficient precision on the definition of ‘maturity’ and limited clarity on the process for the Commission’s p</w:t>
      </w:r>
      <w:r>
        <w:rPr>
          <w:noProof/>
        </w:rPr>
        <w:t xml:space="preserve">ublication of TYNDP Guideline updates. </w:t>
      </w:r>
    </w:p>
    <w:p w:rsidR="00B60846" w:rsidRDefault="008069FF">
      <w:pPr>
        <w:rPr>
          <w:noProof/>
        </w:rPr>
      </w:pPr>
      <w:r>
        <w:rPr>
          <w:noProof/>
        </w:rPr>
        <w:t xml:space="preserve">The TEN-E Regulation is largely consistent with the legislative and policy environment that was in place at the time of its introduction. However, the current TEN-E is not consistent with the current legislative and </w:t>
      </w:r>
      <w:r>
        <w:rPr>
          <w:noProof/>
        </w:rPr>
        <w:t xml:space="preserve">policy environment, which has been triggered by the various changes under the Clean Energy Package. Inconsistencies include “mechanistic” examples (such as alignment with renewable energy and interconnector targets), but also more nuanced examples such as </w:t>
      </w:r>
      <w:r>
        <w:rPr>
          <w:noProof/>
        </w:rPr>
        <w:t xml:space="preserve">PCI selection which is not currently aligned with the intended policy goals behind the Clean Energy Package (such as greater roles for DNOs). </w:t>
      </w:r>
    </w:p>
    <w:p w:rsidR="00B60846" w:rsidRDefault="008069FF">
      <w:pPr>
        <w:rPr>
          <w:noProof/>
        </w:rPr>
      </w:pPr>
      <w:r>
        <w:rPr>
          <w:noProof/>
        </w:rPr>
        <w:t>The TEN-E Regulation requires substantial revision to bring the Regulation into line with the priorities within t</w:t>
      </w:r>
      <w:r>
        <w:rPr>
          <w:noProof/>
        </w:rPr>
        <w:t>he European Green Deal, and to bring greater synergies with other sectoral instruments such as the TEN-T Regulation to drive decarbonisation by fostering a more cross-sectoral approach. Evaluation findings as well as evidence drawn from stakeholder consult</w:t>
      </w:r>
      <w:r>
        <w:rPr>
          <w:noProof/>
        </w:rPr>
        <w:t xml:space="preserve">ations strongly support an ambitious, long-term approach when redefining the scope of the TEN-E Regulation. </w:t>
      </w:r>
    </w:p>
    <w:p w:rsidR="00B60846" w:rsidRDefault="008069FF">
      <w:pPr>
        <w:rPr>
          <w:noProof/>
        </w:rPr>
      </w:pPr>
      <w:r>
        <w:rPr>
          <w:noProof/>
        </w:rPr>
        <w:t>Some inconsistencies with national-level legal frameworks were identified. This seems mainly related to national-level implementation and complianc</w:t>
      </w:r>
      <w:r>
        <w:rPr>
          <w:noProof/>
        </w:rPr>
        <w:t>e in a limited number of member states which have reported difficulties in their national-level legal frameworks as opposed to a systemic issue with the TEN-E Regulation.</w:t>
      </w:r>
    </w:p>
    <w:p w:rsidR="00B60846" w:rsidRDefault="008069FF">
      <w:pPr>
        <w:rPr>
          <w:b/>
          <w:noProof/>
        </w:rPr>
      </w:pPr>
      <w:r>
        <w:rPr>
          <w:b/>
          <w:noProof/>
        </w:rPr>
        <w:t xml:space="preserve">EU added value </w:t>
      </w:r>
    </w:p>
    <w:p w:rsidR="00B60846" w:rsidRDefault="008069FF">
      <w:pPr>
        <w:rPr>
          <w:noProof/>
        </w:rPr>
      </w:pPr>
      <w:r>
        <w:rPr>
          <w:noProof/>
        </w:rPr>
        <w:t>The evaluation concluded that the TEN-E Regulation has provided added</w:t>
      </w:r>
      <w:r>
        <w:rPr>
          <w:noProof/>
        </w:rPr>
        <w:t xml:space="preserve"> value compared to what could have been achieved at national or regional level. The benefits of the TEN-E Regulation, already referred to under the assessment of effectiveness and efficiency, backed by input from stakeholders confirmed the added value aris</w:t>
      </w:r>
      <w:r>
        <w:rPr>
          <w:noProof/>
        </w:rPr>
        <w:t>ing from an increase in security of supply, more competitive markets and more interconnected energy networks.</w:t>
      </w:r>
    </w:p>
    <w:p w:rsidR="00B60846" w:rsidRDefault="008069FF">
      <w:pPr>
        <w:rPr>
          <w:noProof/>
          <w:lang w:val="en-IE"/>
        </w:rPr>
      </w:pPr>
      <w:r>
        <w:rPr>
          <w:noProof/>
          <w:lang w:val="en-IE"/>
        </w:rPr>
        <w:t xml:space="preserve">The implementation of over 40 key energy infrastructure projects since its enactment </w:t>
      </w:r>
      <w:r>
        <w:rPr>
          <w:noProof/>
        </w:rPr>
        <w:t>helped most Member States reach the 10% interconnection targe</w:t>
      </w:r>
      <w:r>
        <w:rPr>
          <w:noProof/>
        </w:rPr>
        <w:t>t for 2020 and achieve a well-interconnected and shock-resilient gas grid. As such, the EU energy market is more integrated and competitive than it was in 2013 and the Union’s energy security improved. Access to targeted financing under CEF enabled the imp</w:t>
      </w:r>
      <w:r>
        <w:rPr>
          <w:noProof/>
        </w:rPr>
        <w:t>lementation of 95 PCIs which have had otherwise difficulties in accessing financing under market rules.</w:t>
      </w:r>
      <w:r>
        <w:rPr>
          <w:noProof/>
          <w:lang w:val="en-IE"/>
        </w:rPr>
        <w:t xml:space="preserve"> </w:t>
      </w:r>
      <w:r>
        <w:rPr>
          <w:noProof/>
        </w:rPr>
        <w:t xml:space="preserve"> </w:t>
      </w:r>
    </w:p>
    <w:p w:rsidR="00B60846" w:rsidRDefault="008069FF">
      <w:pPr>
        <w:rPr>
          <w:noProof/>
        </w:rPr>
      </w:pPr>
      <w:r>
        <w:rPr>
          <w:noProof/>
        </w:rPr>
        <w:t>Various stakeholders confirmed the added value of the TEN-E Regulation, pointing to the importance of regional cooperation in implementing cross-borde</w:t>
      </w:r>
      <w:r>
        <w:rPr>
          <w:noProof/>
        </w:rPr>
        <w:t>r projects, transparency regulatory certainty and access to financing.</w:t>
      </w:r>
    </w:p>
    <w:p w:rsidR="00B60846" w:rsidRDefault="008069FF">
      <w:pPr>
        <w:keepNext/>
        <w:tabs>
          <w:tab w:val="left" w:pos="993"/>
        </w:tabs>
        <w:spacing w:before="120" w:after="120"/>
        <w:rPr>
          <w:b/>
          <w:noProof/>
          <w:szCs w:val="24"/>
        </w:rPr>
      </w:pPr>
      <w:r>
        <w:rPr>
          <w:b/>
          <w:noProof/>
          <w:szCs w:val="24"/>
        </w:rPr>
        <w:t>Figure 8: The EU added value of the TEN-E Regulation as indicated by stakeholders</w:t>
      </w:r>
    </w:p>
    <w:p w:rsidR="00B60846" w:rsidRDefault="00B60846">
      <w:pPr>
        <w:rPr>
          <w:noProof/>
        </w:rPr>
      </w:pPr>
    </w:p>
    <w:p w:rsidR="00B60846" w:rsidRDefault="008069FF">
      <w:pPr>
        <w:rPr>
          <w:noProof/>
        </w:rPr>
      </w:pPr>
      <w:r>
        <w:rPr>
          <w:noProof/>
          <w:lang w:eastAsia="en-GB"/>
        </w:rPr>
        <w:drawing>
          <wp:inline distT="0" distB="0" distL="0" distR="0">
            <wp:extent cx="5039360" cy="3670753"/>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360" cy="3670753"/>
                    </a:xfrm>
                    <a:prstGeom prst="rect">
                      <a:avLst/>
                    </a:prstGeom>
                    <a:noFill/>
                    <a:ln>
                      <a:noFill/>
                    </a:ln>
                  </pic:spPr>
                </pic:pic>
              </a:graphicData>
            </a:graphic>
          </wp:inline>
        </w:drawing>
      </w:r>
    </w:p>
    <w:p w:rsidR="00B60846" w:rsidRDefault="008069FF">
      <w:pPr>
        <w:rPr>
          <w:noProof/>
        </w:rPr>
      </w:pPr>
      <w:r>
        <w:rPr>
          <w:noProof/>
        </w:rPr>
        <w:t xml:space="preserve">The TEN-E Regulation fosters the development of cross-border energy infrastructure in the EU. Thus, </w:t>
      </w:r>
      <w:r>
        <w:rPr>
          <w:noProof/>
        </w:rPr>
        <w:t xml:space="preserve">it promoted cooperation among Member States, which might not have occurred without the coordinated action at the EU level. The common approach of benchmarking projects to one another were instrumental in enabling cooperation and transparency. In addition, </w:t>
      </w:r>
      <w:r>
        <w:rPr>
          <w:noProof/>
        </w:rPr>
        <w:t>national and regional level legislation covering cross-border cooperation in the EU assists projects that have cross-border relevance.</w:t>
      </w:r>
    </w:p>
    <w:p w:rsidR="00B60846" w:rsidRDefault="008069FF">
      <w:pPr>
        <w:pStyle w:val="Heading1"/>
        <w:rPr>
          <w:noProof/>
        </w:rPr>
      </w:pPr>
      <w:bookmarkStart w:id="1343" w:name="_Toc55496490"/>
      <w:r>
        <w:rPr>
          <w:noProof/>
        </w:rPr>
        <w:t>Conclusions</w:t>
      </w:r>
      <w:bookmarkEnd w:id="1343"/>
    </w:p>
    <w:p w:rsidR="00B60846" w:rsidRDefault="008069FF">
      <w:pPr>
        <w:contextualSpacing/>
        <w:rPr>
          <w:noProof/>
        </w:rPr>
      </w:pPr>
      <w:r>
        <w:rPr>
          <w:noProof/>
        </w:rPr>
        <w:t>Since 2013, energy interconnections have increased across the EU as a result of the implementation of the TEN</w:t>
      </w:r>
      <w:r>
        <w:rPr>
          <w:noProof/>
        </w:rPr>
        <w:t>-E Regulation and PCIs in all regions. Increased interconnection effectively improved the integration of Member States’ networks, which in turned made the EU energy market more integrated and competitive than it was before the application of the TEN-E Regu</w:t>
      </w:r>
      <w:r>
        <w:rPr>
          <w:noProof/>
        </w:rPr>
        <w:t>lation. Wholesale prices for electricity decreased and converged in almost all Member States. Gas prices also converged. An increase in security of gas supply has been achieved substantially since 2013 through new interconnections and LNG terminals. PCIs h</w:t>
      </w:r>
      <w:r>
        <w:rPr>
          <w:noProof/>
        </w:rPr>
        <w:t>ave demonstrated to help fulfilling the current objectives of the TEN-E Regulation as it was conceived in 2013. However, the do not reflect the renewed climate ambitions and the climate neutrality objective nor the latest technological developments. This p</w:t>
      </w:r>
      <w:r>
        <w:rPr>
          <w:noProof/>
        </w:rPr>
        <w:t>rogress should be taken into account in the infrastructure categories covered by the Regulation, the PCI selection criteria as well as the priority corridors and thematic areas.</w:t>
      </w:r>
    </w:p>
    <w:p w:rsidR="00B60846" w:rsidRDefault="00B60846">
      <w:pPr>
        <w:contextualSpacing/>
        <w:rPr>
          <w:noProof/>
        </w:rPr>
      </w:pPr>
    </w:p>
    <w:p w:rsidR="00B60846" w:rsidRDefault="008069FF">
      <w:pPr>
        <w:contextualSpacing/>
        <w:rPr>
          <w:noProof/>
        </w:rPr>
      </w:pPr>
      <w:r>
        <w:rPr>
          <w:noProof/>
        </w:rPr>
        <w:t xml:space="preserve">The PCI identification and selection process within the Regional Groups has </w:t>
      </w:r>
      <w:r>
        <w:rPr>
          <w:noProof/>
        </w:rPr>
        <w:t>been found effective in improving cooperation and enabling decisions on cross-border projects on the basis of a regional and European approach. The TYNDP process has proven effective as a first step for the identification of PCIs. However, while the ENTSOs</w:t>
      </w:r>
      <w:r>
        <w:rPr>
          <w:noProof/>
        </w:rPr>
        <w:t xml:space="preserve"> and TSOs have an important role to play in the process, there is a need for more inclusiveness and scrutiny of the main inputs and assumptions to enhance trust in the process.</w:t>
      </w:r>
    </w:p>
    <w:p w:rsidR="00B60846" w:rsidRDefault="00B60846">
      <w:pPr>
        <w:contextualSpacing/>
        <w:rPr>
          <w:noProof/>
        </w:rPr>
      </w:pPr>
    </w:p>
    <w:p w:rsidR="00B60846" w:rsidRDefault="008069FF">
      <w:pPr>
        <w:contextualSpacing/>
        <w:rPr>
          <w:noProof/>
        </w:rPr>
      </w:pPr>
      <w:r>
        <w:rPr>
          <w:noProof/>
        </w:rPr>
        <w:t>The cross-border cost allocation mechanism is an important enabler for project</w:t>
      </w:r>
      <w:r>
        <w:rPr>
          <w:noProof/>
        </w:rPr>
        <w:t xml:space="preserve"> implementation. However, in many cases the cross-border cost allocation did not result reducing the financing gap of the project, as intended.</w:t>
      </w:r>
    </w:p>
    <w:p w:rsidR="00B60846" w:rsidRDefault="00B60846">
      <w:pPr>
        <w:contextualSpacing/>
        <w:rPr>
          <w:noProof/>
        </w:rPr>
      </w:pPr>
    </w:p>
    <w:p w:rsidR="00B60846" w:rsidRDefault="008069FF">
      <w:pPr>
        <w:contextualSpacing/>
        <w:rPr>
          <w:noProof/>
        </w:rPr>
      </w:pPr>
      <w:r>
        <w:rPr>
          <w:noProof/>
        </w:rPr>
        <w:t>While permitting procedures have been shortened, long permitting procedures persist in some cases. However, the</w:t>
      </w:r>
      <w:r>
        <w:rPr>
          <w:noProof/>
        </w:rPr>
        <w:t xml:space="preserve"> underlying reasons are mainly related to national implementation and outside the scope of the TEN-E Regulation.</w:t>
      </w:r>
    </w:p>
    <w:p w:rsidR="00B60846" w:rsidRDefault="00B60846">
      <w:pPr>
        <w:contextualSpacing/>
        <w:rPr>
          <w:noProof/>
        </w:rPr>
      </w:pPr>
    </w:p>
    <w:p w:rsidR="00B60846" w:rsidRDefault="008069FF">
      <w:pPr>
        <w:contextualSpacing/>
        <w:rPr>
          <w:noProof/>
        </w:rPr>
      </w:pPr>
      <w:r>
        <w:rPr>
          <w:noProof/>
        </w:rPr>
        <w:t>CEF financial assistance granted to 95 projects were an effective enable of their implementation. Grants for studies helped projects to reduce</w:t>
      </w:r>
      <w:r>
        <w:rPr>
          <w:noProof/>
        </w:rPr>
        <w:t xml:space="preserve"> risks in the early stages of development while grants for works supported projects addressing key bottlenecks that market finance could not sufficiently address.</w:t>
      </w:r>
    </w:p>
    <w:p w:rsidR="00B60846" w:rsidRDefault="00B60846">
      <w:pPr>
        <w:contextualSpacing/>
        <w:rPr>
          <w:noProof/>
        </w:rPr>
      </w:pPr>
    </w:p>
    <w:p w:rsidR="00B60846" w:rsidRDefault="008069FF">
      <w:pPr>
        <w:rPr>
          <w:noProof/>
        </w:rPr>
      </w:pPr>
      <w:r>
        <w:rPr>
          <w:noProof/>
        </w:rPr>
        <w:t>The evaluation found that the benefits of the Regulation outweigh the costs proving its effi</w:t>
      </w:r>
      <w:r>
        <w:rPr>
          <w:noProof/>
        </w:rPr>
        <w:t>ciency. TEN-E Regulation brought socio-economic benefits through an increase in security of supply and more integrated and competitive energy markets. The Regulation also contributed to improved information availability, coordination and transparency.</w:t>
      </w:r>
    </w:p>
    <w:p w:rsidR="00B60846" w:rsidRDefault="008069FF">
      <w:pPr>
        <w:rPr>
          <w:noProof/>
        </w:rPr>
      </w:pPr>
      <w:r>
        <w:rPr>
          <w:noProof/>
        </w:rPr>
        <w:t xml:space="preserve">The </w:t>
      </w:r>
      <w:r>
        <w:rPr>
          <w:noProof/>
        </w:rPr>
        <w:t>initial objectives of the TEN-E Regulation -security of supply, market integration, competition and sustainability- remain relevant. However, the increased climate ambitions under the Paris Agreement and the European Green Deal call for a rebalancing of th</w:t>
      </w:r>
      <w:r>
        <w:rPr>
          <w:noProof/>
        </w:rPr>
        <w:t>e objectives in order to fulfil the decarbonisation targets and contribute to climate-neutrality.</w:t>
      </w:r>
    </w:p>
    <w:p w:rsidR="00B60846" w:rsidRDefault="008069FF">
      <w:pPr>
        <w:rPr>
          <w:noProof/>
        </w:rPr>
      </w:pPr>
      <w:r>
        <w:rPr>
          <w:noProof/>
        </w:rPr>
        <w:t>The evaluation showed limited evidence as to concerns around the internal coherence of the TEN-E Regulation, other than potential mechanistic changes and a la</w:t>
      </w:r>
      <w:r>
        <w:rPr>
          <w:noProof/>
        </w:rPr>
        <w:t xml:space="preserve">ck of flexibility in adapting to rapidly evolving policy areas. </w:t>
      </w:r>
    </w:p>
    <w:p w:rsidR="00B60846" w:rsidRDefault="008069FF">
      <w:pPr>
        <w:rPr>
          <w:noProof/>
        </w:rPr>
      </w:pPr>
      <w:r>
        <w:rPr>
          <w:noProof/>
        </w:rPr>
        <w:t xml:space="preserve">The TEN-E Regulation delivered results which could have not otherwise been achieved by action at Member State level, proving EU added value. </w:t>
      </w:r>
    </w:p>
    <w:p w:rsidR="00B60846" w:rsidRDefault="008069FF">
      <w:pPr>
        <w:tabs>
          <w:tab w:val="clear" w:pos="2302"/>
        </w:tabs>
        <w:spacing w:after="200" w:line="276" w:lineRule="auto"/>
        <w:jc w:val="left"/>
        <w:rPr>
          <w:noProof/>
        </w:rPr>
      </w:pPr>
      <w:r>
        <w:rPr>
          <w:noProof/>
        </w:rPr>
        <w:br w:type="page"/>
      </w:r>
    </w:p>
    <w:p w:rsidR="00B60846" w:rsidRDefault="008069FF">
      <w:pPr>
        <w:pStyle w:val="Heading1"/>
        <w:numPr>
          <w:ilvl w:val="0"/>
          <w:numId w:val="0"/>
        </w:numPr>
        <w:rPr>
          <w:noProof/>
        </w:rPr>
      </w:pPr>
      <w:bookmarkStart w:id="1344" w:name="_Toc55496491"/>
      <w:bookmarkStart w:id="1345" w:name="_Toc51168589"/>
      <w:bookmarkStart w:id="1346" w:name="_Toc51169078"/>
      <w:bookmarkStart w:id="1347" w:name="_Toc51231572"/>
      <w:bookmarkStart w:id="1348" w:name="_Toc51235508"/>
      <w:bookmarkStart w:id="1349" w:name="_Toc51237297"/>
      <w:bookmarkStart w:id="1350" w:name="_Toc51238683"/>
      <w:bookmarkStart w:id="1351" w:name="_Toc51239408"/>
      <w:bookmarkStart w:id="1352" w:name="_Toc51788319"/>
      <w:bookmarkStart w:id="1353" w:name="_Toc51791857"/>
      <w:bookmarkStart w:id="1354" w:name="_Toc51793289"/>
      <w:r>
        <w:rPr>
          <w:noProof/>
        </w:rPr>
        <w:t>Annex 6: PCIs and CEF financial assistance</w:t>
      </w:r>
      <w:bookmarkEnd w:id="1344"/>
    </w:p>
    <w:p w:rsidR="00B60846" w:rsidRDefault="008069FF">
      <w:pPr>
        <w:rPr>
          <w:noProof/>
          <w:szCs w:val="24"/>
          <w:u w:val="single"/>
        </w:rPr>
      </w:pPr>
      <w:r>
        <w:rPr>
          <w:noProof/>
          <w:u w:val="single"/>
        </w:rPr>
        <w:t>Proj</w:t>
      </w:r>
      <w:r>
        <w:rPr>
          <w:noProof/>
          <w:u w:val="single"/>
        </w:rPr>
        <w:t>ects of common interest (completed):</w:t>
      </w:r>
    </w:p>
    <w:tbl>
      <w:tblPr>
        <w:tblStyle w:val="TableGrid"/>
        <w:tblW w:w="9180" w:type="dxa"/>
        <w:tblLook w:val="04A0" w:firstRow="1" w:lastRow="0" w:firstColumn="1" w:lastColumn="0" w:noHBand="0" w:noVBand="1"/>
      </w:tblPr>
      <w:tblGrid>
        <w:gridCol w:w="1531"/>
        <w:gridCol w:w="1216"/>
        <w:gridCol w:w="6433"/>
      </w:tblGrid>
      <w:tr w:rsidR="00B60846">
        <w:trPr>
          <w:trHeight w:val="370"/>
        </w:trPr>
        <w:tc>
          <w:tcPr>
            <w:tcW w:w="1531" w:type="dxa"/>
            <w:noWrap/>
            <w:hideMark/>
          </w:tcPr>
          <w:p w:rsidR="00B60846" w:rsidRDefault="008069FF">
            <w:pPr>
              <w:rPr>
                <w:noProof/>
              </w:rPr>
            </w:pPr>
            <w:r>
              <w:rPr>
                <w:noProof/>
              </w:rPr>
              <w:t xml:space="preserve">PCI number </w:t>
            </w:r>
          </w:p>
        </w:tc>
        <w:tc>
          <w:tcPr>
            <w:tcW w:w="1216" w:type="dxa"/>
          </w:tcPr>
          <w:p w:rsidR="00B60846" w:rsidRDefault="008069FF">
            <w:pPr>
              <w:rPr>
                <w:noProof/>
              </w:rPr>
            </w:pPr>
            <w:r>
              <w:rPr>
                <w:noProof/>
              </w:rPr>
              <w:t>Regional group/ sematic area</w:t>
            </w:r>
          </w:p>
        </w:tc>
        <w:tc>
          <w:tcPr>
            <w:tcW w:w="6433" w:type="dxa"/>
            <w:noWrap/>
            <w:hideMark/>
          </w:tcPr>
          <w:p w:rsidR="00B60846" w:rsidRDefault="008069FF">
            <w:pPr>
              <w:rPr>
                <w:noProof/>
              </w:rPr>
            </w:pPr>
            <w:r>
              <w:rPr>
                <w:noProof/>
              </w:rPr>
              <w:t>Name of the PCI</w:t>
            </w:r>
          </w:p>
        </w:tc>
      </w:tr>
      <w:tr w:rsidR="00B60846">
        <w:trPr>
          <w:trHeight w:val="290"/>
        </w:trPr>
        <w:tc>
          <w:tcPr>
            <w:tcW w:w="1531" w:type="dxa"/>
            <w:hideMark/>
          </w:tcPr>
          <w:p w:rsidR="00B60846" w:rsidRDefault="008069FF">
            <w:pPr>
              <w:rPr>
                <w:noProof/>
              </w:rPr>
            </w:pPr>
            <w:r>
              <w:rPr>
                <w:noProof/>
              </w:rPr>
              <w:t>1.1.1</w:t>
            </w:r>
          </w:p>
        </w:tc>
        <w:tc>
          <w:tcPr>
            <w:tcW w:w="1216" w:type="dxa"/>
          </w:tcPr>
          <w:p w:rsidR="00B60846" w:rsidRDefault="008069FF">
            <w:pPr>
              <w:rPr>
                <w:noProof/>
              </w:rPr>
            </w:pPr>
            <w:r>
              <w:rPr>
                <w:noProof/>
              </w:rPr>
              <w:t>NSOG</w:t>
            </w:r>
          </w:p>
        </w:tc>
        <w:tc>
          <w:tcPr>
            <w:tcW w:w="6433" w:type="dxa"/>
            <w:hideMark/>
          </w:tcPr>
          <w:p w:rsidR="00B60846" w:rsidRDefault="008069FF">
            <w:pPr>
              <w:rPr>
                <w:noProof/>
              </w:rPr>
            </w:pPr>
            <w:r>
              <w:rPr>
                <w:noProof/>
              </w:rPr>
              <w:t>1.1.1 Interconnection between Gezelle (BE) and the vicinity of Richborough (UK)</w:t>
            </w:r>
          </w:p>
        </w:tc>
      </w:tr>
      <w:tr w:rsidR="00B60846">
        <w:trPr>
          <w:trHeight w:val="290"/>
        </w:trPr>
        <w:tc>
          <w:tcPr>
            <w:tcW w:w="1531" w:type="dxa"/>
            <w:hideMark/>
          </w:tcPr>
          <w:p w:rsidR="00B60846" w:rsidRDefault="008069FF">
            <w:pPr>
              <w:rPr>
                <w:noProof/>
              </w:rPr>
            </w:pPr>
            <w:r>
              <w:rPr>
                <w:noProof/>
              </w:rPr>
              <w:t>1.1.2</w:t>
            </w:r>
          </w:p>
        </w:tc>
        <w:tc>
          <w:tcPr>
            <w:tcW w:w="1216" w:type="dxa"/>
          </w:tcPr>
          <w:p w:rsidR="00B60846" w:rsidRDefault="008069FF">
            <w:pPr>
              <w:rPr>
                <w:noProof/>
              </w:rPr>
            </w:pPr>
            <w:r>
              <w:rPr>
                <w:noProof/>
              </w:rPr>
              <w:t>NSOG</w:t>
            </w:r>
          </w:p>
        </w:tc>
        <w:tc>
          <w:tcPr>
            <w:tcW w:w="6433" w:type="dxa"/>
            <w:hideMark/>
          </w:tcPr>
          <w:p w:rsidR="00B60846" w:rsidRDefault="008069FF">
            <w:pPr>
              <w:rPr>
                <w:noProof/>
              </w:rPr>
            </w:pPr>
            <w:r>
              <w:rPr>
                <w:noProof/>
              </w:rPr>
              <w:t xml:space="preserve">1.1.2 Internal line between the vicinity of Richborough </w:t>
            </w:r>
            <w:r>
              <w:rPr>
                <w:noProof/>
              </w:rPr>
              <w:t>and Canterbury (UK)</w:t>
            </w:r>
          </w:p>
        </w:tc>
      </w:tr>
      <w:tr w:rsidR="00B60846">
        <w:trPr>
          <w:trHeight w:val="290"/>
        </w:trPr>
        <w:tc>
          <w:tcPr>
            <w:tcW w:w="1531" w:type="dxa"/>
            <w:hideMark/>
          </w:tcPr>
          <w:p w:rsidR="00B60846" w:rsidRDefault="008069FF">
            <w:pPr>
              <w:rPr>
                <w:noProof/>
              </w:rPr>
            </w:pPr>
            <w:r>
              <w:rPr>
                <w:noProof/>
              </w:rPr>
              <w:t>1.1.3</w:t>
            </w:r>
          </w:p>
        </w:tc>
        <w:tc>
          <w:tcPr>
            <w:tcW w:w="1216" w:type="dxa"/>
          </w:tcPr>
          <w:p w:rsidR="00B60846" w:rsidRDefault="008069FF">
            <w:pPr>
              <w:rPr>
                <w:noProof/>
              </w:rPr>
            </w:pPr>
            <w:r>
              <w:rPr>
                <w:noProof/>
              </w:rPr>
              <w:t>NSOG</w:t>
            </w:r>
          </w:p>
        </w:tc>
        <w:tc>
          <w:tcPr>
            <w:tcW w:w="6433" w:type="dxa"/>
            <w:hideMark/>
          </w:tcPr>
          <w:p w:rsidR="00B60846" w:rsidRDefault="008069FF">
            <w:pPr>
              <w:rPr>
                <w:noProof/>
              </w:rPr>
            </w:pPr>
            <w:r>
              <w:rPr>
                <w:noProof/>
              </w:rPr>
              <w:t>1.1.3 Internal line between Dungeness to Sellindge and Sellindge to Canterbury (UK)</w:t>
            </w:r>
          </w:p>
        </w:tc>
      </w:tr>
      <w:tr w:rsidR="00B60846">
        <w:trPr>
          <w:trHeight w:val="290"/>
        </w:trPr>
        <w:tc>
          <w:tcPr>
            <w:tcW w:w="1531" w:type="dxa"/>
            <w:hideMark/>
          </w:tcPr>
          <w:p w:rsidR="00B60846" w:rsidRDefault="008069FF">
            <w:pPr>
              <w:rPr>
                <w:noProof/>
              </w:rPr>
            </w:pPr>
            <w:r>
              <w:rPr>
                <w:noProof/>
              </w:rPr>
              <w:t>1.3.2</w:t>
            </w:r>
          </w:p>
        </w:tc>
        <w:tc>
          <w:tcPr>
            <w:tcW w:w="1216" w:type="dxa"/>
          </w:tcPr>
          <w:p w:rsidR="00B60846" w:rsidRDefault="008069FF">
            <w:pPr>
              <w:rPr>
                <w:noProof/>
              </w:rPr>
            </w:pPr>
            <w:r>
              <w:rPr>
                <w:noProof/>
              </w:rPr>
              <w:t>NSOG</w:t>
            </w:r>
          </w:p>
        </w:tc>
        <w:tc>
          <w:tcPr>
            <w:tcW w:w="6433" w:type="dxa"/>
            <w:hideMark/>
          </w:tcPr>
          <w:p w:rsidR="00B60846" w:rsidRDefault="008069FF">
            <w:pPr>
              <w:rPr>
                <w:noProof/>
              </w:rPr>
            </w:pPr>
            <w:r>
              <w:rPr>
                <w:noProof/>
              </w:rPr>
              <w:t>1.3.2 Internal line between Niebüll and Brunsbüttel (DE)</w:t>
            </w:r>
          </w:p>
        </w:tc>
      </w:tr>
      <w:tr w:rsidR="00B60846">
        <w:trPr>
          <w:trHeight w:val="290"/>
        </w:trPr>
        <w:tc>
          <w:tcPr>
            <w:tcW w:w="1531" w:type="dxa"/>
            <w:hideMark/>
          </w:tcPr>
          <w:p w:rsidR="00B60846" w:rsidRDefault="008069FF">
            <w:pPr>
              <w:rPr>
                <w:noProof/>
              </w:rPr>
            </w:pPr>
            <w:r>
              <w:rPr>
                <w:noProof/>
              </w:rPr>
              <w:t>1.4.2</w:t>
            </w:r>
          </w:p>
        </w:tc>
        <w:tc>
          <w:tcPr>
            <w:tcW w:w="1216" w:type="dxa"/>
          </w:tcPr>
          <w:p w:rsidR="00B60846" w:rsidRDefault="008069FF">
            <w:pPr>
              <w:rPr>
                <w:noProof/>
              </w:rPr>
            </w:pPr>
            <w:r>
              <w:rPr>
                <w:noProof/>
              </w:rPr>
              <w:t>NSOG</w:t>
            </w:r>
          </w:p>
        </w:tc>
        <w:tc>
          <w:tcPr>
            <w:tcW w:w="6433" w:type="dxa"/>
            <w:hideMark/>
          </w:tcPr>
          <w:p w:rsidR="00B60846" w:rsidRDefault="008069FF">
            <w:pPr>
              <w:rPr>
                <w:noProof/>
              </w:rPr>
            </w:pPr>
            <w:r>
              <w:rPr>
                <w:noProof/>
              </w:rPr>
              <w:t>1.4.2 Internal line between Audorf and Hamburg/Nord (DE)</w:t>
            </w:r>
          </w:p>
        </w:tc>
      </w:tr>
      <w:tr w:rsidR="00B60846">
        <w:trPr>
          <w:trHeight w:val="290"/>
        </w:trPr>
        <w:tc>
          <w:tcPr>
            <w:tcW w:w="1531" w:type="dxa"/>
            <w:hideMark/>
          </w:tcPr>
          <w:p w:rsidR="00B60846" w:rsidRDefault="008069FF">
            <w:pPr>
              <w:rPr>
                <w:noProof/>
              </w:rPr>
            </w:pPr>
            <w:r>
              <w:rPr>
                <w:noProof/>
              </w:rPr>
              <w:t>1.4.3</w:t>
            </w:r>
          </w:p>
        </w:tc>
        <w:tc>
          <w:tcPr>
            <w:tcW w:w="1216" w:type="dxa"/>
          </w:tcPr>
          <w:p w:rsidR="00B60846" w:rsidRDefault="008069FF">
            <w:pPr>
              <w:rPr>
                <w:noProof/>
              </w:rPr>
            </w:pPr>
            <w:r>
              <w:rPr>
                <w:noProof/>
              </w:rPr>
              <w:t>NSOG</w:t>
            </w:r>
          </w:p>
        </w:tc>
        <w:tc>
          <w:tcPr>
            <w:tcW w:w="6433" w:type="dxa"/>
            <w:hideMark/>
          </w:tcPr>
          <w:p w:rsidR="00B60846" w:rsidRDefault="008069FF">
            <w:pPr>
              <w:rPr>
                <w:noProof/>
              </w:rPr>
            </w:pPr>
            <w:r>
              <w:rPr>
                <w:noProof/>
              </w:rPr>
              <w:t>1.4.3 Internal line between Hamburg/Nord and Dollern (DE)</w:t>
            </w:r>
          </w:p>
        </w:tc>
      </w:tr>
      <w:tr w:rsidR="00B60846">
        <w:trPr>
          <w:trHeight w:val="290"/>
        </w:trPr>
        <w:tc>
          <w:tcPr>
            <w:tcW w:w="1531" w:type="dxa"/>
            <w:hideMark/>
          </w:tcPr>
          <w:p w:rsidR="00B60846" w:rsidRDefault="008069FF">
            <w:pPr>
              <w:rPr>
                <w:noProof/>
              </w:rPr>
            </w:pPr>
            <w:r>
              <w:rPr>
                <w:noProof/>
              </w:rPr>
              <w:t>1.5</w:t>
            </w:r>
          </w:p>
        </w:tc>
        <w:tc>
          <w:tcPr>
            <w:tcW w:w="1216" w:type="dxa"/>
          </w:tcPr>
          <w:p w:rsidR="00B60846" w:rsidRDefault="008069FF">
            <w:pPr>
              <w:rPr>
                <w:noProof/>
              </w:rPr>
            </w:pPr>
            <w:r>
              <w:rPr>
                <w:noProof/>
              </w:rPr>
              <w:t>NSOG</w:t>
            </w:r>
          </w:p>
        </w:tc>
        <w:tc>
          <w:tcPr>
            <w:tcW w:w="6433" w:type="dxa"/>
            <w:hideMark/>
          </w:tcPr>
          <w:p w:rsidR="00B60846" w:rsidRDefault="008069FF">
            <w:pPr>
              <w:rPr>
                <w:noProof/>
              </w:rPr>
            </w:pPr>
            <w:r>
              <w:rPr>
                <w:noProof/>
              </w:rPr>
              <w:t>Denmark — Netherlands interconnection between Endrup (DK) and Eemshaven (NL) [currently known as “COBRAcable”]</w:t>
            </w:r>
          </w:p>
        </w:tc>
      </w:tr>
      <w:tr w:rsidR="00B60846">
        <w:trPr>
          <w:trHeight w:val="375"/>
        </w:trPr>
        <w:tc>
          <w:tcPr>
            <w:tcW w:w="1531" w:type="dxa"/>
            <w:hideMark/>
          </w:tcPr>
          <w:p w:rsidR="00B60846" w:rsidRDefault="008069FF">
            <w:pPr>
              <w:rPr>
                <w:noProof/>
              </w:rPr>
            </w:pPr>
            <w:r>
              <w:rPr>
                <w:noProof/>
              </w:rPr>
              <w:t>1.7.3</w:t>
            </w:r>
          </w:p>
        </w:tc>
        <w:tc>
          <w:tcPr>
            <w:tcW w:w="1216" w:type="dxa"/>
          </w:tcPr>
          <w:p w:rsidR="00B60846" w:rsidRDefault="008069FF">
            <w:pPr>
              <w:rPr>
                <w:noProof/>
              </w:rPr>
            </w:pPr>
            <w:r>
              <w:rPr>
                <w:noProof/>
              </w:rPr>
              <w:t>NSOG</w:t>
            </w:r>
          </w:p>
        </w:tc>
        <w:tc>
          <w:tcPr>
            <w:tcW w:w="6433" w:type="dxa"/>
            <w:hideMark/>
          </w:tcPr>
          <w:p w:rsidR="00B60846" w:rsidRDefault="008069FF">
            <w:pPr>
              <w:rPr>
                <w:noProof/>
              </w:rPr>
            </w:pPr>
            <w:r>
              <w:rPr>
                <w:noProof/>
              </w:rPr>
              <w:t>1.7.3 Interconnection between Coquelles (FR) and Folke</w:t>
            </w:r>
            <w:r>
              <w:rPr>
                <w:noProof/>
              </w:rPr>
              <w:t xml:space="preserve">stone (UK) [currently known as "ElecLink"] </w:t>
            </w:r>
          </w:p>
        </w:tc>
      </w:tr>
      <w:tr w:rsidR="00B60846">
        <w:trPr>
          <w:trHeight w:val="290"/>
        </w:trPr>
        <w:tc>
          <w:tcPr>
            <w:tcW w:w="1531" w:type="dxa"/>
            <w:hideMark/>
          </w:tcPr>
          <w:p w:rsidR="00B60846" w:rsidRDefault="008069FF">
            <w:pPr>
              <w:rPr>
                <w:noProof/>
              </w:rPr>
            </w:pPr>
            <w:r>
              <w:rPr>
                <w:noProof/>
              </w:rPr>
              <w:t>2.2.2</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2.2.2 Internal line between Lixhe and Herderen (BE)</w:t>
            </w:r>
          </w:p>
        </w:tc>
      </w:tr>
      <w:tr w:rsidR="00B60846">
        <w:trPr>
          <w:trHeight w:val="290"/>
        </w:trPr>
        <w:tc>
          <w:tcPr>
            <w:tcW w:w="1531" w:type="dxa"/>
            <w:hideMark/>
          </w:tcPr>
          <w:p w:rsidR="00B60846" w:rsidRDefault="008069FF">
            <w:pPr>
              <w:rPr>
                <w:noProof/>
              </w:rPr>
            </w:pPr>
            <w:r>
              <w:rPr>
                <w:noProof/>
              </w:rPr>
              <w:t>2.2.3</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2.2.3 New substation in Zutendaal (BE)</w:t>
            </w:r>
          </w:p>
        </w:tc>
      </w:tr>
      <w:tr w:rsidR="00B60846">
        <w:trPr>
          <w:trHeight w:val="290"/>
        </w:trPr>
        <w:tc>
          <w:tcPr>
            <w:tcW w:w="1531" w:type="dxa"/>
            <w:hideMark/>
          </w:tcPr>
          <w:p w:rsidR="00B60846" w:rsidRDefault="008069FF">
            <w:pPr>
              <w:rPr>
                <w:noProof/>
              </w:rPr>
            </w:pPr>
            <w:r>
              <w:rPr>
                <w:noProof/>
              </w:rPr>
              <w:t>2.3.1</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 xml:space="preserve">2.3.1 Coordinated installation and </w:t>
            </w:r>
            <w:r>
              <w:rPr>
                <w:noProof/>
              </w:rPr>
              <w:t>operation of a phase-shift transformer in Schifflange(LU)</w:t>
            </w:r>
          </w:p>
        </w:tc>
      </w:tr>
      <w:tr w:rsidR="00B60846">
        <w:trPr>
          <w:trHeight w:val="290"/>
        </w:trPr>
        <w:tc>
          <w:tcPr>
            <w:tcW w:w="1531" w:type="dxa"/>
            <w:hideMark/>
          </w:tcPr>
          <w:p w:rsidR="00B60846" w:rsidRDefault="008069FF">
            <w:pPr>
              <w:rPr>
                <w:noProof/>
              </w:rPr>
            </w:pPr>
            <w:r>
              <w:rPr>
                <w:noProof/>
              </w:rPr>
              <w:t>2.5.1</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2.5.1 Interconnection between Grande Ile (FR) and Piossasco (IT) [currently known as “Savoie-Piemont” project]</w:t>
            </w:r>
          </w:p>
        </w:tc>
      </w:tr>
      <w:tr w:rsidR="00B60846">
        <w:trPr>
          <w:trHeight w:val="290"/>
        </w:trPr>
        <w:tc>
          <w:tcPr>
            <w:tcW w:w="1531" w:type="dxa"/>
            <w:hideMark/>
          </w:tcPr>
          <w:p w:rsidR="00B60846" w:rsidRDefault="008069FF">
            <w:pPr>
              <w:rPr>
                <w:noProof/>
              </w:rPr>
            </w:pPr>
            <w:r>
              <w:rPr>
                <w:noProof/>
              </w:rPr>
              <w:t>2.5.2</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 xml:space="preserve">2.5.2 Internal line between </w:t>
            </w:r>
            <w:r>
              <w:rPr>
                <w:noProof/>
              </w:rPr>
              <w:t>Trino and Lacchiarella (IT)</w:t>
            </w:r>
          </w:p>
        </w:tc>
      </w:tr>
      <w:tr w:rsidR="00B60846">
        <w:trPr>
          <w:trHeight w:val="570"/>
        </w:trPr>
        <w:tc>
          <w:tcPr>
            <w:tcW w:w="1531" w:type="dxa"/>
            <w:hideMark/>
          </w:tcPr>
          <w:p w:rsidR="00B60846" w:rsidRDefault="008069FF">
            <w:pPr>
              <w:rPr>
                <w:noProof/>
              </w:rPr>
            </w:pPr>
            <w:r>
              <w:rPr>
                <w:noProof/>
              </w:rPr>
              <w:t>2.6</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PCI Spain internal line between Santa Llogaia and Bescanó (ES) to increase capacity of the</w:t>
            </w:r>
            <w:r>
              <w:rPr>
                <w:noProof/>
              </w:rPr>
              <w:br/>
              <w:t>interconnection between Bescanó (ES) and Baixas (FR)</w:t>
            </w:r>
          </w:p>
        </w:tc>
      </w:tr>
      <w:tr w:rsidR="00B60846">
        <w:trPr>
          <w:trHeight w:val="570"/>
        </w:trPr>
        <w:tc>
          <w:tcPr>
            <w:tcW w:w="1531" w:type="dxa"/>
            <w:hideMark/>
          </w:tcPr>
          <w:p w:rsidR="00B60846" w:rsidRDefault="008069FF">
            <w:pPr>
              <w:rPr>
                <w:noProof/>
              </w:rPr>
            </w:pPr>
            <w:r>
              <w:rPr>
                <w:noProof/>
              </w:rPr>
              <w:t>2.8</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 xml:space="preserve">Coordinated installation and </w:t>
            </w:r>
            <w:r>
              <w:rPr>
                <w:noProof/>
              </w:rPr>
              <w:t>operation of a phase-shift transformer in Arkale (ES) to increase capacity of the interconnection between Argia (FR) and Arkale (ES)</w:t>
            </w:r>
          </w:p>
        </w:tc>
      </w:tr>
      <w:tr w:rsidR="00B60846">
        <w:trPr>
          <w:trHeight w:val="290"/>
        </w:trPr>
        <w:tc>
          <w:tcPr>
            <w:tcW w:w="1531" w:type="dxa"/>
            <w:hideMark/>
          </w:tcPr>
          <w:p w:rsidR="00B60846" w:rsidRDefault="008069FF">
            <w:pPr>
              <w:rPr>
                <w:noProof/>
              </w:rPr>
            </w:pPr>
            <w:r>
              <w:rPr>
                <w:noProof/>
              </w:rPr>
              <w:t>2.12</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Germany — Netherlands interconnection between Niederrhein (DE) and Doetinchem (NL)</w:t>
            </w:r>
          </w:p>
        </w:tc>
      </w:tr>
      <w:tr w:rsidR="00B60846">
        <w:trPr>
          <w:trHeight w:val="290"/>
        </w:trPr>
        <w:tc>
          <w:tcPr>
            <w:tcW w:w="1531" w:type="dxa"/>
            <w:hideMark/>
          </w:tcPr>
          <w:p w:rsidR="00B60846" w:rsidRDefault="008069FF">
            <w:pPr>
              <w:rPr>
                <w:noProof/>
              </w:rPr>
            </w:pPr>
            <w:r>
              <w:rPr>
                <w:noProof/>
              </w:rPr>
              <w:t>2.16.2</w:t>
            </w:r>
          </w:p>
        </w:tc>
        <w:tc>
          <w:tcPr>
            <w:tcW w:w="1216" w:type="dxa"/>
          </w:tcPr>
          <w:p w:rsidR="00B60846" w:rsidRDefault="008069FF">
            <w:pPr>
              <w:rPr>
                <w:noProof/>
              </w:rPr>
            </w:pPr>
            <w:r>
              <w:rPr>
                <w:noProof/>
              </w:rPr>
              <w:t xml:space="preserve">NSI </w:t>
            </w:r>
            <w:r>
              <w:rPr>
                <w:noProof/>
              </w:rPr>
              <w:t>West Electricity</w:t>
            </w:r>
          </w:p>
        </w:tc>
        <w:tc>
          <w:tcPr>
            <w:tcW w:w="6433" w:type="dxa"/>
            <w:hideMark/>
          </w:tcPr>
          <w:p w:rsidR="00B60846" w:rsidRDefault="008069FF">
            <w:pPr>
              <w:rPr>
                <w:noProof/>
              </w:rPr>
            </w:pPr>
            <w:r>
              <w:rPr>
                <w:noProof/>
              </w:rPr>
              <w:t>2.16.2 Internal line between Pedralva and Vila Fria B (PT)</w:t>
            </w:r>
          </w:p>
        </w:tc>
      </w:tr>
      <w:tr w:rsidR="00B60846">
        <w:trPr>
          <w:trHeight w:val="290"/>
        </w:trPr>
        <w:tc>
          <w:tcPr>
            <w:tcW w:w="1531" w:type="dxa"/>
            <w:hideMark/>
          </w:tcPr>
          <w:p w:rsidR="00B60846" w:rsidRDefault="008069FF">
            <w:pPr>
              <w:rPr>
                <w:noProof/>
              </w:rPr>
            </w:pPr>
            <w:r>
              <w:rPr>
                <w:noProof/>
              </w:rPr>
              <w:t>2.24</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Internal line between Horta-Mercator (BE)</w:t>
            </w:r>
          </w:p>
        </w:tc>
      </w:tr>
      <w:tr w:rsidR="00B60846">
        <w:trPr>
          <w:trHeight w:val="290"/>
        </w:trPr>
        <w:tc>
          <w:tcPr>
            <w:tcW w:w="1531" w:type="dxa"/>
            <w:hideMark/>
          </w:tcPr>
          <w:p w:rsidR="00B60846" w:rsidRDefault="008069FF">
            <w:pPr>
              <w:rPr>
                <w:noProof/>
              </w:rPr>
            </w:pPr>
            <w:r>
              <w:rPr>
                <w:noProof/>
              </w:rPr>
              <w:t>2.25.1</w:t>
            </w:r>
          </w:p>
        </w:tc>
        <w:tc>
          <w:tcPr>
            <w:tcW w:w="1216" w:type="dxa"/>
          </w:tcPr>
          <w:p w:rsidR="00B60846" w:rsidRDefault="008069FF">
            <w:pPr>
              <w:rPr>
                <w:noProof/>
              </w:rPr>
            </w:pPr>
            <w:r>
              <w:rPr>
                <w:noProof/>
              </w:rPr>
              <w:t>NSI West Electricity</w:t>
            </w:r>
          </w:p>
        </w:tc>
        <w:tc>
          <w:tcPr>
            <w:tcW w:w="6433" w:type="dxa"/>
            <w:hideMark/>
          </w:tcPr>
          <w:p w:rsidR="00B60846" w:rsidRDefault="008069FF">
            <w:pPr>
              <w:rPr>
                <w:noProof/>
              </w:rPr>
            </w:pPr>
            <w:r>
              <w:rPr>
                <w:noProof/>
              </w:rPr>
              <w:t xml:space="preserve">2.25.1 Internal lines Mudejar — Morella (ES) and Mezquite-Morella (ES), including </w:t>
            </w:r>
            <w:r>
              <w:rPr>
                <w:noProof/>
              </w:rPr>
              <w:t>a substation in Mudejar (ES)</w:t>
            </w:r>
          </w:p>
        </w:tc>
      </w:tr>
      <w:tr w:rsidR="00B60846" w:rsidRPr="008069FF">
        <w:trPr>
          <w:trHeight w:val="290"/>
        </w:trPr>
        <w:tc>
          <w:tcPr>
            <w:tcW w:w="1531" w:type="dxa"/>
            <w:hideMark/>
          </w:tcPr>
          <w:p w:rsidR="00B60846" w:rsidRDefault="008069FF">
            <w:pPr>
              <w:rPr>
                <w:noProof/>
              </w:rPr>
            </w:pPr>
            <w:r>
              <w:rPr>
                <w:noProof/>
              </w:rPr>
              <w:t xml:space="preserve">2.25.2 </w:t>
            </w:r>
          </w:p>
        </w:tc>
        <w:tc>
          <w:tcPr>
            <w:tcW w:w="1216" w:type="dxa"/>
          </w:tcPr>
          <w:p w:rsidR="00B60846" w:rsidRDefault="008069FF">
            <w:pPr>
              <w:rPr>
                <w:noProof/>
                <w:lang w:val="fr-BE"/>
              </w:rPr>
            </w:pPr>
            <w:r>
              <w:rPr>
                <w:noProof/>
              </w:rPr>
              <w:t>NSI West Electricity</w:t>
            </w:r>
          </w:p>
        </w:tc>
        <w:tc>
          <w:tcPr>
            <w:tcW w:w="6433" w:type="dxa"/>
            <w:hideMark/>
          </w:tcPr>
          <w:p w:rsidR="00B60846" w:rsidRDefault="008069FF">
            <w:pPr>
              <w:rPr>
                <w:noProof/>
                <w:lang w:val="es-ES"/>
              </w:rPr>
            </w:pPr>
            <w:r>
              <w:rPr>
                <w:noProof/>
                <w:lang w:val="es-ES"/>
              </w:rPr>
              <w:t>2.25.2 Internal line Morella-La Plana (ES)</w:t>
            </w:r>
          </w:p>
        </w:tc>
      </w:tr>
      <w:tr w:rsidR="00B60846">
        <w:trPr>
          <w:trHeight w:val="290"/>
        </w:trPr>
        <w:tc>
          <w:tcPr>
            <w:tcW w:w="1531" w:type="dxa"/>
            <w:hideMark/>
          </w:tcPr>
          <w:p w:rsidR="00B60846" w:rsidRDefault="008069FF">
            <w:pPr>
              <w:rPr>
                <w:noProof/>
              </w:rPr>
            </w:pPr>
            <w:r>
              <w:rPr>
                <w:noProof/>
              </w:rPr>
              <w:t>3.1.3</w:t>
            </w:r>
          </w:p>
        </w:tc>
        <w:tc>
          <w:tcPr>
            <w:tcW w:w="1216" w:type="dxa"/>
          </w:tcPr>
          <w:p w:rsidR="00B60846" w:rsidRDefault="008069FF">
            <w:pPr>
              <w:rPr>
                <w:noProof/>
              </w:rPr>
            </w:pPr>
            <w:r>
              <w:rPr>
                <w:noProof/>
              </w:rPr>
              <w:t>NSI East Electricity</w:t>
            </w:r>
          </w:p>
        </w:tc>
        <w:tc>
          <w:tcPr>
            <w:tcW w:w="6433" w:type="dxa"/>
            <w:hideMark/>
          </w:tcPr>
          <w:p w:rsidR="00B60846" w:rsidRDefault="008069FF">
            <w:pPr>
              <w:rPr>
                <w:noProof/>
              </w:rPr>
            </w:pPr>
            <w:r>
              <w:rPr>
                <w:noProof/>
              </w:rPr>
              <w:t>3.1.3 Internal line between St. Peter and Ernsthofen (AT)</w:t>
            </w:r>
          </w:p>
        </w:tc>
      </w:tr>
      <w:tr w:rsidR="00B60846">
        <w:trPr>
          <w:trHeight w:val="290"/>
        </w:trPr>
        <w:tc>
          <w:tcPr>
            <w:tcW w:w="1531" w:type="dxa"/>
            <w:hideMark/>
          </w:tcPr>
          <w:p w:rsidR="00B60846" w:rsidRDefault="008069FF">
            <w:pPr>
              <w:rPr>
                <w:noProof/>
              </w:rPr>
            </w:pPr>
            <w:r>
              <w:rPr>
                <w:noProof/>
              </w:rPr>
              <w:t>3.11.5</w:t>
            </w:r>
          </w:p>
        </w:tc>
        <w:tc>
          <w:tcPr>
            <w:tcW w:w="1216" w:type="dxa"/>
          </w:tcPr>
          <w:p w:rsidR="00B60846" w:rsidRDefault="008069FF">
            <w:pPr>
              <w:rPr>
                <w:noProof/>
              </w:rPr>
            </w:pPr>
            <w:r>
              <w:rPr>
                <w:noProof/>
              </w:rPr>
              <w:t>NSI East Electricity</w:t>
            </w:r>
          </w:p>
        </w:tc>
        <w:tc>
          <w:tcPr>
            <w:tcW w:w="6433" w:type="dxa"/>
            <w:hideMark/>
          </w:tcPr>
          <w:p w:rsidR="00B60846" w:rsidRDefault="008069FF">
            <w:pPr>
              <w:rPr>
                <w:noProof/>
              </w:rPr>
            </w:pPr>
            <w:r>
              <w:rPr>
                <w:noProof/>
              </w:rPr>
              <w:t xml:space="preserve">3.11.5 Internal line between Mirovka </w:t>
            </w:r>
            <w:r>
              <w:rPr>
                <w:noProof/>
              </w:rPr>
              <w:t>and Cebin (CZ)</w:t>
            </w:r>
          </w:p>
        </w:tc>
      </w:tr>
      <w:tr w:rsidR="00B60846">
        <w:trPr>
          <w:trHeight w:val="290"/>
        </w:trPr>
        <w:tc>
          <w:tcPr>
            <w:tcW w:w="1531" w:type="dxa"/>
            <w:hideMark/>
          </w:tcPr>
          <w:p w:rsidR="00B60846" w:rsidRDefault="008069FF">
            <w:pPr>
              <w:rPr>
                <w:noProof/>
              </w:rPr>
            </w:pPr>
            <w:r>
              <w:rPr>
                <w:noProof/>
              </w:rPr>
              <w:t>3.13</w:t>
            </w:r>
          </w:p>
        </w:tc>
        <w:tc>
          <w:tcPr>
            <w:tcW w:w="1216" w:type="dxa"/>
          </w:tcPr>
          <w:p w:rsidR="00B60846" w:rsidRDefault="008069FF">
            <w:pPr>
              <w:rPr>
                <w:noProof/>
              </w:rPr>
            </w:pPr>
            <w:r>
              <w:rPr>
                <w:noProof/>
              </w:rPr>
              <w:t>NSI East Electricity</w:t>
            </w:r>
          </w:p>
        </w:tc>
        <w:tc>
          <w:tcPr>
            <w:tcW w:w="6433" w:type="dxa"/>
            <w:hideMark/>
          </w:tcPr>
          <w:p w:rsidR="00B60846" w:rsidRDefault="008069FF">
            <w:pPr>
              <w:rPr>
                <w:noProof/>
              </w:rPr>
            </w:pPr>
            <w:r>
              <w:rPr>
                <w:noProof/>
              </w:rPr>
              <w:t>Internal line in Germany between Halle/Saale and Schweinfurt to increase capacity in the North-South Corridor East</w:t>
            </w:r>
          </w:p>
        </w:tc>
      </w:tr>
      <w:tr w:rsidR="00B60846">
        <w:trPr>
          <w:trHeight w:val="290"/>
        </w:trPr>
        <w:tc>
          <w:tcPr>
            <w:tcW w:w="1531" w:type="dxa"/>
            <w:hideMark/>
          </w:tcPr>
          <w:p w:rsidR="00B60846" w:rsidRDefault="008069FF">
            <w:pPr>
              <w:rPr>
                <w:noProof/>
              </w:rPr>
            </w:pPr>
            <w:r>
              <w:rPr>
                <w:noProof/>
              </w:rPr>
              <w:t>3.15.1</w:t>
            </w:r>
          </w:p>
        </w:tc>
        <w:tc>
          <w:tcPr>
            <w:tcW w:w="1216" w:type="dxa"/>
          </w:tcPr>
          <w:p w:rsidR="00B60846" w:rsidRDefault="008069FF">
            <w:pPr>
              <w:rPr>
                <w:noProof/>
              </w:rPr>
            </w:pPr>
            <w:r>
              <w:rPr>
                <w:noProof/>
              </w:rPr>
              <w:t>NSI East Electricity</w:t>
            </w:r>
          </w:p>
        </w:tc>
        <w:tc>
          <w:tcPr>
            <w:tcW w:w="6433" w:type="dxa"/>
            <w:hideMark/>
          </w:tcPr>
          <w:p w:rsidR="00B60846" w:rsidRDefault="008069FF">
            <w:pPr>
              <w:rPr>
                <w:noProof/>
              </w:rPr>
            </w:pPr>
            <w:r>
              <w:rPr>
                <w:noProof/>
              </w:rPr>
              <w:t>3.15.1 Interconnection between Vierraden (DE) and Krajnik (PL)</w:t>
            </w:r>
          </w:p>
        </w:tc>
      </w:tr>
      <w:tr w:rsidR="00B60846">
        <w:trPr>
          <w:trHeight w:val="570"/>
        </w:trPr>
        <w:tc>
          <w:tcPr>
            <w:tcW w:w="1531" w:type="dxa"/>
            <w:hideMark/>
          </w:tcPr>
          <w:p w:rsidR="00B60846" w:rsidRDefault="008069FF">
            <w:pPr>
              <w:rPr>
                <w:noProof/>
              </w:rPr>
            </w:pPr>
            <w:r>
              <w:rPr>
                <w:noProof/>
              </w:rPr>
              <w:t>3.15.2</w:t>
            </w:r>
          </w:p>
        </w:tc>
        <w:tc>
          <w:tcPr>
            <w:tcW w:w="1216" w:type="dxa"/>
          </w:tcPr>
          <w:p w:rsidR="00B60846" w:rsidRDefault="008069FF">
            <w:pPr>
              <w:rPr>
                <w:noProof/>
              </w:rPr>
            </w:pPr>
            <w:r>
              <w:rPr>
                <w:noProof/>
              </w:rPr>
              <w:t>NSI East Electricity</w:t>
            </w:r>
          </w:p>
        </w:tc>
        <w:tc>
          <w:tcPr>
            <w:tcW w:w="6433" w:type="dxa"/>
            <w:hideMark/>
          </w:tcPr>
          <w:p w:rsidR="00B60846" w:rsidRDefault="008069FF">
            <w:pPr>
              <w:rPr>
                <w:noProof/>
              </w:rPr>
            </w:pPr>
            <w:r>
              <w:rPr>
                <w:noProof/>
              </w:rPr>
              <w:t>3.15.2 Installation of phase shifting transformers on the interconnection lines between Krajnik (PL) — Vierraden (DE) and coordinated operation with the PST on the interconnector Mikułowa (PL) — Hagenwerder (DE)</w:t>
            </w:r>
          </w:p>
        </w:tc>
      </w:tr>
      <w:tr w:rsidR="00B60846">
        <w:trPr>
          <w:trHeight w:val="290"/>
        </w:trPr>
        <w:tc>
          <w:tcPr>
            <w:tcW w:w="1531" w:type="dxa"/>
            <w:hideMark/>
          </w:tcPr>
          <w:p w:rsidR="00B60846" w:rsidRDefault="008069FF">
            <w:pPr>
              <w:rPr>
                <w:noProof/>
              </w:rPr>
            </w:pPr>
            <w:r>
              <w:rPr>
                <w:noProof/>
              </w:rPr>
              <w:t>3.19.1</w:t>
            </w:r>
          </w:p>
        </w:tc>
        <w:tc>
          <w:tcPr>
            <w:tcW w:w="1216" w:type="dxa"/>
          </w:tcPr>
          <w:p w:rsidR="00B60846" w:rsidRDefault="008069FF">
            <w:pPr>
              <w:rPr>
                <w:noProof/>
              </w:rPr>
            </w:pPr>
            <w:r>
              <w:rPr>
                <w:noProof/>
              </w:rPr>
              <w:t xml:space="preserve">NSI East </w:t>
            </w:r>
            <w:r>
              <w:rPr>
                <w:noProof/>
              </w:rPr>
              <w:t>Electricity</w:t>
            </w:r>
          </w:p>
        </w:tc>
        <w:tc>
          <w:tcPr>
            <w:tcW w:w="6433" w:type="dxa"/>
            <w:hideMark/>
          </w:tcPr>
          <w:p w:rsidR="00B60846" w:rsidRDefault="008069FF">
            <w:pPr>
              <w:rPr>
                <w:noProof/>
              </w:rPr>
            </w:pPr>
            <w:r>
              <w:rPr>
                <w:noProof/>
              </w:rPr>
              <w:t>3.19.1 Interconnection between Villanova (IT) and Lastva (ME)</w:t>
            </w:r>
          </w:p>
        </w:tc>
      </w:tr>
      <w:tr w:rsidR="00B60846">
        <w:trPr>
          <w:trHeight w:val="290"/>
        </w:trPr>
        <w:tc>
          <w:tcPr>
            <w:tcW w:w="1531" w:type="dxa"/>
            <w:hideMark/>
          </w:tcPr>
          <w:p w:rsidR="00B60846" w:rsidRDefault="008069FF">
            <w:pPr>
              <w:rPr>
                <w:noProof/>
              </w:rPr>
            </w:pPr>
            <w:r>
              <w:rPr>
                <w:noProof/>
              </w:rPr>
              <w:t>3.22.5</w:t>
            </w:r>
          </w:p>
        </w:tc>
        <w:tc>
          <w:tcPr>
            <w:tcW w:w="1216" w:type="dxa"/>
          </w:tcPr>
          <w:p w:rsidR="00B60846" w:rsidRDefault="008069FF">
            <w:pPr>
              <w:rPr>
                <w:noProof/>
              </w:rPr>
            </w:pPr>
            <w:r>
              <w:rPr>
                <w:noProof/>
              </w:rPr>
              <w:t>NSI East Electricity</w:t>
            </w:r>
          </w:p>
        </w:tc>
        <w:tc>
          <w:tcPr>
            <w:tcW w:w="6433" w:type="dxa"/>
            <w:hideMark/>
          </w:tcPr>
          <w:p w:rsidR="00B60846" w:rsidRDefault="008069FF">
            <w:pPr>
              <w:rPr>
                <w:noProof/>
              </w:rPr>
            </w:pPr>
            <w:r>
              <w:rPr>
                <w:noProof/>
              </w:rPr>
              <w:t>3.22.5 Interconnection between Villanova (IT) and Lastva (ME)</w:t>
            </w:r>
          </w:p>
        </w:tc>
      </w:tr>
      <w:tr w:rsidR="00B60846">
        <w:trPr>
          <w:trHeight w:val="570"/>
        </w:trPr>
        <w:tc>
          <w:tcPr>
            <w:tcW w:w="1531" w:type="dxa"/>
            <w:hideMark/>
          </w:tcPr>
          <w:p w:rsidR="00B60846" w:rsidRDefault="008069FF">
            <w:pPr>
              <w:rPr>
                <w:noProof/>
              </w:rPr>
            </w:pPr>
            <w:r>
              <w:rPr>
                <w:noProof/>
              </w:rPr>
              <w:t>4.1</w:t>
            </w:r>
          </w:p>
        </w:tc>
        <w:tc>
          <w:tcPr>
            <w:tcW w:w="1216" w:type="dxa"/>
          </w:tcPr>
          <w:p w:rsidR="00B60846" w:rsidRDefault="008069FF">
            <w:pPr>
              <w:rPr>
                <w:noProof/>
              </w:rPr>
            </w:pPr>
            <w:r>
              <w:rPr>
                <w:noProof/>
              </w:rPr>
              <w:t>BEMIP Electricity</w:t>
            </w:r>
          </w:p>
        </w:tc>
        <w:tc>
          <w:tcPr>
            <w:tcW w:w="6433" w:type="dxa"/>
            <w:hideMark/>
          </w:tcPr>
          <w:p w:rsidR="00B60846" w:rsidRDefault="008069FF">
            <w:pPr>
              <w:rPr>
                <w:noProof/>
              </w:rPr>
            </w:pPr>
            <w:r>
              <w:rPr>
                <w:noProof/>
              </w:rPr>
              <w:t>Denmark — Germany interconnection between Ishøj/ Bjæverskov (DK) and</w:t>
            </w:r>
            <w:r>
              <w:rPr>
                <w:noProof/>
              </w:rPr>
              <w:t xml:space="preserve"> Bentwisch (DE) via offshore windparks Kriegers Flak (DK) and Baltic 1 and 2 (DE) [currently known as "Kriegers Flak Combined Grid Solution"]</w:t>
            </w:r>
          </w:p>
        </w:tc>
      </w:tr>
      <w:tr w:rsidR="00B60846">
        <w:trPr>
          <w:trHeight w:val="290"/>
        </w:trPr>
        <w:tc>
          <w:tcPr>
            <w:tcW w:w="1531" w:type="dxa"/>
            <w:hideMark/>
          </w:tcPr>
          <w:p w:rsidR="00B60846" w:rsidRDefault="008069FF">
            <w:pPr>
              <w:rPr>
                <w:noProof/>
              </w:rPr>
            </w:pPr>
            <w:r>
              <w:rPr>
                <w:noProof/>
              </w:rPr>
              <w:t>4.4.1</w:t>
            </w:r>
          </w:p>
        </w:tc>
        <w:tc>
          <w:tcPr>
            <w:tcW w:w="1216" w:type="dxa"/>
          </w:tcPr>
          <w:p w:rsidR="00B60846" w:rsidRDefault="008069FF">
            <w:pPr>
              <w:rPr>
                <w:noProof/>
              </w:rPr>
            </w:pPr>
            <w:r>
              <w:rPr>
                <w:noProof/>
              </w:rPr>
              <w:t>BEMIP Electricity</w:t>
            </w:r>
          </w:p>
        </w:tc>
        <w:tc>
          <w:tcPr>
            <w:tcW w:w="6433" w:type="dxa"/>
            <w:hideMark/>
          </w:tcPr>
          <w:p w:rsidR="00B60846" w:rsidRDefault="008069FF">
            <w:pPr>
              <w:rPr>
                <w:noProof/>
              </w:rPr>
            </w:pPr>
            <w:r>
              <w:rPr>
                <w:noProof/>
              </w:rPr>
              <w:t>4.4.1 Internal line between Ventspils, Tume and Imanta (LV)</w:t>
            </w:r>
          </w:p>
        </w:tc>
      </w:tr>
      <w:tr w:rsidR="00B60846">
        <w:trPr>
          <w:trHeight w:val="290"/>
        </w:trPr>
        <w:tc>
          <w:tcPr>
            <w:tcW w:w="1531" w:type="dxa"/>
            <w:hideMark/>
          </w:tcPr>
          <w:p w:rsidR="00B60846" w:rsidRDefault="008069FF">
            <w:pPr>
              <w:rPr>
                <w:noProof/>
              </w:rPr>
            </w:pPr>
            <w:r>
              <w:rPr>
                <w:noProof/>
              </w:rPr>
              <w:t>4.5.1</w:t>
            </w:r>
          </w:p>
        </w:tc>
        <w:tc>
          <w:tcPr>
            <w:tcW w:w="1216" w:type="dxa"/>
          </w:tcPr>
          <w:p w:rsidR="00B60846" w:rsidRDefault="008069FF">
            <w:pPr>
              <w:rPr>
                <w:noProof/>
              </w:rPr>
            </w:pPr>
            <w:r>
              <w:rPr>
                <w:noProof/>
              </w:rPr>
              <w:t>BEMIP Electricity</w:t>
            </w:r>
          </w:p>
        </w:tc>
        <w:tc>
          <w:tcPr>
            <w:tcW w:w="6433" w:type="dxa"/>
            <w:hideMark/>
          </w:tcPr>
          <w:p w:rsidR="00B60846" w:rsidRDefault="008069FF">
            <w:pPr>
              <w:rPr>
                <w:noProof/>
              </w:rPr>
            </w:pPr>
            <w:r>
              <w:rPr>
                <w:noProof/>
              </w:rPr>
              <w:t>4.5.1 LT part of interconnection between Alytus (LT) and LT/PL border</w:t>
            </w:r>
          </w:p>
        </w:tc>
      </w:tr>
      <w:tr w:rsidR="00B60846">
        <w:trPr>
          <w:trHeight w:val="290"/>
        </w:trPr>
        <w:tc>
          <w:tcPr>
            <w:tcW w:w="1531" w:type="dxa"/>
            <w:hideMark/>
          </w:tcPr>
          <w:p w:rsidR="00B60846" w:rsidRDefault="008069FF">
            <w:pPr>
              <w:rPr>
                <w:noProof/>
              </w:rPr>
            </w:pPr>
            <w:r>
              <w:rPr>
                <w:noProof/>
              </w:rPr>
              <w:t>4.5.5</w:t>
            </w:r>
          </w:p>
        </w:tc>
        <w:tc>
          <w:tcPr>
            <w:tcW w:w="1216" w:type="dxa"/>
          </w:tcPr>
          <w:p w:rsidR="00B60846" w:rsidRDefault="008069FF">
            <w:pPr>
              <w:rPr>
                <w:noProof/>
              </w:rPr>
            </w:pPr>
            <w:r>
              <w:rPr>
                <w:noProof/>
              </w:rPr>
              <w:t>BEMIP Electricity</w:t>
            </w:r>
          </w:p>
        </w:tc>
        <w:tc>
          <w:tcPr>
            <w:tcW w:w="6433" w:type="dxa"/>
            <w:hideMark/>
          </w:tcPr>
          <w:p w:rsidR="00B60846" w:rsidRDefault="008069FF">
            <w:pPr>
              <w:rPr>
                <w:noProof/>
              </w:rPr>
            </w:pPr>
            <w:r>
              <w:rPr>
                <w:noProof/>
              </w:rPr>
              <w:t>4.5.5 Internal line between Kruonis and Alytus (LT)</w:t>
            </w:r>
          </w:p>
        </w:tc>
      </w:tr>
      <w:tr w:rsidR="00B60846">
        <w:trPr>
          <w:trHeight w:val="570"/>
        </w:trPr>
        <w:tc>
          <w:tcPr>
            <w:tcW w:w="1531" w:type="dxa"/>
            <w:hideMark/>
          </w:tcPr>
          <w:p w:rsidR="00B60846" w:rsidRDefault="008069FF">
            <w:pPr>
              <w:rPr>
                <w:noProof/>
              </w:rPr>
            </w:pPr>
            <w:r>
              <w:rPr>
                <w:noProof/>
              </w:rPr>
              <w:t>5.2</w:t>
            </w:r>
          </w:p>
        </w:tc>
        <w:tc>
          <w:tcPr>
            <w:tcW w:w="1216" w:type="dxa"/>
          </w:tcPr>
          <w:p w:rsidR="00B60846" w:rsidRDefault="008069FF">
            <w:pPr>
              <w:rPr>
                <w:noProof/>
              </w:rPr>
            </w:pPr>
            <w:r>
              <w:rPr>
                <w:noProof/>
              </w:rPr>
              <w:t>NSI West Gas</w:t>
            </w:r>
          </w:p>
        </w:tc>
        <w:tc>
          <w:tcPr>
            <w:tcW w:w="6433" w:type="dxa"/>
            <w:hideMark/>
          </w:tcPr>
          <w:p w:rsidR="00B60846" w:rsidRDefault="008069FF">
            <w:pPr>
              <w:rPr>
                <w:noProof/>
              </w:rPr>
            </w:pPr>
            <w:r>
              <w:rPr>
                <w:noProof/>
              </w:rPr>
              <w:t>PCI Twinning of Southwest Scotland onshore system between Cluden and Brighouse Bay.</w:t>
            </w:r>
            <w:r>
              <w:rPr>
                <w:noProof/>
              </w:rPr>
              <w:br/>
              <w:t>(United</w:t>
            </w:r>
            <w:r>
              <w:rPr>
                <w:noProof/>
              </w:rPr>
              <w:t xml:space="preserve"> Kingdom)</w:t>
            </w:r>
          </w:p>
        </w:tc>
      </w:tr>
      <w:tr w:rsidR="00B60846">
        <w:trPr>
          <w:trHeight w:val="290"/>
        </w:trPr>
        <w:tc>
          <w:tcPr>
            <w:tcW w:w="1531" w:type="dxa"/>
            <w:hideMark/>
          </w:tcPr>
          <w:p w:rsidR="00B60846" w:rsidRDefault="008069FF">
            <w:pPr>
              <w:rPr>
                <w:noProof/>
              </w:rPr>
            </w:pPr>
            <w:r>
              <w:rPr>
                <w:noProof/>
              </w:rPr>
              <w:t>5.7.1</w:t>
            </w:r>
          </w:p>
        </w:tc>
        <w:tc>
          <w:tcPr>
            <w:tcW w:w="1216" w:type="dxa"/>
          </w:tcPr>
          <w:p w:rsidR="00B60846" w:rsidRDefault="008069FF">
            <w:pPr>
              <w:rPr>
                <w:noProof/>
              </w:rPr>
            </w:pPr>
            <w:r>
              <w:rPr>
                <w:noProof/>
              </w:rPr>
              <w:t>NSI West Gas</w:t>
            </w:r>
          </w:p>
        </w:tc>
        <w:tc>
          <w:tcPr>
            <w:tcW w:w="6433" w:type="dxa"/>
            <w:hideMark/>
          </w:tcPr>
          <w:p w:rsidR="00B60846" w:rsidRDefault="008069FF">
            <w:pPr>
              <w:rPr>
                <w:noProof/>
              </w:rPr>
            </w:pPr>
            <w:r>
              <w:rPr>
                <w:noProof/>
              </w:rPr>
              <w:t>5.7.1 Val de Saône pipeline between Etrez and Voisines (FR)</w:t>
            </w:r>
          </w:p>
        </w:tc>
      </w:tr>
      <w:tr w:rsidR="00B60846">
        <w:trPr>
          <w:trHeight w:val="290"/>
        </w:trPr>
        <w:tc>
          <w:tcPr>
            <w:tcW w:w="1531" w:type="dxa"/>
            <w:hideMark/>
          </w:tcPr>
          <w:p w:rsidR="00B60846" w:rsidRDefault="008069FF">
            <w:pPr>
              <w:rPr>
                <w:noProof/>
              </w:rPr>
            </w:pPr>
            <w:r>
              <w:rPr>
                <w:noProof/>
              </w:rPr>
              <w:t>5.7.2</w:t>
            </w:r>
          </w:p>
        </w:tc>
        <w:tc>
          <w:tcPr>
            <w:tcW w:w="1216" w:type="dxa"/>
          </w:tcPr>
          <w:p w:rsidR="00B60846" w:rsidRDefault="008069FF">
            <w:pPr>
              <w:rPr>
                <w:noProof/>
              </w:rPr>
            </w:pPr>
            <w:r>
              <w:rPr>
                <w:noProof/>
              </w:rPr>
              <w:t>NSI West Gas</w:t>
            </w:r>
          </w:p>
        </w:tc>
        <w:tc>
          <w:tcPr>
            <w:tcW w:w="6433" w:type="dxa"/>
            <w:hideMark/>
          </w:tcPr>
          <w:p w:rsidR="00B60846" w:rsidRDefault="008069FF">
            <w:pPr>
              <w:rPr>
                <w:noProof/>
              </w:rPr>
            </w:pPr>
            <w:r>
              <w:rPr>
                <w:noProof/>
              </w:rPr>
              <w:t>5.7.2 Gascogne-Midi pipeline (FR)</w:t>
            </w:r>
          </w:p>
        </w:tc>
      </w:tr>
      <w:tr w:rsidR="00B60846">
        <w:trPr>
          <w:trHeight w:val="290"/>
        </w:trPr>
        <w:tc>
          <w:tcPr>
            <w:tcW w:w="1531" w:type="dxa"/>
            <w:hideMark/>
          </w:tcPr>
          <w:p w:rsidR="00B60846" w:rsidRDefault="008069FF">
            <w:pPr>
              <w:rPr>
                <w:noProof/>
              </w:rPr>
            </w:pPr>
            <w:r>
              <w:rPr>
                <w:noProof/>
              </w:rPr>
              <w:t>5.11</w:t>
            </w:r>
          </w:p>
        </w:tc>
        <w:tc>
          <w:tcPr>
            <w:tcW w:w="1216" w:type="dxa"/>
          </w:tcPr>
          <w:p w:rsidR="00B60846" w:rsidRDefault="008069FF">
            <w:pPr>
              <w:rPr>
                <w:noProof/>
              </w:rPr>
            </w:pPr>
            <w:r>
              <w:rPr>
                <w:noProof/>
              </w:rPr>
              <w:t>NSI West Gas</w:t>
            </w:r>
          </w:p>
        </w:tc>
        <w:tc>
          <w:tcPr>
            <w:tcW w:w="6433" w:type="dxa"/>
            <w:hideMark/>
          </w:tcPr>
          <w:p w:rsidR="00B60846" w:rsidRDefault="008069FF">
            <w:pPr>
              <w:rPr>
                <w:noProof/>
              </w:rPr>
            </w:pPr>
            <w:r>
              <w:rPr>
                <w:noProof/>
              </w:rPr>
              <w:t xml:space="preserve">Reverse flow interconnection between Italy and Switzerland at Passo Gries interconnection </w:t>
            </w:r>
            <w:r>
              <w:rPr>
                <w:noProof/>
              </w:rPr>
              <w:t>point</w:t>
            </w:r>
          </w:p>
        </w:tc>
      </w:tr>
      <w:tr w:rsidR="00B60846">
        <w:trPr>
          <w:trHeight w:val="290"/>
        </w:trPr>
        <w:tc>
          <w:tcPr>
            <w:tcW w:w="1531" w:type="dxa"/>
            <w:hideMark/>
          </w:tcPr>
          <w:p w:rsidR="00B60846" w:rsidRDefault="008069FF">
            <w:pPr>
              <w:rPr>
                <w:noProof/>
              </w:rPr>
            </w:pPr>
            <w:r>
              <w:rPr>
                <w:noProof/>
              </w:rPr>
              <w:t>5.13</w:t>
            </w:r>
          </w:p>
        </w:tc>
        <w:tc>
          <w:tcPr>
            <w:tcW w:w="1216" w:type="dxa"/>
          </w:tcPr>
          <w:p w:rsidR="00B60846" w:rsidRDefault="008069FF">
            <w:pPr>
              <w:rPr>
                <w:noProof/>
              </w:rPr>
            </w:pPr>
            <w:r>
              <w:rPr>
                <w:noProof/>
              </w:rPr>
              <w:t>NSI West Gas</w:t>
            </w:r>
          </w:p>
        </w:tc>
        <w:tc>
          <w:tcPr>
            <w:tcW w:w="6433" w:type="dxa"/>
            <w:hideMark/>
          </w:tcPr>
          <w:p w:rsidR="00B60846" w:rsidRDefault="008069FF">
            <w:pPr>
              <w:rPr>
                <w:noProof/>
              </w:rPr>
            </w:pPr>
            <w:r>
              <w:rPr>
                <w:noProof/>
              </w:rPr>
              <w:t>PCI New interconnection between Pitgam (France) and Maldegem (Belgium)</w:t>
            </w:r>
          </w:p>
        </w:tc>
      </w:tr>
      <w:tr w:rsidR="00B60846">
        <w:trPr>
          <w:trHeight w:val="570"/>
        </w:trPr>
        <w:tc>
          <w:tcPr>
            <w:tcW w:w="1531" w:type="dxa"/>
            <w:hideMark/>
          </w:tcPr>
          <w:p w:rsidR="00B60846" w:rsidRDefault="008069FF">
            <w:pPr>
              <w:rPr>
                <w:noProof/>
              </w:rPr>
            </w:pPr>
            <w:r>
              <w:rPr>
                <w:noProof/>
              </w:rPr>
              <w:t>5.14</w:t>
            </w:r>
          </w:p>
        </w:tc>
        <w:tc>
          <w:tcPr>
            <w:tcW w:w="1216" w:type="dxa"/>
          </w:tcPr>
          <w:p w:rsidR="00B60846" w:rsidRDefault="008069FF">
            <w:pPr>
              <w:rPr>
                <w:noProof/>
              </w:rPr>
            </w:pPr>
            <w:r>
              <w:rPr>
                <w:noProof/>
              </w:rPr>
              <w:t>NSI West Gas</w:t>
            </w:r>
          </w:p>
        </w:tc>
        <w:tc>
          <w:tcPr>
            <w:tcW w:w="6433" w:type="dxa"/>
            <w:hideMark/>
          </w:tcPr>
          <w:p w:rsidR="00B60846" w:rsidRDefault="008069FF">
            <w:pPr>
              <w:rPr>
                <w:noProof/>
              </w:rPr>
            </w:pPr>
            <w:r>
              <w:rPr>
                <w:noProof/>
              </w:rPr>
              <w:t>PCI Reinforcement of the French network from South to North on the Arc de Dierrey pipeline</w:t>
            </w:r>
            <w:r>
              <w:rPr>
                <w:noProof/>
              </w:rPr>
              <w:br/>
              <w:t>between Cuvilly, Dierrey and Voisines (France)</w:t>
            </w:r>
          </w:p>
        </w:tc>
      </w:tr>
      <w:tr w:rsidR="00B60846">
        <w:trPr>
          <w:trHeight w:val="290"/>
        </w:trPr>
        <w:tc>
          <w:tcPr>
            <w:tcW w:w="1531" w:type="dxa"/>
            <w:hideMark/>
          </w:tcPr>
          <w:p w:rsidR="00B60846" w:rsidRDefault="008069FF">
            <w:pPr>
              <w:rPr>
                <w:noProof/>
              </w:rPr>
            </w:pPr>
            <w:r>
              <w:rPr>
                <w:noProof/>
              </w:rPr>
              <w:t>5.</w:t>
            </w:r>
            <w:r>
              <w:rPr>
                <w:noProof/>
              </w:rPr>
              <w:t>16</w:t>
            </w:r>
          </w:p>
        </w:tc>
        <w:tc>
          <w:tcPr>
            <w:tcW w:w="1216" w:type="dxa"/>
          </w:tcPr>
          <w:p w:rsidR="00B60846" w:rsidRDefault="008069FF">
            <w:pPr>
              <w:rPr>
                <w:noProof/>
              </w:rPr>
            </w:pPr>
            <w:r>
              <w:rPr>
                <w:noProof/>
              </w:rPr>
              <w:t>NSI West Gas</w:t>
            </w:r>
          </w:p>
        </w:tc>
        <w:tc>
          <w:tcPr>
            <w:tcW w:w="6433" w:type="dxa"/>
            <w:hideMark/>
          </w:tcPr>
          <w:p w:rsidR="00B60846" w:rsidRDefault="008069FF">
            <w:pPr>
              <w:rPr>
                <w:noProof/>
              </w:rPr>
            </w:pPr>
            <w:r>
              <w:rPr>
                <w:noProof/>
              </w:rPr>
              <w:t>PCI Extension of the Zeebrugge LNG terminal.</w:t>
            </w:r>
          </w:p>
        </w:tc>
      </w:tr>
      <w:tr w:rsidR="00B60846">
        <w:trPr>
          <w:trHeight w:val="570"/>
        </w:trPr>
        <w:tc>
          <w:tcPr>
            <w:tcW w:w="1531" w:type="dxa"/>
            <w:hideMark/>
          </w:tcPr>
          <w:p w:rsidR="00B60846" w:rsidRDefault="008069FF">
            <w:pPr>
              <w:rPr>
                <w:noProof/>
              </w:rPr>
            </w:pPr>
            <w:r>
              <w:rPr>
                <w:noProof/>
              </w:rPr>
              <w:t>6.3</w:t>
            </w:r>
          </w:p>
        </w:tc>
        <w:tc>
          <w:tcPr>
            <w:tcW w:w="1216" w:type="dxa"/>
          </w:tcPr>
          <w:p w:rsidR="00B60846" w:rsidRDefault="008069FF">
            <w:pPr>
              <w:rPr>
                <w:noProof/>
              </w:rPr>
            </w:pPr>
            <w:r>
              <w:rPr>
                <w:noProof/>
              </w:rPr>
              <w:t>NSI East Gas</w:t>
            </w:r>
          </w:p>
        </w:tc>
        <w:tc>
          <w:tcPr>
            <w:tcW w:w="6433" w:type="dxa"/>
            <w:hideMark/>
          </w:tcPr>
          <w:p w:rsidR="00B60846" w:rsidRDefault="008069FF">
            <w:pPr>
              <w:rPr>
                <w:noProof/>
              </w:rPr>
            </w:pPr>
            <w:r>
              <w:rPr>
                <w:noProof/>
              </w:rPr>
              <w:t>PCI Slovakia – Hungary Gas Interconnection between Vel’ké Zlievce (SK) – Balassagyarmat</w:t>
            </w:r>
            <w:r>
              <w:rPr>
                <w:noProof/>
              </w:rPr>
              <w:br/>
              <w:t>border (SK/HU ) - Vecsés (HU)</w:t>
            </w:r>
          </w:p>
        </w:tc>
      </w:tr>
      <w:tr w:rsidR="00B60846">
        <w:trPr>
          <w:trHeight w:val="290"/>
        </w:trPr>
        <w:tc>
          <w:tcPr>
            <w:tcW w:w="1531" w:type="dxa"/>
            <w:hideMark/>
          </w:tcPr>
          <w:p w:rsidR="00B60846" w:rsidRDefault="008069FF">
            <w:pPr>
              <w:rPr>
                <w:noProof/>
              </w:rPr>
            </w:pPr>
            <w:r>
              <w:rPr>
                <w:noProof/>
              </w:rPr>
              <w:t>6.5.5</w:t>
            </w:r>
          </w:p>
        </w:tc>
        <w:tc>
          <w:tcPr>
            <w:tcW w:w="1216" w:type="dxa"/>
          </w:tcPr>
          <w:p w:rsidR="00B60846" w:rsidRDefault="008069FF">
            <w:pPr>
              <w:rPr>
                <w:noProof/>
              </w:rPr>
            </w:pPr>
            <w:r>
              <w:rPr>
                <w:noProof/>
              </w:rPr>
              <w:t>NSI East Gas</w:t>
            </w:r>
          </w:p>
        </w:tc>
        <w:tc>
          <w:tcPr>
            <w:tcW w:w="6433" w:type="dxa"/>
            <w:hideMark/>
          </w:tcPr>
          <w:p w:rsidR="00B60846" w:rsidRDefault="008069FF">
            <w:pPr>
              <w:rPr>
                <w:noProof/>
              </w:rPr>
            </w:pPr>
            <w:r>
              <w:rPr>
                <w:noProof/>
              </w:rPr>
              <w:t xml:space="preserve">6.5.5 "Compressor station 1" at the </w:t>
            </w:r>
            <w:r>
              <w:rPr>
                <w:noProof/>
              </w:rPr>
              <w:t>Croatian gas transmission system</w:t>
            </w:r>
          </w:p>
        </w:tc>
      </w:tr>
      <w:tr w:rsidR="00B60846">
        <w:trPr>
          <w:trHeight w:val="290"/>
        </w:trPr>
        <w:tc>
          <w:tcPr>
            <w:tcW w:w="1531" w:type="dxa"/>
            <w:hideMark/>
          </w:tcPr>
          <w:p w:rsidR="00B60846" w:rsidRDefault="008069FF">
            <w:pPr>
              <w:rPr>
                <w:noProof/>
              </w:rPr>
            </w:pPr>
            <w:r>
              <w:rPr>
                <w:noProof/>
              </w:rPr>
              <w:t>8.1.1</w:t>
            </w:r>
          </w:p>
        </w:tc>
        <w:tc>
          <w:tcPr>
            <w:tcW w:w="1216" w:type="dxa"/>
          </w:tcPr>
          <w:p w:rsidR="00B60846" w:rsidRDefault="008069FF">
            <w:pPr>
              <w:rPr>
                <w:noProof/>
              </w:rPr>
            </w:pPr>
            <w:r>
              <w:rPr>
                <w:noProof/>
              </w:rPr>
              <w:t>BEMIP Gas</w:t>
            </w:r>
          </w:p>
        </w:tc>
        <w:tc>
          <w:tcPr>
            <w:tcW w:w="6433" w:type="dxa"/>
            <w:hideMark/>
          </w:tcPr>
          <w:p w:rsidR="00B60846" w:rsidRDefault="008069FF">
            <w:pPr>
              <w:rPr>
                <w:noProof/>
              </w:rPr>
            </w:pPr>
            <w:r>
              <w:rPr>
                <w:noProof/>
              </w:rPr>
              <w:t>8.1.1 Interconnector between Estonia and Finland "Balticconnector",</w:t>
            </w:r>
          </w:p>
        </w:tc>
      </w:tr>
      <w:tr w:rsidR="00B60846">
        <w:trPr>
          <w:trHeight w:val="290"/>
        </w:trPr>
        <w:tc>
          <w:tcPr>
            <w:tcW w:w="1531" w:type="dxa"/>
            <w:hideMark/>
          </w:tcPr>
          <w:p w:rsidR="00B60846" w:rsidRDefault="008069FF">
            <w:pPr>
              <w:rPr>
                <w:noProof/>
              </w:rPr>
            </w:pPr>
            <w:r>
              <w:rPr>
                <w:noProof/>
              </w:rPr>
              <w:t>8.2.3</w:t>
            </w:r>
          </w:p>
        </w:tc>
        <w:tc>
          <w:tcPr>
            <w:tcW w:w="1216" w:type="dxa"/>
          </w:tcPr>
          <w:p w:rsidR="00B60846" w:rsidRDefault="008069FF">
            <w:pPr>
              <w:rPr>
                <w:noProof/>
              </w:rPr>
            </w:pPr>
            <w:r>
              <w:rPr>
                <w:noProof/>
              </w:rPr>
              <w:t>BEMIP Gas</w:t>
            </w:r>
          </w:p>
        </w:tc>
        <w:tc>
          <w:tcPr>
            <w:tcW w:w="6433" w:type="dxa"/>
            <w:hideMark/>
          </w:tcPr>
          <w:p w:rsidR="00B60846" w:rsidRDefault="008069FF">
            <w:pPr>
              <w:rPr>
                <w:noProof/>
              </w:rPr>
            </w:pPr>
            <w:r>
              <w:rPr>
                <w:noProof/>
              </w:rPr>
              <w:t>8.2.3 Capacity enhancement of Klaipeda-Kiemenai pipeline in Lithuania</w:t>
            </w:r>
          </w:p>
        </w:tc>
      </w:tr>
    </w:tbl>
    <w:p w:rsidR="00B60846" w:rsidRDefault="00B60846">
      <w:pPr>
        <w:tabs>
          <w:tab w:val="clear" w:pos="2302"/>
        </w:tabs>
        <w:spacing w:after="200" w:line="276" w:lineRule="auto"/>
        <w:jc w:val="left"/>
        <w:rPr>
          <w:b/>
          <w:smallCaps/>
          <w:noProof/>
        </w:rPr>
      </w:pPr>
    </w:p>
    <w:p w:rsidR="00B60846" w:rsidRDefault="008069FF">
      <w:pPr>
        <w:jc w:val="left"/>
        <w:rPr>
          <w:noProof/>
        </w:rPr>
      </w:pPr>
      <w:r>
        <w:rPr>
          <w:noProof/>
        </w:rPr>
        <w:t xml:space="preserve">Additional information on on-going PCIs and their status of implementation can be found on the </w:t>
      </w:r>
      <w:r>
        <w:rPr>
          <w:b/>
          <w:noProof/>
        </w:rPr>
        <w:t>PCI Transparency Platform</w:t>
      </w:r>
      <w:r>
        <w:rPr>
          <w:noProof/>
        </w:rPr>
        <w:t xml:space="preserve">: </w:t>
      </w:r>
      <w:hyperlink r:id="rId44" w:history="1">
        <w:r>
          <w:rPr>
            <w:rStyle w:val="Hyperlink"/>
            <w:noProof/>
          </w:rPr>
          <w:t>https://ec.europa.eu/energy/infr</w:t>
        </w:r>
        <w:r>
          <w:rPr>
            <w:rStyle w:val="Hyperlink"/>
            <w:noProof/>
          </w:rPr>
          <w:t>astructure/transparency_platform/map-viewer/main.html</w:t>
        </w:r>
      </w:hyperlink>
      <w:r>
        <w:rPr>
          <w:noProof/>
        </w:rPr>
        <w:t>.</w:t>
      </w:r>
    </w:p>
    <w:p w:rsidR="00B60846" w:rsidRDefault="008069FF">
      <w:pPr>
        <w:jc w:val="left"/>
        <w:rPr>
          <w:noProof/>
        </w:rPr>
      </w:pPr>
      <w:r>
        <w:rPr>
          <w:noProof/>
        </w:rPr>
        <w:t>More details concerning PCIs included on the current 4</w:t>
      </w:r>
      <w:r>
        <w:rPr>
          <w:noProof/>
          <w:vertAlign w:val="superscript"/>
        </w:rPr>
        <w:t>th</w:t>
      </w:r>
      <w:r>
        <w:rPr>
          <w:noProof/>
        </w:rPr>
        <w:t xml:space="preserve"> PCI list can be found in the technical document published alongside the 4</w:t>
      </w:r>
      <w:r>
        <w:rPr>
          <w:noProof/>
          <w:vertAlign w:val="superscript"/>
        </w:rPr>
        <w:t>th</w:t>
      </w:r>
      <w:r>
        <w:rPr>
          <w:noProof/>
        </w:rPr>
        <w:t xml:space="preserve"> PCI list: </w:t>
      </w:r>
      <w:hyperlink r:id="rId45" w:history="1">
        <w:r>
          <w:rPr>
            <w:rStyle w:val="Hyperlink"/>
            <w:noProof/>
          </w:rPr>
          <w:t>https://ec.europa.eu/energy/sites/ener/files/technical_document_4th_pci_list.pdf</w:t>
        </w:r>
      </w:hyperlink>
      <w:r>
        <w:rPr>
          <w:noProof/>
        </w:rPr>
        <w:t xml:space="preserve">. </w:t>
      </w:r>
    </w:p>
    <w:p w:rsidR="00B60846" w:rsidRDefault="008069FF">
      <w:pPr>
        <w:rPr>
          <w:noProof/>
          <w:u w:val="single"/>
        </w:rPr>
      </w:pPr>
      <w:r>
        <w:rPr>
          <w:noProof/>
          <w:u w:val="single"/>
        </w:rPr>
        <w:t>Projects of common interest and CEF financial assistance</w:t>
      </w:r>
    </w:p>
    <w:p w:rsidR="00B60846" w:rsidRDefault="008069FF">
      <w:pPr>
        <w:rPr>
          <w:noProof/>
          <w:szCs w:val="24"/>
        </w:rPr>
      </w:pPr>
      <w:r>
        <w:rPr>
          <w:noProof/>
        </w:rPr>
        <w:t xml:space="preserve">The status of project of common interest is awarded to projects that provide </w:t>
      </w:r>
      <w:r>
        <w:rPr>
          <w:noProof/>
        </w:rPr>
        <w:t>highest European added value and that contribute the most to the implementation of the strategic energy infrastructure priority corridors and areas. The majority of the PCIs are expected to be commercially viable and financed through network tariffs. CEF s</w:t>
      </w:r>
      <w:r>
        <w:rPr>
          <w:noProof/>
        </w:rPr>
        <w:t>upport is exceptional because most CEF funding for works is considered as ‘last resort option’ for the financing of PCIs. A three-step logic applies to investments in PCIs. First, the market should have the priority to invest. Second, if investments are no</w:t>
      </w:r>
      <w:r>
        <w:rPr>
          <w:noProof/>
        </w:rPr>
        <w:t>t made by the market, regulatory solutions should be explored, if necessary the relevant regulatory framework should be adjusted, and the correct application of the relevant regulatory framework should be ensured. Third, where the first two steps are not s</w:t>
      </w:r>
      <w:r>
        <w:rPr>
          <w:noProof/>
        </w:rPr>
        <w:t>ufficient to deliver the necessary investments in projects of common interest, Union financial assistance could be granted if the project of common interest fulfils the applicable eligibility criteria</w:t>
      </w:r>
    </w:p>
    <w:p w:rsidR="00B60846" w:rsidRDefault="008069FF">
      <w:pPr>
        <w:rPr>
          <w:noProof/>
          <w:szCs w:val="24"/>
        </w:rPr>
      </w:pPr>
      <w:r>
        <w:rPr>
          <w:noProof/>
        </w:rPr>
        <w:t xml:space="preserve">CEF support may be awarded to those PCIs which are not </w:t>
      </w:r>
      <w:r>
        <w:rPr>
          <w:noProof/>
        </w:rPr>
        <w:t>viable under the existing regulatory framework and market conditions and provide significant externalities (such as security of supply, innovation and solidarity). CEF promotes cooperation between countries to develop and implement energy interconnection P</w:t>
      </w:r>
      <w:r>
        <w:rPr>
          <w:noProof/>
        </w:rPr>
        <w:t>CIs that otherwise would not happen. This is especially the case for cross-border projects located in countries with smaller population sizes or in a more remote location, where energy tariffs would need to be increased substantially to cover the investmen</w:t>
      </w:r>
      <w:r>
        <w:rPr>
          <w:noProof/>
        </w:rPr>
        <w:t>t needs.</w:t>
      </w:r>
    </w:p>
    <w:p w:rsidR="00B60846" w:rsidRDefault="008069FF">
      <w:pPr>
        <w:rPr>
          <w:noProof/>
          <w:szCs w:val="24"/>
        </w:rPr>
      </w:pPr>
      <w:r>
        <w:rPr>
          <w:noProof/>
        </w:rPr>
        <w:t xml:space="preserve">The selection process for CEF funding is independent from the selection process for PCI status. PCI status is a pre-condition for applying for CEF (with exception of the new window for cross-border renewable projects) and some elements of the PCI </w:t>
      </w:r>
      <w:r>
        <w:rPr>
          <w:noProof/>
        </w:rPr>
        <w:t>selection process such as the project specific CBA and the cross-border cost allocation decision are part of the CEF evaluation process. However, the selection process for CEF is based on an evaluation with external experts against award criteria as set ou</w:t>
      </w:r>
      <w:r>
        <w:rPr>
          <w:noProof/>
        </w:rPr>
        <w:t>t in the relevant work programme and call for proposals. CEF was subject to separate evaluation and impact assessment in preparation of CEF proposals for the MFF2021-2027.</w:t>
      </w:r>
    </w:p>
    <w:p w:rsidR="00B60846" w:rsidRDefault="008069FF">
      <w:pPr>
        <w:rPr>
          <w:noProof/>
          <w:szCs w:val="24"/>
        </w:rPr>
      </w:pPr>
      <w:r>
        <w:rPr>
          <w:noProof/>
        </w:rPr>
        <w:t>Since 2014, CEF has provided financing to 149 actions of which 114 (EUR 519 million)</w:t>
      </w:r>
      <w:r>
        <w:rPr>
          <w:noProof/>
        </w:rPr>
        <w:t xml:space="preserve"> for studies and 35 (EUR 4.2 billion) for works. Of total budget of EUR 4.7 billion, EUR 1.5 billion were allocated to gas projects and EUR 2.8 billion to electricity projects. So far, around one fifth of all PCIs have received CEF financial assistance for</w:t>
      </w:r>
      <w:r>
        <w:rPr>
          <w:noProof/>
        </w:rPr>
        <w:t xml:space="preserve"> studies and/or works.  This is illustrated in the below figures.</w:t>
      </w:r>
    </w:p>
    <w:p w:rsidR="00B60846" w:rsidRDefault="008069FF">
      <w:pPr>
        <w:tabs>
          <w:tab w:val="clear" w:pos="2302"/>
        </w:tabs>
        <w:spacing w:after="200" w:line="276" w:lineRule="auto"/>
        <w:jc w:val="left"/>
        <w:rPr>
          <w:b/>
          <w:noProof/>
        </w:rPr>
      </w:pPr>
      <w:r>
        <w:rPr>
          <w:b/>
          <w:noProof/>
        </w:rPr>
        <w:br w:type="page"/>
      </w:r>
    </w:p>
    <w:p w:rsidR="00B60846" w:rsidRDefault="008069FF">
      <w:pPr>
        <w:rPr>
          <w:b/>
          <w:noProof/>
        </w:rPr>
      </w:pPr>
      <w:r>
        <w:rPr>
          <w:b/>
          <w:noProof/>
        </w:rPr>
        <w:t>Figures 1 and 2: CEF financial assistance per sector (201-2020)</w:t>
      </w:r>
    </w:p>
    <w:p w:rsidR="00B60846" w:rsidRDefault="00B60846">
      <w:pPr>
        <w:pStyle w:val="BodyText"/>
        <w:spacing w:line="276" w:lineRule="auto"/>
        <w:ind w:right="106"/>
        <w:jc w:val="both"/>
        <w:rPr>
          <w:noProof/>
        </w:rPr>
      </w:pPr>
    </w:p>
    <w:p w:rsidR="00B60846" w:rsidRDefault="008069FF">
      <w:pPr>
        <w:pStyle w:val="BodyText"/>
        <w:spacing w:line="276" w:lineRule="auto"/>
        <w:ind w:right="106"/>
        <w:jc w:val="center"/>
        <w:rPr>
          <w:noProof/>
        </w:rPr>
      </w:pPr>
      <w:r>
        <w:rPr>
          <w:noProof/>
          <w:lang w:bidi="ar-SA"/>
        </w:rPr>
        <w:drawing>
          <wp:inline distT="0" distB="0" distL="0" distR="0">
            <wp:extent cx="5676265" cy="284607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265" cy="2846070"/>
                    </a:xfrm>
                    <a:prstGeom prst="rect">
                      <a:avLst/>
                    </a:prstGeom>
                    <a:noFill/>
                    <a:ln>
                      <a:noFill/>
                    </a:ln>
                  </pic:spPr>
                </pic:pic>
              </a:graphicData>
            </a:graphic>
          </wp:inline>
        </w:drawing>
      </w:r>
    </w:p>
    <w:p w:rsidR="00B60846" w:rsidRDefault="008069FF">
      <w:pPr>
        <w:pStyle w:val="BodyText"/>
        <w:spacing w:line="276" w:lineRule="auto"/>
        <w:ind w:right="106"/>
        <w:jc w:val="center"/>
        <w:rPr>
          <w:noProof/>
        </w:rPr>
      </w:pPr>
      <w:r>
        <w:rPr>
          <w:noProof/>
          <w:lang w:bidi="ar-SA"/>
        </w:rPr>
        <w:drawing>
          <wp:inline distT="0" distB="0" distL="0" distR="0">
            <wp:extent cx="6337300" cy="364363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7300" cy="3643630"/>
                    </a:xfrm>
                    <a:prstGeom prst="rect">
                      <a:avLst/>
                    </a:prstGeom>
                    <a:noFill/>
                    <a:ln>
                      <a:noFill/>
                    </a:ln>
                  </pic:spPr>
                </pic:pic>
              </a:graphicData>
            </a:graphic>
          </wp:inline>
        </w:drawing>
      </w:r>
    </w:p>
    <w:p w:rsidR="00B60846" w:rsidRDefault="008069FF">
      <w:pPr>
        <w:rPr>
          <w:b/>
          <w:smallCaps/>
          <w:noProof/>
        </w:rPr>
      </w:pPr>
      <w:r>
        <w:rPr>
          <w:b/>
          <w:bCs/>
          <w:smallCaps/>
          <w:noProof/>
        </w:rPr>
        <w:br w:type="page"/>
      </w:r>
    </w:p>
    <w:p w:rsidR="00B60846" w:rsidRDefault="008069FF">
      <w:pPr>
        <w:pStyle w:val="Heading1"/>
        <w:numPr>
          <w:ilvl w:val="0"/>
          <w:numId w:val="0"/>
        </w:numPr>
        <w:ind w:left="432" w:hanging="432"/>
        <w:rPr>
          <w:noProof/>
        </w:rPr>
      </w:pPr>
      <w:bookmarkStart w:id="1355" w:name="_Toc55496492"/>
      <w:r>
        <w:rPr>
          <w:noProof/>
        </w:rPr>
        <w:t>Annex 7: Additional discarded options</w:t>
      </w:r>
      <w:bookmarkEnd w:id="1355"/>
    </w:p>
    <w:p w:rsidR="00B60846" w:rsidRDefault="008069FF">
      <w:pPr>
        <w:pStyle w:val="ListParagraph"/>
        <w:numPr>
          <w:ilvl w:val="0"/>
          <w:numId w:val="8"/>
        </w:numPr>
        <w:rPr>
          <w:b/>
          <w:bCs/>
          <w:noProof/>
        </w:rPr>
      </w:pPr>
      <w:r>
        <w:rPr>
          <w:b/>
          <w:bCs/>
          <w:noProof/>
        </w:rPr>
        <w:t>Breaking the link between the CBCA and CEF financing</w:t>
      </w:r>
    </w:p>
    <w:p w:rsidR="00B60846" w:rsidRDefault="008069FF">
      <w:pPr>
        <w:rPr>
          <w:noProof/>
        </w:rPr>
      </w:pPr>
      <w:r>
        <w:rPr>
          <w:noProof/>
        </w:rPr>
        <w:t xml:space="preserve">Different stakeholder </w:t>
      </w:r>
      <w:r>
        <w:rPr>
          <w:noProof/>
        </w:rPr>
        <w:t>groups mentioned that the requirement to submit a CBCA decision should no longer be mandatory for obtaining CEF financial assistance for works as it was perceived as an unnecessary burden. ACER considers that the CBCA could still be a mandatory step before</w:t>
      </w:r>
      <w:r>
        <w:rPr>
          <w:noProof/>
        </w:rPr>
        <w:t xml:space="preserve"> a CEF application if the project has benefits widely spread between many Member States, but not in case CEF grants would be requested for affordability reasons. In such case, ACER considers that a simple confirmation from the national NRA would suffice.</w:t>
      </w:r>
    </w:p>
    <w:p w:rsidR="00B60846" w:rsidRDefault="008069FF">
      <w:pPr>
        <w:rPr>
          <w:noProof/>
        </w:rPr>
      </w:pPr>
      <w:r>
        <w:rPr>
          <w:noProof/>
        </w:rPr>
        <w:t>H</w:t>
      </w:r>
      <w:r>
        <w:rPr>
          <w:noProof/>
        </w:rPr>
        <w:t xml:space="preserve">owever, this option was expressed by stakeholders wishing to have easier access to CEF financing, and does not take into account the aim and the limited nature of EU funds. As mentioned in the Preamble of the CEF Regulation, CEF financing is a last resort </w:t>
      </w:r>
      <w:r>
        <w:rPr>
          <w:noProof/>
        </w:rPr>
        <w:t>measure and projects should be realised primarily on the basis of the regulatory environment and, secondly, seek financing from the market. The CBCA decision ensures that the regulatory path has been explored for the projects which may by itself alone ensu</w:t>
      </w:r>
      <w:r>
        <w:rPr>
          <w:noProof/>
        </w:rPr>
        <w:t>re the realisation of the projects.</w:t>
      </w:r>
    </w:p>
    <w:p w:rsidR="00B60846" w:rsidRDefault="008069FF">
      <w:pPr>
        <w:rPr>
          <w:noProof/>
        </w:rPr>
      </w:pPr>
      <w:r>
        <w:rPr>
          <w:noProof/>
        </w:rPr>
        <w:t>Moreover, the CBCA decisions ensure that possible CEF beneficiaries will be developed under a stable regulatory regime leading to their successful realization. This is necessary before the projects apply for any CEF fina</w:t>
      </w:r>
      <w:r>
        <w:rPr>
          <w:noProof/>
        </w:rPr>
        <w:t>ncing. Furthermore, the CBCA decision ensures that the project CBA and its results have been checked and coordinated with TSOs and NRAs in Member States where the project shows benefits. This helps to make the data reliable also for the purposes of the eva</w:t>
      </w:r>
      <w:r>
        <w:rPr>
          <w:noProof/>
        </w:rPr>
        <w:t xml:space="preserve">luation of a possible CEF financial application. Therefore, the CBCA decisions are necessary to have been obtained before any project applies for Union financing from CEF Energy. </w:t>
      </w:r>
    </w:p>
    <w:p w:rsidR="00B60846" w:rsidRDefault="008069FF">
      <w:pPr>
        <w:pStyle w:val="ListParagraph"/>
        <w:numPr>
          <w:ilvl w:val="0"/>
          <w:numId w:val="8"/>
        </w:numPr>
        <w:rPr>
          <w:b/>
          <w:bCs/>
          <w:noProof/>
        </w:rPr>
      </w:pPr>
      <w:r>
        <w:rPr>
          <w:b/>
          <w:bCs/>
          <w:noProof/>
        </w:rPr>
        <w:t>Conditional CBCA decisions</w:t>
      </w:r>
    </w:p>
    <w:p w:rsidR="00B60846" w:rsidRDefault="008069FF">
      <w:pPr>
        <w:rPr>
          <w:noProof/>
        </w:rPr>
      </w:pPr>
      <w:r>
        <w:rPr>
          <w:noProof/>
        </w:rPr>
        <w:t>A series of stakeholders, particularly NRAs and A</w:t>
      </w:r>
      <w:r>
        <w:rPr>
          <w:noProof/>
        </w:rPr>
        <w:t>CER, mentioned that it is very difficult to assess the investment requests submitted by the project promoters and decide in a definitive manner as regards cross-border cost allocation and the inclusion of the investment costs of the project in the tariffs.</w:t>
      </w:r>
      <w:r>
        <w:rPr>
          <w:noProof/>
        </w:rPr>
        <w:t xml:space="preserve"> This is due to that fact that they do not know what amount of Union financing the project will receive, if any. Therefore, they propose to introduce the possibility for CBCA decisions to be drafted as conditional decisions that can be amended, adapted or </w:t>
      </w:r>
      <w:r>
        <w:rPr>
          <w:noProof/>
        </w:rPr>
        <w:t xml:space="preserve">revoked altogether after the results of the request for CEF financing. </w:t>
      </w:r>
    </w:p>
    <w:p w:rsidR="00B60846" w:rsidRDefault="008069FF">
      <w:pPr>
        <w:rPr>
          <w:noProof/>
        </w:rPr>
      </w:pPr>
      <w:r>
        <w:rPr>
          <w:noProof/>
        </w:rPr>
        <w:t>This is already happening as some CBCA decisions were prepared considering the possible aspects of the  CEF financing. However, conditional CBCA decisions pose a risk for the allocatio</w:t>
      </w:r>
      <w:r>
        <w:rPr>
          <w:noProof/>
        </w:rPr>
        <w:t xml:space="preserve">n of Union financing as the projects might ultimately not be realised if the NRAs change their mind or consider the financing awarded too low. This creates regulatory instability for the projects rendering them completely dependent on a certain percentage </w:t>
      </w:r>
      <w:r>
        <w:rPr>
          <w:noProof/>
        </w:rPr>
        <w:t xml:space="preserve">of Union financing and unable to seek resources on the financial market. This goes against the principle that CEF financing is a last resort option. CBCA decisions need to be final in order to provide sufficient legal and economic clarity and certainty on </w:t>
      </w:r>
      <w:r>
        <w:rPr>
          <w:noProof/>
        </w:rPr>
        <w:t xml:space="preserve">the investment conditions and expected costs to be borne for the project promoters and Member States. </w:t>
      </w:r>
    </w:p>
    <w:p w:rsidR="00B60846" w:rsidRDefault="008069FF">
      <w:pPr>
        <w:pStyle w:val="ListParagraph"/>
        <w:numPr>
          <w:ilvl w:val="0"/>
          <w:numId w:val="8"/>
        </w:numPr>
        <w:rPr>
          <w:b/>
          <w:bCs/>
          <w:noProof/>
        </w:rPr>
      </w:pPr>
      <w:r>
        <w:rPr>
          <w:b/>
          <w:bCs/>
          <w:noProof/>
        </w:rPr>
        <w:t>Easing environmental and location approvals for PCIs</w:t>
      </w:r>
    </w:p>
    <w:p w:rsidR="00B60846" w:rsidRDefault="008069FF">
      <w:pPr>
        <w:rPr>
          <w:noProof/>
        </w:rPr>
      </w:pPr>
      <w:r>
        <w:rPr>
          <w:noProof/>
        </w:rPr>
        <w:t>When providing input on the permitting procedures in the TEN-E Regulation a series of project promot</w:t>
      </w:r>
      <w:r>
        <w:rPr>
          <w:noProof/>
        </w:rPr>
        <w:t>ers mentioned that the permitting of PCIs will not be accelerated while they are required to obtain the same environmental and location permits at the same standards with other similar projects that are not PCIs. They, therefore, request that some of the r</w:t>
      </w:r>
      <w:r>
        <w:rPr>
          <w:noProof/>
        </w:rPr>
        <w:t>equirements for environmental and location permitting are removed or eased for PCIs.</w:t>
      </w:r>
    </w:p>
    <w:p w:rsidR="00B60846" w:rsidRDefault="008069FF">
      <w:pPr>
        <w:rPr>
          <w:noProof/>
        </w:rPr>
      </w:pPr>
      <w:r>
        <w:rPr>
          <w:noProof/>
        </w:rPr>
        <w:t>However, NGOs, citizens and local communities point out that public acceptance is closely linked to their effect on the environment and climate impact. Easing the requirem</w:t>
      </w:r>
      <w:r>
        <w:rPr>
          <w:noProof/>
        </w:rPr>
        <w:t xml:space="preserve">ents for such permits is both outside the scope of the TEN-E Regulation and would not ensure that these projects duly comply with environmental requirements and the conditions for establishing the optimal location. This could also create public opposition </w:t>
      </w:r>
      <w:r>
        <w:rPr>
          <w:noProof/>
        </w:rPr>
        <w:t>and, ultimately, delay the permitting process.</w:t>
      </w:r>
    </w:p>
    <w:p w:rsidR="00B60846" w:rsidRDefault="008069FF">
      <w:pPr>
        <w:rPr>
          <w:noProof/>
        </w:rPr>
      </w:pPr>
      <w:r>
        <w:rPr>
          <w:noProof/>
        </w:rPr>
        <w:t>The TEN-E Regulation already provides for the streamlining of the environmental assessment procedures and for ensuring the coherent application of environmental assessment procedures required under Union law f</w:t>
      </w:r>
      <w:r>
        <w:rPr>
          <w:noProof/>
        </w:rPr>
        <w:t>or PCIs. The Commission issued non- binding guidance</w:t>
      </w:r>
      <w:r>
        <w:rPr>
          <w:rStyle w:val="FootnoteReference"/>
          <w:noProof/>
        </w:rPr>
        <w:footnoteReference w:id="163"/>
      </w:r>
      <w:r>
        <w:rPr>
          <w:noProof/>
        </w:rPr>
        <w:t xml:space="preserve"> to support Member States in defining adequate legislative and non-legislative measures to this end and they had the obligation to assess, on the basis of the non-binding guidance, what measures to take.</w:t>
      </w:r>
      <w:r>
        <w:rPr>
          <w:noProof/>
        </w:rPr>
        <w:t xml:space="preserve"> </w:t>
      </w:r>
    </w:p>
    <w:p w:rsidR="00B60846" w:rsidRDefault="00B60846">
      <w:pPr>
        <w:rPr>
          <w:noProof/>
        </w:rPr>
      </w:pPr>
    </w:p>
    <w:p w:rsidR="00B60846" w:rsidRDefault="008069FF">
      <w:pPr>
        <w:tabs>
          <w:tab w:val="clear" w:pos="2302"/>
        </w:tabs>
        <w:spacing w:after="200" w:line="276" w:lineRule="auto"/>
        <w:jc w:val="left"/>
        <w:rPr>
          <w:b/>
          <w:smallCaps/>
          <w:noProof/>
        </w:rPr>
      </w:pPr>
      <w:r>
        <w:rPr>
          <w:noProof/>
        </w:rPr>
        <w:br w:type="page"/>
      </w:r>
    </w:p>
    <w:p w:rsidR="00B60846" w:rsidRDefault="008069FF">
      <w:pPr>
        <w:pStyle w:val="Heading1"/>
        <w:numPr>
          <w:ilvl w:val="0"/>
          <w:numId w:val="0"/>
        </w:numPr>
        <w:ind w:left="432" w:hanging="432"/>
        <w:rPr>
          <w:noProof/>
        </w:rPr>
      </w:pPr>
      <w:bookmarkStart w:id="1356" w:name="_Toc55496493"/>
      <w:r>
        <w:rPr>
          <w:noProof/>
        </w:rPr>
        <w:t>Annex 8: Introduction of a mandatory sustainability criterion</w:t>
      </w:r>
      <w:bookmarkEnd w:id="1356"/>
    </w:p>
    <w:p w:rsidR="00B60846" w:rsidRDefault="008069FF">
      <w:pPr>
        <w:pStyle w:val="FootnoteText"/>
        <w:rPr>
          <w:noProof/>
        </w:rPr>
      </w:pPr>
      <w:r>
        <w:rPr>
          <w:noProof/>
          <w:sz w:val="24"/>
          <w:szCs w:val="24"/>
        </w:rPr>
        <w:t>Under the current TEN-E framework, the gas and electricity PCI candidates must contribute to at least one of the following specific criteria: market integration, security of supply, competi</w:t>
      </w:r>
      <w:r>
        <w:rPr>
          <w:noProof/>
          <w:sz w:val="24"/>
          <w:szCs w:val="24"/>
        </w:rPr>
        <w:t>tion (only for gas) and sustainability.</w:t>
      </w:r>
    </w:p>
    <w:p w:rsidR="00B60846" w:rsidRDefault="00B60846">
      <w:pPr>
        <w:pStyle w:val="FootnoteText"/>
        <w:rPr>
          <w:noProof/>
        </w:rPr>
      </w:pPr>
    </w:p>
    <w:p w:rsidR="00B60846" w:rsidRDefault="008069FF">
      <w:pPr>
        <w:rPr>
          <w:noProof/>
        </w:rPr>
      </w:pPr>
      <w:r>
        <w:rPr>
          <w:noProof/>
        </w:rPr>
        <w:t>Options B2.1 and B.2.2 provide for the upgrade of the sustainability criterion from an optional in the current TEN-E framework to a mandatory criterion. This change will result in automatic inclusion of the sustaina</w:t>
      </w:r>
      <w:r>
        <w:rPr>
          <w:noProof/>
        </w:rPr>
        <w:t>bility criteria in the PCIs assessment methodology and will as such affect the ranking of the candidate PCI projects. The actual impact of the mandatory sustainability criterion on the final ranking will depend on the methodologies used in the assessment p</w:t>
      </w:r>
      <w:r>
        <w:rPr>
          <w:noProof/>
        </w:rPr>
        <w:t>rocess. These methodologies are developed for each PCI selection process considering inter alia data availability and the needs identified for each region in the Regional Groups as under the current framework. The full assessment methodology of the last PC</w:t>
      </w:r>
      <w:r>
        <w:rPr>
          <w:noProof/>
        </w:rPr>
        <w:t>I selection process is publicly available on EC CIRCABC platform</w:t>
      </w:r>
      <w:r>
        <w:rPr>
          <w:rStyle w:val="FootnoteReference"/>
          <w:noProof/>
        </w:rPr>
        <w:footnoteReference w:id="164"/>
      </w:r>
      <w:r>
        <w:rPr>
          <w:noProof/>
        </w:rPr>
        <w:t>.</w:t>
      </w:r>
    </w:p>
    <w:p w:rsidR="00B60846" w:rsidRDefault="008069FF">
      <w:pPr>
        <w:rPr>
          <w:noProof/>
        </w:rPr>
      </w:pPr>
      <w:r>
        <w:rPr>
          <w:noProof/>
        </w:rPr>
        <w:t>The Commission seeks to have the same methodologies across the RGs within each category of infrastructure e.g. one methodology for all the electricity RGs and one for all the gas RGs. In th</w:t>
      </w:r>
      <w:r>
        <w:rPr>
          <w:noProof/>
        </w:rPr>
        <w:t>is process the initial draft of the methodologies are developed within the framework of the Cooperation Platform, which consists of representatives of the European Commission (DG Energy), the Agency for the Cooperation of the Energy Regulators (ACER) and t</w:t>
      </w:r>
      <w:r>
        <w:rPr>
          <w:noProof/>
        </w:rPr>
        <w:t>he European Network of Transmission System Operators (ENTSOs). The Cooperation Platform provides technical support to the work of the Regional Groups. The final assessment methodologies to be used for the ranking of the candidate PCI projects must be valid</w:t>
      </w:r>
      <w:r>
        <w:rPr>
          <w:noProof/>
        </w:rPr>
        <w:t>ated by the RGs members (Member States, National Regulators, ENTSOs and the Commission), in line with the roles and responsibility each party has in the process.</w:t>
      </w:r>
    </w:p>
    <w:p w:rsidR="00B60846" w:rsidRDefault="00B60846">
      <w:pPr>
        <w:rPr>
          <w:rFonts w:ascii="EC Square Sans Cond Pro" w:hAnsi="EC Square Sans Cond Pro"/>
          <w:i/>
          <w:noProof/>
        </w:rPr>
      </w:pPr>
    </w:p>
    <w:p w:rsidR="00B60846" w:rsidRDefault="00B60846">
      <w:pPr>
        <w:jc w:val="center"/>
        <w:rPr>
          <w:rFonts w:ascii="EC Square Sans Cond Pro" w:hAnsi="EC Square Sans Cond Pro"/>
          <w:noProof/>
        </w:rPr>
      </w:pPr>
    </w:p>
    <w:p w:rsidR="00B60846" w:rsidRDefault="008069FF">
      <w:pPr>
        <w:tabs>
          <w:tab w:val="clear" w:pos="2302"/>
        </w:tabs>
        <w:spacing w:after="200" w:line="276" w:lineRule="auto"/>
        <w:jc w:val="left"/>
        <w:rPr>
          <w:b/>
          <w:smallCaps/>
          <w:noProof/>
        </w:rPr>
      </w:pPr>
      <w:r>
        <w:rPr>
          <w:noProof/>
        </w:rPr>
        <w:t xml:space="preserve"> </w:t>
      </w:r>
      <w:r>
        <w:rPr>
          <w:noProof/>
        </w:rPr>
        <w:br w:type="page"/>
      </w:r>
    </w:p>
    <w:p w:rsidR="00B60846" w:rsidRDefault="008069FF">
      <w:pPr>
        <w:pStyle w:val="Heading1"/>
        <w:numPr>
          <w:ilvl w:val="0"/>
          <w:numId w:val="0"/>
        </w:numPr>
        <w:ind w:left="432" w:hanging="432"/>
        <w:rPr>
          <w:noProof/>
        </w:rPr>
      </w:pPr>
      <w:bookmarkStart w:id="1357" w:name="_Toc55496494"/>
      <w:r>
        <w:rPr>
          <w:noProof/>
        </w:rPr>
        <w:t>Annex 9: Assessment of additional policy options</w:t>
      </w:r>
      <w:bookmarkEnd w:id="1345"/>
      <w:bookmarkEnd w:id="1346"/>
      <w:bookmarkEnd w:id="1347"/>
      <w:bookmarkEnd w:id="1348"/>
      <w:bookmarkEnd w:id="1349"/>
      <w:bookmarkEnd w:id="1350"/>
      <w:bookmarkEnd w:id="1351"/>
      <w:bookmarkEnd w:id="1352"/>
      <w:bookmarkEnd w:id="1353"/>
      <w:bookmarkEnd w:id="1354"/>
      <w:bookmarkEnd w:id="1357"/>
    </w:p>
    <w:p w:rsidR="00B60846" w:rsidRDefault="008069FF">
      <w:pPr>
        <w:pStyle w:val="Text1"/>
        <w:ind w:left="0"/>
        <w:rPr>
          <w:noProof/>
        </w:rPr>
      </w:pPr>
      <w:r>
        <w:rPr>
          <w:noProof/>
        </w:rPr>
        <w:t>This Annex sets out additional policy op</w:t>
      </w:r>
      <w:r>
        <w:rPr>
          <w:noProof/>
        </w:rPr>
        <w:t>tions of technical nature which relate to permitting and public participation (C) and Regulation (D) as follows:</w:t>
      </w:r>
    </w:p>
    <w:tbl>
      <w:tblPr>
        <w:tblStyle w:val="TableGrid212"/>
        <w:tblW w:w="7512" w:type="dxa"/>
        <w:tblLook w:val="04A0" w:firstRow="1" w:lastRow="0" w:firstColumn="1" w:lastColumn="0" w:noHBand="0" w:noVBand="1"/>
      </w:tblPr>
      <w:tblGrid>
        <w:gridCol w:w="7512"/>
      </w:tblGrid>
      <w:tr w:rsidR="00B60846">
        <w:trPr>
          <w:trHeight w:val="136"/>
        </w:trPr>
        <w:tc>
          <w:tcPr>
            <w:tcW w:w="7512" w:type="dxa"/>
          </w:tcPr>
          <w:p w:rsidR="00B60846" w:rsidRDefault="008069FF">
            <w:pPr>
              <w:tabs>
                <w:tab w:val="clear" w:pos="2302"/>
              </w:tabs>
              <w:spacing w:after="0"/>
              <w:jc w:val="left"/>
              <w:rPr>
                <w:rFonts w:eastAsia="Calibri"/>
                <w:b/>
                <w:i/>
                <w:noProof/>
              </w:rPr>
            </w:pPr>
            <w:r>
              <w:rPr>
                <w:rFonts w:eastAsia="Calibri"/>
                <w:b/>
                <w:i/>
                <w:noProof/>
              </w:rPr>
              <w:t>C) Permitting and public participation</w:t>
            </w:r>
          </w:p>
        </w:tc>
      </w:tr>
      <w:tr w:rsidR="00B60846">
        <w:trPr>
          <w:trHeight w:val="136"/>
        </w:trPr>
        <w:tc>
          <w:tcPr>
            <w:tcW w:w="7512" w:type="dxa"/>
          </w:tcPr>
          <w:p w:rsidR="00B60846" w:rsidRDefault="008069FF">
            <w:pPr>
              <w:tabs>
                <w:tab w:val="clear" w:pos="2302"/>
              </w:tabs>
              <w:spacing w:after="0"/>
              <w:jc w:val="left"/>
              <w:rPr>
                <w:rFonts w:eastAsia="Calibri"/>
                <w:noProof/>
              </w:rPr>
            </w:pPr>
            <w:r>
              <w:rPr>
                <w:rFonts w:eastAsia="Calibri"/>
                <w:noProof/>
              </w:rPr>
              <w:t>C.1.2. Accelerating the permitting process</w:t>
            </w:r>
          </w:p>
        </w:tc>
      </w:tr>
      <w:tr w:rsidR="00B60846">
        <w:trPr>
          <w:trHeight w:val="136"/>
        </w:trPr>
        <w:tc>
          <w:tcPr>
            <w:tcW w:w="7512" w:type="dxa"/>
          </w:tcPr>
          <w:p w:rsidR="00B60846" w:rsidRDefault="008069FF">
            <w:pPr>
              <w:tabs>
                <w:tab w:val="clear" w:pos="2302"/>
              </w:tabs>
              <w:spacing w:after="0"/>
              <w:jc w:val="left"/>
              <w:rPr>
                <w:rFonts w:eastAsia="Calibri"/>
                <w:i/>
                <w:noProof/>
              </w:rPr>
            </w:pPr>
            <w:r>
              <w:rPr>
                <w:rFonts w:eastAsia="Calibri"/>
                <w:i/>
                <w:noProof/>
              </w:rPr>
              <w:t>C.2 Public participation</w:t>
            </w:r>
          </w:p>
        </w:tc>
      </w:tr>
      <w:tr w:rsidR="00B60846">
        <w:trPr>
          <w:trHeight w:val="136"/>
        </w:trPr>
        <w:tc>
          <w:tcPr>
            <w:tcW w:w="7512" w:type="dxa"/>
          </w:tcPr>
          <w:p w:rsidR="00B60846" w:rsidRDefault="008069FF">
            <w:pPr>
              <w:tabs>
                <w:tab w:val="clear" w:pos="2302"/>
              </w:tabs>
              <w:spacing w:after="0"/>
              <w:jc w:val="left"/>
              <w:rPr>
                <w:rFonts w:eastAsia="Calibri"/>
                <w:noProof/>
              </w:rPr>
            </w:pPr>
            <w:r>
              <w:rPr>
                <w:rFonts w:eastAsia="Calibri"/>
                <w:noProof/>
              </w:rPr>
              <w:t>C.2.0 Business as usual</w:t>
            </w:r>
          </w:p>
        </w:tc>
      </w:tr>
      <w:tr w:rsidR="00B60846">
        <w:trPr>
          <w:trHeight w:val="136"/>
        </w:trPr>
        <w:tc>
          <w:tcPr>
            <w:tcW w:w="7512" w:type="dxa"/>
          </w:tcPr>
          <w:p w:rsidR="00B60846" w:rsidRDefault="008069FF">
            <w:pPr>
              <w:tabs>
                <w:tab w:val="clear" w:pos="2302"/>
              </w:tabs>
              <w:spacing w:after="0"/>
              <w:jc w:val="left"/>
              <w:rPr>
                <w:rFonts w:eastAsia="Calibri"/>
                <w:noProof/>
              </w:rPr>
            </w:pPr>
            <w:r>
              <w:rPr>
                <w:rFonts w:eastAsia="Calibri"/>
                <w:noProof/>
              </w:rPr>
              <w:t xml:space="preserve">C.2.1 </w:t>
            </w:r>
            <w:r>
              <w:rPr>
                <w:rFonts w:eastAsia="Calibri"/>
                <w:noProof/>
              </w:rPr>
              <w:t>Increasing the transparency of PCIs</w:t>
            </w:r>
          </w:p>
        </w:tc>
      </w:tr>
      <w:tr w:rsidR="00B60846">
        <w:trPr>
          <w:trHeight w:val="136"/>
        </w:trPr>
        <w:tc>
          <w:tcPr>
            <w:tcW w:w="7512" w:type="dxa"/>
          </w:tcPr>
          <w:p w:rsidR="00B60846" w:rsidRDefault="008069FF">
            <w:pPr>
              <w:tabs>
                <w:tab w:val="clear" w:pos="2302"/>
              </w:tabs>
              <w:spacing w:after="0"/>
              <w:jc w:val="left"/>
              <w:rPr>
                <w:rFonts w:eastAsia="Calibri"/>
                <w:b/>
                <w:i/>
                <w:noProof/>
              </w:rPr>
            </w:pPr>
            <w:r>
              <w:rPr>
                <w:rFonts w:eastAsia="Calibri"/>
                <w:b/>
                <w:i/>
                <w:noProof/>
              </w:rPr>
              <w:t>D) Regulatory treatment</w:t>
            </w:r>
          </w:p>
        </w:tc>
      </w:tr>
      <w:tr w:rsidR="00B60846">
        <w:trPr>
          <w:trHeight w:val="136"/>
        </w:trPr>
        <w:tc>
          <w:tcPr>
            <w:tcW w:w="7512" w:type="dxa"/>
          </w:tcPr>
          <w:p w:rsidR="00B60846" w:rsidRDefault="008069FF">
            <w:pPr>
              <w:tabs>
                <w:tab w:val="clear" w:pos="2302"/>
              </w:tabs>
              <w:spacing w:after="0"/>
              <w:jc w:val="left"/>
              <w:rPr>
                <w:rFonts w:eastAsia="Calibri"/>
                <w:noProof/>
              </w:rPr>
            </w:pPr>
            <w:r>
              <w:rPr>
                <w:rFonts w:eastAsia="Calibri"/>
                <w:noProof/>
              </w:rPr>
              <w:t>D.1.2 Possibility for smart grids projects to obtain a CBCA</w:t>
            </w:r>
          </w:p>
        </w:tc>
      </w:tr>
      <w:tr w:rsidR="00B60846">
        <w:trPr>
          <w:trHeight w:val="136"/>
        </w:trPr>
        <w:tc>
          <w:tcPr>
            <w:tcW w:w="7512" w:type="dxa"/>
          </w:tcPr>
          <w:p w:rsidR="00B60846" w:rsidRDefault="008069FF">
            <w:pPr>
              <w:tabs>
                <w:tab w:val="clear" w:pos="2302"/>
              </w:tabs>
              <w:spacing w:after="0"/>
              <w:jc w:val="left"/>
              <w:rPr>
                <w:rFonts w:eastAsia="Calibri"/>
                <w:noProof/>
              </w:rPr>
            </w:pPr>
            <w:r>
              <w:rPr>
                <w:rFonts w:eastAsia="Calibri"/>
                <w:noProof/>
              </w:rPr>
              <w:t>D.1.3 Clarifying CBCA provisions</w:t>
            </w:r>
          </w:p>
        </w:tc>
      </w:tr>
      <w:tr w:rsidR="00B60846">
        <w:trPr>
          <w:trHeight w:val="136"/>
        </w:trPr>
        <w:tc>
          <w:tcPr>
            <w:tcW w:w="7512" w:type="dxa"/>
          </w:tcPr>
          <w:p w:rsidR="00B60846" w:rsidRDefault="008069FF">
            <w:pPr>
              <w:tabs>
                <w:tab w:val="clear" w:pos="2302"/>
              </w:tabs>
              <w:spacing w:after="0"/>
              <w:jc w:val="left"/>
              <w:rPr>
                <w:rFonts w:eastAsia="Calibri"/>
                <w:noProof/>
              </w:rPr>
            </w:pPr>
            <w:r>
              <w:rPr>
                <w:rFonts w:eastAsia="Calibri"/>
                <w:noProof/>
              </w:rPr>
              <w:t xml:space="preserve">D.1.4 Updating investment incentives </w:t>
            </w:r>
          </w:p>
        </w:tc>
      </w:tr>
    </w:tbl>
    <w:p w:rsidR="00B60846" w:rsidRDefault="00B60846">
      <w:pPr>
        <w:pStyle w:val="Text1"/>
        <w:ind w:left="0"/>
        <w:rPr>
          <w:noProof/>
        </w:rPr>
      </w:pPr>
    </w:p>
    <w:p w:rsidR="00B60846" w:rsidRDefault="008069FF">
      <w:pPr>
        <w:pStyle w:val="Text1"/>
        <w:ind w:left="0"/>
        <w:rPr>
          <w:noProof/>
        </w:rPr>
      </w:pPr>
      <w:r>
        <w:rPr>
          <w:noProof/>
        </w:rPr>
        <w:t>These options are explained in more detail below followed b</w:t>
      </w:r>
      <w:r>
        <w:rPr>
          <w:noProof/>
        </w:rPr>
        <w:t>y a short assessment of their potential impacts.</w:t>
      </w:r>
    </w:p>
    <w:p w:rsidR="00B60846" w:rsidRDefault="008069FF">
      <w:pPr>
        <w:pStyle w:val="Heading2"/>
        <w:numPr>
          <w:ilvl w:val="1"/>
          <w:numId w:val="0"/>
        </w:numPr>
        <w:rPr>
          <w:noProof/>
        </w:rPr>
      </w:pPr>
      <w:bookmarkStart w:id="1358" w:name="_Toc51168592"/>
      <w:bookmarkStart w:id="1359" w:name="_Toc51169081"/>
      <w:bookmarkStart w:id="1360" w:name="_Toc51231575"/>
      <w:bookmarkStart w:id="1361" w:name="_Toc51235511"/>
      <w:bookmarkStart w:id="1362" w:name="_Toc51237300"/>
      <w:bookmarkStart w:id="1363" w:name="_Toc51238686"/>
      <w:bookmarkStart w:id="1364" w:name="_Toc51239411"/>
      <w:bookmarkStart w:id="1365" w:name="_Toc51245188"/>
      <w:bookmarkStart w:id="1366" w:name="_Toc51268828"/>
      <w:bookmarkStart w:id="1367" w:name="_Toc51268935"/>
      <w:bookmarkStart w:id="1368" w:name="_Toc51346843"/>
      <w:bookmarkStart w:id="1369" w:name="_Toc51350422"/>
      <w:bookmarkStart w:id="1370" w:name="_Toc51760953"/>
      <w:bookmarkStart w:id="1371" w:name="_Toc51784880"/>
      <w:bookmarkStart w:id="1372" w:name="_Toc51788322"/>
      <w:bookmarkStart w:id="1373" w:name="_Toc51791860"/>
      <w:bookmarkStart w:id="1374" w:name="_Toc51793292"/>
      <w:bookmarkStart w:id="1375" w:name="_Toc51879107"/>
      <w:bookmarkStart w:id="1376" w:name="_Toc55155685"/>
      <w:bookmarkStart w:id="1377" w:name="_Toc55290992"/>
      <w:bookmarkStart w:id="1378" w:name="_Toc55296684"/>
      <w:bookmarkStart w:id="1379" w:name="_Toc55496495"/>
      <w:r>
        <w:rPr>
          <w:noProof/>
        </w:rPr>
        <w:t>Permitting</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rsidR="00B60846" w:rsidRDefault="008069FF">
      <w:pPr>
        <w:rPr>
          <w:b/>
          <w:bCs/>
          <w:noProof/>
        </w:rPr>
      </w:pPr>
      <w:r>
        <w:rPr>
          <w:b/>
          <w:bCs/>
          <w:noProof/>
        </w:rPr>
        <w:t>Option C.1.1: Accelerating the permitting process</w:t>
      </w:r>
      <w:r>
        <w:rPr>
          <w:b/>
          <w:noProof/>
        </w:rPr>
        <w:t>:</w:t>
      </w:r>
      <w:r>
        <w:rPr>
          <w:b/>
          <w:bCs/>
          <w:noProof/>
        </w:rPr>
        <w:t xml:space="preserve"> </w:t>
      </w:r>
    </w:p>
    <w:p w:rsidR="00B60846" w:rsidRDefault="008069FF">
      <w:pPr>
        <w:rPr>
          <w:noProof/>
          <w:szCs w:val="24"/>
        </w:rPr>
      </w:pPr>
      <w:r>
        <w:rPr>
          <w:noProof/>
        </w:rPr>
        <w:t xml:space="preserve">This option would include the following </w:t>
      </w:r>
      <w:r>
        <w:rPr>
          <w:b/>
          <w:bCs/>
          <w:noProof/>
          <w:u w:val="single"/>
        </w:rPr>
        <w:t>sub-options</w:t>
      </w:r>
      <w:r>
        <w:rPr>
          <w:noProof/>
        </w:rPr>
        <w:t>:</w:t>
      </w:r>
    </w:p>
    <w:p w:rsidR="00B60846" w:rsidRDefault="008069FF">
      <w:pPr>
        <w:pStyle w:val="ListParagraph"/>
        <w:numPr>
          <w:ilvl w:val="0"/>
          <w:numId w:val="16"/>
        </w:numPr>
        <w:rPr>
          <w:i/>
          <w:noProof/>
        </w:rPr>
      </w:pPr>
      <w:r>
        <w:rPr>
          <w:i/>
          <w:iCs/>
          <w:noProof/>
        </w:rPr>
        <w:t>Clarifying the applicable procedure for projects falling between legal regimes</w:t>
      </w:r>
    </w:p>
    <w:p w:rsidR="00B60846" w:rsidRDefault="008069FF">
      <w:pPr>
        <w:rPr>
          <w:noProof/>
          <w:szCs w:val="24"/>
        </w:rPr>
      </w:pPr>
      <w:r>
        <w:rPr>
          <w:noProof/>
        </w:rPr>
        <w:t xml:space="preserve">The transitional provisions regarding the permitting process meaning that all PCIs can benefit from maximum time-limit of 3.5 years and from the one-stop shop would be removed. Moreover, any permits already obtained would remain valid and be integrated in </w:t>
      </w:r>
      <w:r>
        <w:rPr>
          <w:noProof/>
        </w:rPr>
        <w:t xml:space="preserve">the procedure. The provisions on 'priority status', where such status exists in national law, would apply to all PCIs regardless of when they started permitting. </w:t>
      </w:r>
    </w:p>
    <w:p w:rsidR="00B60846" w:rsidRDefault="008069FF">
      <w:pPr>
        <w:pStyle w:val="ListParagraph"/>
        <w:numPr>
          <w:ilvl w:val="0"/>
          <w:numId w:val="16"/>
        </w:numPr>
        <w:rPr>
          <w:i/>
          <w:noProof/>
        </w:rPr>
      </w:pPr>
      <w:r>
        <w:rPr>
          <w:i/>
          <w:iCs/>
          <w:noProof/>
        </w:rPr>
        <w:t xml:space="preserve">Acceleration of permit granting </w:t>
      </w:r>
    </w:p>
    <w:p w:rsidR="00B60846" w:rsidRDefault="008069FF">
      <w:pPr>
        <w:rPr>
          <w:noProof/>
          <w:szCs w:val="24"/>
        </w:rPr>
      </w:pPr>
      <w:r>
        <w:rPr>
          <w:noProof/>
        </w:rPr>
        <w:t>The permitting provisions and the two permitting phases woul</w:t>
      </w:r>
      <w:r>
        <w:rPr>
          <w:noProof/>
        </w:rPr>
        <w:t>d have enough built in flexibility to cater also for the acceleration of the permitting process for projects that do not require all the permits of large infrastructure projects such as smart grids projects which often do not require an EIA or a building p</w:t>
      </w:r>
      <w:r>
        <w:rPr>
          <w:noProof/>
        </w:rPr>
        <w:t>ermit.</w:t>
      </w:r>
    </w:p>
    <w:p w:rsidR="00B60846" w:rsidRDefault="008069FF">
      <w:pPr>
        <w:rPr>
          <w:noProof/>
          <w:szCs w:val="24"/>
        </w:rPr>
      </w:pPr>
      <w:r>
        <w:rPr>
          <w:noProof/>
        </w:rPr>
        <w:t>The outcome of a completed permitting process under the TEN-E Regulation is the issuance of a comprehensive decision</w:t>
      </w:r>
      <w:r>
        <w:rPr>
          <w:rStyle w:val="FootnoteReference"/>
          <w:noProof/>
        </w:rPr>
        <w:footnoteReference w:id="165"/>
      </w:r>
      <w:r>
        <w:rPr>
          <w:noProof/>
        </w:rPr>
        <w:t xml:space="preserve"> for the project. Member States would have to ensure that any additional requirements or legislative amendments introduced during th</w:t>
      </w:r>
      <w:r>
        <w:rPr>
          <w:noProof/>
        </w:rPr>
        <w:t>e permit granting process would not affect the length of the permitting process started before the amendments of the legislation. In view of ensuring a consistent application, the revised TEN-E Regulation would also adapt the definition of the comprehensiv</w:t>
      </w:r>
      <w:r>
        <w:rPr>
          <w:noProof/>
        </w:rPr>
        <w:t xml:space="preserve">e decision to clarify that the issuing of this decision means that the project is ready to begin procurement procedures and construction in the respective Member States. This would ensure that no additional requirements are added on top of and outside the </w:t>
      </w:r>
      <w:r>
        <w:rPr>
          <w:noProof/>
        </w:rPr>
        <w:t>permitting process.</w:t>
      </w:r>
    </w:p>
    <w:p w:rsidR="00B60846" w:rsidRDefault="008069FF">
      <w:pPr>
        <w:pStyle w:val="ListParagraph"/>
        <w:numPr>
          <w:ilvl w:val="0"/>
          <w:numId w:val="16"/>
        </w:numPr>
        <w:rPr>
          <w:i/>
          <w:noProof/>
        </w:rPr>
      </w:pPr>
      <w:r>
        <w:rPr>
          <w:i/>
          <w:iCs/>
          <w:noProof/>
        </w:rPr>
        <w:t>Making procedures accessible cross-border</w:t>
      </w:r>
    </w:p>
    <w:p w:rsidR="00B60846" w:rsidRDefault="008069FF">
      <w:pPr>
        <w:rPr>
          <w:noProof/>
        </w:rPr>
      </w:pPr>
      <w:r>
        <w:rPr>
          <w:noProof/>
        </w:rPr>
        <w:t>Competent authorities would be obliged to coordinate and find synergies with neighbouring countries in developing their manual of procedures and in the permit granting procedures of individual PCIs without exceeding the 3.5 years time-limit. In addition, t</w:t>
      </w:r>
      <w:r>
        <w:rPr>
          <w:noProof/>
        </w:rPr>
        <w:t xml:space="preserve">he competent authorities would have to make available, as much as possible, the manuals in all languages of the neighbouring Member States. </w:t>
      </w:r>
    </w:p>
    <w:p w:rsidR="00B60846" w:rsidRDefault="008069FF">
      <w:pPr>
        <w:rPr>
          <w:noProof/>
          <w:u w:val="single"/>
        </w:rPr>
      </w:pPr>
      <w:r>
        <w:rPr>
          <w:noProof/>
          <w:u w:val="single"/>
        </w:rPr>
        <w:t>Assessment:</w:t>
      </w:r>
    </w:p>
    <w:p w:rsidR="00B60846" w:rsidRDefault="008069FF">
      <w:pPr>
        <w:rPr>
          <w:noProof/>
        </w:rPr>
      </w:pPr>
      <w:r>
        <w:rPr>
          <w:noProof/>
        </w:rPr>
        <w:t xml:space="preserve">Amending key provisions aimed at accelerating the permitting process in its current set-up would allow </w:t>
      </w:r>
      <w:r>
        <w:rPr>
          <w:noProof/>
        </w:rPr>
        <w:t xml:space="preserve">keeping the necessary balance between the rule of law in the Member States and their sovereignty and the acceleration of the implementation of PCIs. Permitting is a process that is to a large extent national or even local in nature. </w:t>
      </w:r>
    </w:p>
    <w:p w:rsidR="00B60846" w:rsidRDefault="008069FF">
      <w:pPr>
        <w:rPr>
          <w:noProof/>
        </w:rPr>
      </w:pPr>
      <w:r>
        <w:rPr>
          <w:noProof/>
        </w:rPr>
        <w:t>The environmental asse</w:t>
      </w:r>
      <w:r>
        <w:rPr>
          <w:noProof/>
        </w:rPr>
        <w:t xml:space="preserve">ssment of PCIs is unaffected by the permitting provisions of the TEN-E Regulation because this is out of the scope of the Regulation. </w:t>
      </w:r>
    </w:p>
    <w:p w:rsidR="00B60846" w:rsidRDefault="008069FF">
      <w:pPr>
        <w:rPr>
          <w:noProof/>
        </w:rPr>
      </w:pPr>
      <w:r>
        <w:rPr>
          <w:noProof/>
        </w:rPr>
        <w:t xml:space="preserve">The suggested amendments in this option entail a better coordination between competent authorities for projects crossing </w:t>
      </w:r>
      <w:r>
        <w:rPr>
          <w:noProof/>
        </w:rPr>
        <w:t>the border of more Member States as well as a facilitation of the permitting process cross-border. This coordination will allow also a better coordination of the assessment of the environmental impacts of the projects leading to improved measures to tackle</w:t>
      </w:r>
      <w:r>
        <w:rPr>
          <w:noProof/>
        </w:rPr>
        <w:t xml:space="preserve"> any environmental concerns that may be cross-cutting issues in more Member States.</w:t>
      </w:r>
    </w:p>
    <w:p w:rsidR="00B60846" w:rsidRDefault="008069FF">
      <w:pPr>
        <w:rPr>
          <w:noProof/>
        </w:rPr>
      </w:pPr>
      <w:r>
        <w:rPr>
          <w:noProof/>
        </w:rPr>
        <w:t xml:space="preserve">Permit granting procedures have shortened for PCIs compared to the pre-TEN-E situation. The average duration is 4 years for electricity and 3.1 years for gas PCIs compared </w:t>
      </w:r>
      <w:r>
        <w:rPr>
          <w:noProof/>
        </w:rPr>
        <w:t xml:space="preserve">to durations of more than 6 years in some Member States prior to the entry into force of the TEN-E Regulation. The introduction of a one-stop shop provides a good approach to reducing the complexity of the permitting process, but the effectiveness depends </w:t>
      </w:r>
      <w:r>
        <w:rPr>
          <w:noProof/>
        </w:rPr>
        <w:t xml:space="preserve">strongly on the national implementation and existing permitting requirements in the Member States. </w:t>
      </w:r>
    </w:p>
    <w:p w:rsidR="00B60846" w:rsidRDefault="008069FF">
      <w:pPr>
        <w:rPr>
          <w:noProof/>
        </w:rPr>
      </w:pPr>
      <w:r>
        <w:rPr>
          <w:noProof/>
        </w:rPr>
        <w:t>As regards electricity projects, delays in project implementation have two direct consequences for the EU achieving its carbon reduction targets: the missin</w:t>
      </w:r>
      <w:r>
        <w:rPr>
          <w:noProof/>
        </w:rPr>
        <w:t>g grid capacity hinders the further growth and integration of RES, while the resulting grid congestion must be resolved by expensive and CO2 intensive redispatch measures.</w:t>
      </w:r>
    </w:p>
    <w:p w:rsidR="00B60846" w:rsidRDefault="008069FF">
      <w:pPr>
        <w:rPr>
          <w:noProof/>
        </w:rPr>
      </w:pPr>
      <w:r>
        <w:rPr>
          <w:noProof/>
        </w:rPr>
        <w:t>The longer and more complicated the permitting process of a PCI is, the higher the c</w:t>
      </w:r>
      <w:r>
        <w:rPr>
          <w:noProof/>
        </w:rPr>
        <w:t>osts are incurred by the project promoter and the national competent authorities. Currently, an estimated 0.5 FTE per year is given for the administrative costs for reporting and compliance to the PCI monitoring procedure. The stakeholder consultation conc</w:t>
      </w:r>
      <w:r>
        <w:rPr>
          <w:noProof/>
        </w:rPr>
        <w:t xml:space="preserve">luded that the permitting process and the organisation of stakeholder consultation are amongst the main cost drivers that provide unacceptable costs for project promoters. However, the high administrative burden of the permitting process is considered not </w:t>
      </w:r>
      <w:r>
        <w:rPr>
          <w:noProof/>
        </w:rPr>
        <w:t xml:space="preserve">to be due to TEN-E, but rather relate to issues on a national level, although three TSOs specifically pointed out that the requirements of the Regulation add another bureaucratic layer on top of the national system. </w:t>
      </w:r>
    </w:p>
    <w:p w:rsidR="00B60846" w:rsidRDefault="008069FF">
      <w:pPr>
        <w:rPr>
          <w:noProof/>
        </w:rPr>
      </w:pPr>
      <w:r>
        <w:rPr>
          <w:noProof/>
        </w:rPr>
        <w:t>An accelerated permitting process decre</w:t>
      </w:r>
      <w:r>
        <w:rPr>
          <w:noProof/>
        </w:rPr>
        <w:t>ases costs for both project promoters and competent authorities. An accelerated permitting process also allows for a faster implementation of the project therefore bringing forward the benefits identified in the CBA. This will have a significant economic i</w:t>
      </w:r>
      <w:r>
        <w:rPr>
          <w:noProof/>
        </w:rPr>
        <w:t>mpact on regional energy markets, if not, even a European wide impact. The economic impact could be determined on the basis of the CBAs of the projects impacted by the accelerated procedures. No data is available at the moment for calculating fully the imp</w:t>
      </w:r>
      <w:r>
        <w:rPr>
          <w:noProof/>
        </w:rPr>
        <w:t xml:space="preserve">act, but the example described in rthe assessment of option C.1.1. remains valid. </w:t>
      </w:r>
    </w:p>
    <w:p w:rsidR="00B60846" w:rsidRDefault="008069FF">
      <w:pPr>
        <w:rPr>
          <w:noProof/>
        </w:rPr>
      </w:pPr>
      <w:r>
        <w:rPr>
          <w:noProof/>
        </w:rPr>
        <w:t xml:space="preserve">The permitting process and the provisions regarding public participation have a dual social impact. On the one hand, society and citizens benefit from the implementation of </w:t>
      </w:r>
      <w:r>
        <w:rPr>
          <w:noProof/>
        </w:rPr>
        <w:t xml:space="preserve">PCIs which increase competition, security of supply and market integration. On the other hand, the construction of large infrastructure projects affect local communities by changing the landscape, affecting tourist areas, affecting crops etc. </w:t>
      </w:r>
    </w:p>
    <w:p w:rsidR="00B60846" w:rsidRDefault="008069FF">
      <w:pPr>
        <w:rPr>
          <w:noProof/>
        </w:rPr>
      </w:pPr>
      <w:r>
        <w:rPr>
          <w:noProof/>
        </w:rPr>
        <w:t>In a similar</w:t>
      </w:r>
      <w:r>
        <w:rPr>
          <w:noProof/>
        </w:rPr>
        <w:t xml:space="preserve"> manner as the economic impact, an accelerated permitting process also allows for a faster implementation of the project therefore bringing forward the benefits to society identified in the CBA.</w:t>
      </w:r>
    </w:p>
    <w:p w:rsidR="00B60846" w:rsidRDefault="008069FF">
      <w:pPr>
        <w:pStyle w:val="Heading2"/>
        <w:numPr>
          <w:ilvl w:val="1"/>
          <w:numId w:val="0"/>
        </w:numPr>
        <w:rPr>
          <w:noProof/>
        </w:rPr>
      </w:pPr>
      <w:bookmarkStart w:id="1380" w:name="_Toc44276921"/>
      <w:bookmarkStart w:id="1381" w:name="_Toc51168593"/>
      <w:bookmarkStart w:id="1382" w:name="_Toc51169082"/>
      <w:bookmarkStart w:id="1383" w:name="_Toc51231576"/>
      <w:bookmarkStart w:id="1384" w:name="_Toc51235512"/>
      <w:bookmarkStart w:id="1385" w:name="_Toc51237301"/>
      <w:bookmarkStart w:id="1386" w:name="_Toc51238687"/>
      <w:bookmarkStart w:id="1387" w:name="_Toc51239412"/>
      <w:bookmarkStart w:id="1388" w:name="_Toc51245189"/>
      <w:bookmarkStart w:id="1389" w:name="_Toc51268829"/>
      <w:bookmarkStart w:id="1390" w:name="_Toc51268936"/>
      <w:bookmarkStart w:id="1391" w:name="_Toc51346844"/>
      <w:bookmarkStart w:id="1392" w:name="_Toc51350423"/>
      <w:bookmarkStart w:id="1393" w:name="_Toc51760954"/>
      <w:bookmarkStart w:id="1394" w:name="_Toc51784881"/>
      <w:bookmarkStart w:id="1395" w:name="_Toc51788323"/>
      <w:bookmarkStart w:id="1396" w:name="_Toc51791861"/>
      <w:bookmarkStart w:id="1397" w:name="_Toc51793293"/>
      <w:bookmarkStart w:id="1398" w:name="_Toc51879108"/>
      <w:bookmarkStart w:id="1399" w:name="_Toc55155686"/>
      <w:bookmarkStart w:id="1400" w:name="_Toc55290993"/>
      <w:bookmarkStart w:id="1401" w:name="_Toc55296685"/>
      <w:bookmarkStart w:id="1402" w:name="_Toc55496496"/>
      <w:r>
        <w:rPr>
          <w:noProof/>
        </w:rPr>
        <w:t>Public participation</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rPr>
          <w:noProof/>
        </w:rPr>
        <w:t xml:space="preserve"> </w:t>
      </w:r>
    </w:p>
    <w:p w:rsidR="00B60846" w:rsidRDefault="008069FF">
      <w:pPr>
        <w:pStyle w:val="DefaultText"/>
        <w:rPr>
          <w:b/>
          <w:bCs/>
          <w:noProof/>
        </w:rPr>
      </w:pPr>
      <w:r>
        <w:rPr>
          <w:b/>
          <w:bCs/>
          <w:noProof/>
        </w:rPr>
        <w:t>Option C.2.0: Business as usual</w:t>
      </w:r>
    </w:p>
    <w:p w:rsidR="00B60846" w:rsidRDefault="00B60846">
      <w:pPr>
        <w:pStyle w:val="DefaultText"/>
        <w:rPr>
          <w:noProof/>
        </w:rPr>
      </w:pPr>
    </w:p>
    <w:p w:rsidR="00B60846" w:rsidRDefault="008069FF">
      <w:pPr>
        <w:pStyle w:val="DefaultText"/>
        <w:jc w:val="both"/>
        <w:rPr>
          <w:noProof/>
        </w:rPr>
      </w:pPr>
      <w:r>
        <w:rPr>
          <w:noProof/>
        </w:rPr>
        <w:t xml:space="preserve">Under </w:t>
      </w:r>
      <w:r>
        <w:rPr>
          <w:noProof/>
        </w:rPr>
        <w:t>the current provisions of the TEN-E Regulation, the project promoter or competent authority is obliged to establish and regularly update the projects website with relevant information about the PCI under its competence.</w:t>
      </w:r>
    </w:p>
    <w:p w:rsidR="00B60846" w:rsidRDefault="00B60846">
      <w:pPr>
        <w:pStyle w:val="DefaultText"/>
        <w:rPr>
          <w:noProof/>
        </w:rPr>
      </w:pPr>
    </w:p>
    <w:p w:rsidR="00B60846" w:rsidRDefault="008069FF">
      <w:pPr>
        <w:rPr>
          <w:b/>
          <w:bCs/>
          <w:noProof/>
        </w:rPr>
      </w:pPr>
      <w:r>
        <w:rPr>
          <w:b/>
          <w:bCs/>
          <w:noProof/>
        </w:rPr>
        <w:t xml:space="preserve">Option C.2.1: </w:t>
      </w:r>
      <w:r>
        <w:rPr>
          <w:b/>
          <w:noProof/>
        </w:rPr>
        <w:t>Increasing the transp</w:t>
      </w:r>
      <w:r>
        <w:rPr>
          <w:b/>
          <w:noProof/>
        </w:rPr>
        <w:t>arency of PCIs</w:t>
      </w:r>
    </w:p>
    <w:p w:rsidR="00B60846" w:rsidRDefault="008069FF">
      <w:pPr>
        <w:rPr>
          <w:noProof/>
        </w:rPr>
      </w:pPr>
      <w:r>
        <w:rPr>
          <w:noProof/>
        </w:rPr>
        <w:t>This option would introduce an obligation on the project promoters, as the owner of the information regarding the implementation of the PCIs to publish and update dedicated webpages in all languages of the Member States crossed or impacted b</w:t>
      </w:r>
      <w:r>
        <w:rPr>
          <w:noProof/>
        </w:rPr>
        <w:t>y the PCIs. This will affect their subsequent applications to become PCIs as the powers of the Regional Groups as regards the monitoring of the implementation of PCIs are increased (see the REFIT option of adding a criteria for the PCI selection process in</w:t>
      </w:r>
      <w:r>
        <w:rPr>
          <w:noProof/>
        </w:rPr>
        <w:t xml:space="preserve"> this regard). The minimum information to be included in the project websites would continue to be listed in an annex of the TEN-E Regulation.</w:t>
      </w:r>
    </w:p>
    <w:p w:rsidR="00B60846" w:rsidRDefault="008069FF">
      <w:pPr>
        <w:rPr>
          <w:noProof/>
        </w:rPr>
      </w:pPr>
      <w:r>
        <w:rPr>
          <w:b/>
          <w:bCs/>
          <w:i/>
          <w:iCs/>
          <w:noProof/>
        </w:rPr>
        <w:t>Stakeholder views:</w:t>
      </w:r>
      <w:r>
        <w:rPr>
          <w:noProof/>
        </w:rPr>
        <w:t xml:space="preserve">  Stakeholder generally agreed that the transparency and participation provisions introduced fo</w:t>
      </w:r>
      <w:r>
        <w:rPr>
          <w:noProof/>
        </w:rPr>
        <w:t>r PCIs are perceived to have increased public awareness of PCIs and trust in the process. All communication tools employed by project promoters during PCI implementation (project websites, information leaflets, meetings to discuss PCIs and provision of inf</w:t>
      </w:r>
      <w:r>
        <w:rPr>
          <w:noProof/>
        </w:rPr>
        <w:t>ormation in writing) were considered useful. More specifically, stakeholders considered PCI websites as important for ensuring transparency.</w:t>
      </w:r>
    </w:p>
    <w:p w:rsidR="00B60846" w:rsidRDefault="008069FF">
      <w:pPr>
        <w:rPr>
          <w:noProof/>
          <w:u w:val="single"/>
        </w:rPr>
      </w:pPr>
      <w:r>
        <w:rPr>
          <w:noProof/>
          <w:u w:val="single"/>
        </w:rPr>
        <w:t>Assessment:</w:t>
      </w:r>
    </w:p>
    <w:p w:rsidR="00B60846" w:rsidRDefault="008069FF">
      <w:pPr>
        <w:pStyle w:val="Heading3"/>
        <w:numPr>
          <w:ilvl w:val="2"/>
          <w:numId w:val="0"/>
        </w:numPr>
        <w:ind w:left="720" w:hanging="720"/>
        <w:rPr>
          <w:noProof/>
        </w:rPr>
      </w:pPr>
      <w:bookmarkStart w:id="1403" w:name="_Toc50366600"/>
      <w:bookmarkStart w:id="1404" w:name="_Toc50573912"/>
      <w:bookmarkStart w:id="1405" w:name="_Toc50581895"/>
      <w:bookmarkStart w:id="1406" w:name="_Toc50582678"/>
      <w:bookmarkStart w:id="1407" w:name="_Toc51168594"/>
      <w:bookmarkStart w:id="1408" w:name="_Toc51169083"/>
      <w:bookmarkStart w:id="1409" w:name="_Toc51231577"/>
      <w:bookmarkStart w:id="1410" w:name="_Toc51235513"/>
      <w:bookmarkStart w:id="1411" w:name="_Toc51237302"/>
      <w:bookmarkStart w:id="1412" w:name="_Toc51238688"/>
      <w:bookmarkStart w:id="1413" w:name="_Toc51239413"/>
      <w:bookmarkStart w:id="1414" w:name="_Toc51245190"/>
      <w:bookmarkStart w:id="1415" w:name="_Toc51268830"/>
      <w:bookmarkStart w:id="1416" w:name="_Toc51268937"/>
      <w:bookmarkStart w:id="1417" w:name="_Toc51346845"/>
      <w:bookmarkStart w:id="1418" w:name="_Toc51350424"/>
      <w:bookmarkStart w:id="1419" w:name="_Toc51760955"/>
      <w:bookmarkStart w:id="1420" w:name="_Toc51784882"/>
      <w:bookmarkStart w:id="1421" w:name="_Toc51788324"/>
      <w:bookmarkStart w:id="1422" w:name="_Toc51791862"/>
      <w:bookmarkStart w:id="1423" w:name="_Toc51793294"/>
      <w:bookmarkStart w:id="1424" w:name="_Toc51879109"/>
      <w:bookmarkStart w:id="1425" w:name="_Toc55155687"/>
      <w:bookmarkStart w:id="1426" w:name="_Toc55290994"/>
      <w:bookmarkStart w:id="1427" w:name="_Toc55296686"/>
      <w:bookmarkStart w:id="1428" w:name="_Toc55496497"/>
      <w:r>
        <w:rPr>
          <w:noProof/>
        </w:rPr>
        <w:t>Public participation</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rsidR="00B60846" w:rsidRDefault="008069FF">
      <w:pPr>
        <w:pStyle w:val="DefaultText"/>
        <w:rPr>
          <w:b/>
          <w:bCs/>
          <w:noProof/>
        </w:rPr>
      </w:pPr>
      <w:bookmarkStart w:id="1429" w:name="_Toc50581896"/>
      <w:bookmarkStart w:id="1430" w:name="_Toc50582679"/>
      <w:r>
        <w:rPr>
          <w:b/>
          <w:bCs/>
          <w:noProof/>
        </w:rPr>
        <w:t>Option C.2.0: Business as usual</w:t>
      </w:r>
      <w:bookmarkEnd w:id="1429"/>
      <w:bookmarkEnd w:id="1430"/>
    </w:p>
    <w:p w:rsidR="00B60846" w:rsidRDefault="00B60846">
      <w:pPr>
        <w:pStyle w:val="DefaultText"/>
        <w:rPr>
          <w:b/>
          <w:bCs/>
          <w:noProof/>
        </w:rPr>
      </w:pPr>
    </w:p>
    <w:p w:rsidR="00B60846" w:rsidRDefault="008069FF">
      <w:pPr>
        <w:pStyle w:val="DefaultText"/>
        <w:jc w:val="both"/>
        <w:rPr>
          <w:noProof/>
        </w:rPr>
      </w:pPr>
      <w:r>
        <w:rPr>
          <w:noProof/>
        </w:rPr>
        <w:t>Opting for business as usual would indicate that current provisions on transparency and participation would still apply with no further scrutiny nor monitoring discretion of the Regional Groups. Only 14% of the respondents to the open public consultation c</w:t>
      </w:r>
      <w:r>
        <w:rPr>
          <w:noProof/>
        </w:rPr>
        <w:t>onsider that current TEN-E provisions triggered an improvement in the transparency of the planning and building process of any PCIs in comparison to other energy infrastructure projects. Most respondents (54%) could not answer if such improvements existed,</w:t>
      </w:r>
      <w:r>
        <w:rPr>
          <w:noProof/>
        </w:rPr>
        <w:t xml:space="preserve"> whilst 28% of the respondents (company/business organisations, EU citizens, NGOs) considered that there is no improvement, or there is an improvement only to a small extent. </w:t>
      </w:r>
    </w:p>
    <w:p w:rsidR="00B60846" w:rsidRDefault="008069FF">
      <w:pPr>
        <w:pStyle w:val="DefaultText"/>
        <w:rPr>
          <w:noProof/>
        </w:rPr>
      </w:pPr>
      <w:r>
        <w:rPr>
          <w:noProof/>
        </w:rPr>
        <w:t xml:space="preserve"> </w:t>
      </w:r>
    </w:p>
    <w:p w:rsidR="00B60846" w:rsidRDefault="008069FF">
      <w:pPr>
        <w:pStyle w:val="Text2"/>
        <w:ind w:left="0"/>
        <w:rPr>
          <w:i/>
          <w:noProof/>
        </w:rPr>
      </w:pPr>
      <w:r>
        <w:rPr>
          <w:i/>
          <w:iCs/>
          <w:noProof/>
        </w:rPr>
        <w:t>Options C.2.1</w:t>
      </w:r>
      <w:r>
        <w:rPr>
          <w:i/>
          <w:noProof/>
        </w:rPr>
        <w:t xml:space="preserve"> </w:t>
      </w:r>
      <w:r>
        <w:rPr>
          <w:i/>
          <w:iCs/>
          <w:noProof/>
        </w:rPr>
        <w:t>Increasing the transparency of PCIs</w:t>
      </w:r>
    </w:p>
    <w:p w:rsidR="00B60846" w:rsidRDefault="008069FF">
      <w:pPr>
        <w:pStyle w:val="Text2"/>
        <w:ind w:left="0"/>
        <w:rPr>
          <w:noProof/>
        </w:rPr>
      </w:pPr>
      <w:r>
        <w:rPr>
          <w:noProof/>
        </w:rPr>
        <w:t>The implementation of key PC</w:t>
      </w:r>
      <w:r>
        <w:rPr>
          <w:noProof/>
        </w:rPr>
        <w:t xml:space="preserve">Is can be faced with opposition during the permit granting process from local communities, landowners and citizens living in the proximity of installations and routing of PCIs. </w:t>
      </w:r>
    </w:p>
    <w:p w:rsidR="00B60846" w:rsidRDefault="008069FF">
      <w:pPr>
        <w:pStyle w:val="Text2"/>
        <w:ind w:left="0"/>
        <w:rPr>
          <w:noProof/>
        </w:rPr>
      </w:pPr>
      <w:r>
        <w:rPr>
          <w:noProof/>
        </w:rPr>
        <w:t xml:space="preserve">Article 9 and </w:t>
      </w:r>
      <w:r>
        <w:rPr>
          <w:noProof/>
          <w:color w:val="444444"/>
          <w:shd w:val="clear" w:color="auto" w:fill="FFFFFF"/>
        </w:rPr>
        <w:t>Annex VI</w:t>
      </w:r>
      <w:r>
        <w:rPr>
          <w:noProof/>
        </w:rPr>
        <w:t xml:space="preserve"> of the TEN-E Regulation introduced the obligation for p</w:t>
      </w:r>
      <w:r>
        <w:rPr>
          <w:noProof/>
        </w:rPr>
        <w:t>roject promoters to conduct at least one public consultation to inform stakeholders and help to identify the most suitable location or routing for the project. The provisions further called on project promoters to establish and regularly update a website w</w:t>
      </w:r>
      <w:r>
        <w:rPr>
          <w:noProof/>
        </w:rPr>
        <w:t xml:space="preserve">ith relevant information regarding project’s consultation planning, status of the implementation progress and contact details in view of conveying comments and possible objections. Open access to information such as the economic and social benefits, costs </w:t>
      </w:r>
      <w:r>
        <w:rPr>
          <w:noProof/>
        </w:rPr>
        <w:t xml:space="preserve">or environmental impact of projects and early consultation of those affected was sought to address concerns and increase acceptance of the PCIs. </w:t>
      </w:r>
    </w:p>
    <w:p w:rsidR="00B60846" w:rsidRDefault="008069FF">
      <w:pPr>
        <w:pStyle w:val="Text2"/>
        <w:ind w:left="0"/>
        <w:rPr>
          <w:noProof/>
        </w:rPr>
      </w:pPr>
      <w:r>
        <w:rPr>
          <w:noProof/>
        </w:rPr>
        <w:t>Whilst the majority of stakeholders’ confirmed the increased awareness of the projects thanks to the provision</w:t>
      </w:r>
      <w:r>
        <w:rPr>
          <w:noProof/>
        </w:rPr>
        <w:t>s introduced by the Regulation, they did not consider that it would necessarily lead to public acceptance. It was also reported that the websites of some PCIs provide limited or outdated information and are often unclear whether or to which extent the inpu</w:t>
      </w:r>
      <w:r>
        <w:rPr>
          <w:noProof/>
        </w:rPr>
        <w:t xml:space="preserve">t from the local community was taken into account. While the consulting the public is considered to be an important and necessary tool, there is a considerable room for improvement in order to ensure the transparency and legitimacy of the process.  </w:t>
      </w:r>
    </w:p>
    <w:p w:rsidR="00B60846" w:rsidRDefault="008069FF">
      <w:pPr>
        <w:pStyle w:val="Text2"/>
        <w:ind w:left="0"/>
        <w:rPr>
          <w:iCs/>
          <w:noProof/>
        </w:rPr>
      </w:pPr>
      <w:r>
        <w:rPr>
          <w:noProof/>
        </w:rPr>
        <w:t>By increasing oversight of the obligation to ensure transparency of PCIs through monitoring within the Regional Groups, the project promoters are incentivized to provide open access to updated and transparent information on the key aspects of PCI implement</w:t>
      </w:r>
      <w:r>
        <w:rPr>
          <w:noProof/>
        </w:rPr>
        <w:t xml:space="preserve">ation.  </w:t>
      </w:r>
    </w:p>
    <w:p w:rsidR="00B60846" w:rsidRDefault="008069FF">
      <w:pPr>
        <w:pStyle w:val="Text2"/>
        <w:ind w:left="0"/>
        <w:rPr>
          <w:noProof/>
        </w:rPr>
      </w:pPr>
      <w:r>
        <w:rPr>
          <w:noProof/>
        </w:rPr>
        <w:t xml:space="preserve"> Recent studies</w:t>
      </w:r>
      <w:r>
        <w:rPr>
          <w:rStyle w:val="FootnoteReference"/>
          <w:noProof/>
        </w:rPr>
        <w:footnoteReference w:id="166"/>
      </w:r>
      <w:r>
        <w:rPr>
          <w:rStyle w:val="FootnoteReference"/>
          <w:noProof/>
        </w:rPr>
        <w:footnoteReference w:id="167"/>
      </w:r>
      <w:r>
        <w:rPr>
          <w:noProof/>
        </w:rPr>
        <w:t xml:space="preserve"> found an important connection between the early involvement of the public in energy infrastructure planning and lower opposition to projects because of an improved understanding of the infrastructure needs. Transparent and access</w:t>
      </w:r>
      <w:r>
        <w:rPr>
          <w:noProof/>
        </w:rPr>
        <w:t>ible information about the need for new energy infrastructure at a European grid level can contribute to reducing public opposition</w:t>
      </w:r>
      <w:r>
        <w:rPr>
          <w:rStyle w:val="FootnoteReference"/>
          <w:noProof/>
        </w:rPr>
        <w:footnoteReference w:id="168"/>
      </w:r>
      <w:r>
        <w:rPr>
          <w:noProof/>
        </w:rPr>
        <w:t>.</w:t>
      </w:r>
    </w:p>
    <w:p w:rsidR="00B60846" w:rsidRDefault="008069FF">
      <w:pPr>
        <w:pStyle w:val="Text2"/>
        <w:ind w:left="0"/>
        <w:rPr>
          <w:noProof/>
        </w:rPr>
      </w:pPr>
      <w:r>
        <w:rPr>
          <w:noProof/>
        </w:rPr>
        <w:t>In their third report on “Public engagement and acceptance in the planning and implementation of European electricity inte</w:t>
      </w:r>
      <w:r>
        <w:rPr>
          <w:noProof/>
        </w:rPr>
        <w:t>rconnectors”</w:t>
      </w:r>
      <w:r>
        <w:rPr>
          <w:noProof/>
          <w:vertAlign w:val="superscript"/>
        </w:rPr>
        <w:footnoteReference w:id="169"/>
      </w:r>
      <w:r>
        <w:rPr>
          <w:noProof/>
        </w:rPr>
        <w:t xml:space="preserve"> the Commission Expert Group on electricity interconnection targets found that early engagement could turn opposition into an opportunity for transparency and information over costs and benefits of different alternatives. Coupled with a two-wa</w:t>
      </w:r>
      <w:r>
        <w:rPr>
          <w:noProof/>
        </w:rPr>
        <w:t xml:space="preserve">y dialogue on what technical solutions can be accepted at the local level and promoter's flexibility for adjustments, stakeholder participation can be turned into an active process delivering better and more accepted project. Best practices show that full </w:t>
      </w:r>
      <w:r>
        <w:rPr>
          <w:noProof/>
        </w:rPr>
        <w:t>transparency and involvement of local communities, activists and non-governmental associations deliver collaborative solutions on the ground that mitigate the environmental impacts of projects.</w:t>
      </w:r>
    </w:p>
    <w:p w:rsidR="00B60846" w:rsidRDefault="008069FF">
      <w:pPr>
        <w:pStyle w:val="Text2"/>
        <w:ind w:left="0"/>
        <w:rPr>
          <w:noProof/>
        </w:rPr>
      </w:pPr>
      <w:r>
        <w:rPr>
          <w:noProof/>
        </w:rPr>
        <w:t>Opposition from local communities affected by PCIs hinders the</w:t>
      </w:r>
      <w:r>
        <w:rPr>
          <w:noProof/>
        </w:rPr>
        <w:t xml:space="preserve"> delivery of their intended economic and market efficiency benefits to society.</w:t>
      </w:r>
    </w:p>
    <w:p w:rsidR="00B60846" w:rsidRDefault="008069FF">
      <w:pPr>
        <w:pStyle w:val="DefaultText"/>
        <w:jc w:val="both"/>
        <w:rPr>
          <w:rFonts w:eastAsia="Times New Roman"/>
          <w:i/>
          <w:noProof/>
          <w:lang w:eastAsia="en-US"/>
        </w:rPr>
      </w:pPr>
      <w:r>
        <w:rPr>
          <w:noProof/>
        </w:rPr>
        <w:t>The results of the evaluation confirmed stakeholders’ opinion that the transparency and public participation provisions of the Regulation proved to be a valuable instrument for</w:t>
      </w:r>
      <w:r>
        <w:rPr>
          <w:noProof/>
        </w:rPr>
        <w:t xml:space="preserve"> building connections with local communities and potentially affected groups and increased the opportunities for the public to be informed and participate in the PCI permitting process. Increased transparency of decision-making processes coupled with meani</w:t>
      </w:r>
      <w:r>
        <w:rPr>
          <w:noProof/>
        </w:rPr>
        <w:t xml:space="preserve">ngful consultations create new opportunities for stakeholder engagement that carefully consider and address opinions, concerns and needs of citizens and impacted communities. </w:t>
      </w:r>
      <w:r>
        <w:rPr>
          <w:rFonts w:eastAsia="Times New Roman"/>
          <w:i/>
          <w:iCs/>
          <w:noProof/>
          <w:lang w:eastAsia="en-US"/>
        </w:rPr>
        <w:t>Administrative burden</w:t>
      </w:r>
    </w:p>
    <w:p w:rsidR="00B60846" w:rsidRDefault="00B60846">
      <w:pPr>
        <w:pStyle w:val="DefaultText"/>
        <w:jc w:val="both"/>
        <w:rPr>
          <w:rFonts w:eastAsia="Times New Roman"/>
          <w:noProof/>
          <w:szCs w:val="20"/>
          <w:lang w:eastAsia="en-US"/>
        </w:rPr>
      </w:pPr>
    </w:p>
    <w:p w:rsidR="00B60846" w:rsidRDefault="008069FF">
      <w:pPr>
        <w:rPr>
          <w:noProof/>
        </w:rPr>
      </w:pPr>
      <w:r>
        <w:rPr>
          <w:noProof/>
        </w:rPr>
        <w:t>The policy option would not add to the existing administra</w:t>
      </w:r>
      <w:r>
        <w:rPr>
          <w:noProof/>
        </w:rPr>
        <w:t xml:space="preserve">tive burden associated with the TEN-E compliance for project promoters, estimated at 1.5 FTE based on the available information from the evaluation and stakeholder contributions. </w:t>
      </w:r>
    </w:p>
    <w:p w:rsidR="00B60846" w:rsidRDefault="008069FF">
      <w:pPr>
        <w:pStyle w:val="DefaultText"/>
        <w:jc w:val="both"/>
        <w:rPr>
          <w:rFonts w:eastAsia="Times New Roman"/>
          <w:noProof/>
          <w:lang w:eastAsia="en-US"/>
        </w:rPr>
      </w:pPr>
      <w:r>
        <w:rPr>
          <w:rFonts w:eastAsia="Times New Roman"/>
          <w:noProof/>
          <w:lang w:eastAsia="en-US"/>
        </w:rPr>
        <w:t>As a general note, the majority of stakeholders consider the cost associated</w:t>
      </w:r>
      <w:r>
        <w:rPr>
          <w:rFonts w:eastAsia="Times New Roman"/>
          <w:noProof/>
          <w:lang w:eastAsia="en-US"/>
        </w:rPr>
        <w:t xml:space="preserve"> with the organisation of public participation activities as acceptable. </w:t>
      </w:r>
    </w:p>
    <w:p w:rsidR="00B60846" w:rsidRDefault="00B60846">
      <w:pPr>
        <w:pStyle w:val="DefaultText"/>
        <w:jc w:val="both"/>
        <w:rPr>
          <w:rFonts w:eastAsia="Times New Roman"/>
          <w:noProof/>
          <w:lang w:eastAsia="en-US"/>
        </w:rPr>
      </w:pPr>
    </w:p>
    <w:p w:rsidR="00B60846" w:rsidRDefault="008069FF">
      <w:pPr>
        <w:pStyle w:val="Heading2"/>
        <w:numPr>
          <w:ilvl w:val="1"/>
          <w:numId w:val="0"/>
        </w:numPr>
        <w:rPr>
          <w:noProof/>
        </w:rPr>
      </w:pPr>
      <w:bookmarkStart w:id="1431" w:name="_Toc51168595"/>
      <w:bookmarkStart w:id="1432" w:name="_Toc51169084"/>
      <w:bookmarkStart w:id="1433" w:name="_Toc51231578"/>
      <w:bookmarkStart w:id="1434" w:name="_Toc51235514"/>
      <w:bookmarkStart w:id="1435" w:name="_Toc51237303"/>
      <w:bookmarkStart w:id="1436" w:name="_Toc51238689"/>
      <w:bookmarkStart w:id="1437" w:name="_Toc51239414"/>
      <w:bookmarkStart w:id="1438" w:name="_Toc51245191"/>
      <w:bookmarkStart w:id="1439" w:name="_Toc51268831"/>
      <w:bookmarkStart w:id="1440" w:name="_Toc51268938"/>
      <w:bookmarkStart w:id="1441" w:name="_Toc51346846"/>
      <w:bookmarkStart w:id="1442" w:name="_Toc51350425"/>
      <w:bookmarkStart w:id="1443" w:name="_Toc51760956"/>
      <w:bookmarkStart w:id="1444" w:name="_Toc51788325"/>
      <w:bookmarkStart w:id="1445" w:name="_Toc51791863"/>
      <w:bookmarkStart w:id="1446" w:name="_Toc51793295"/>
      <w:bookmarkStart w:id="1447" w:name="_Toc51879110"/>
      <w:bookmarkStart w:id="1448" w:name="_Toc55155688"/>
      <w:bookmarkStart w:id="1449" w:name="_Toc55290995"/>
      <w:bookmarkStart w:id="1450" w:name="_Toc55296687"/>
      <w:bookmarkStart w:id="1451" w:name="_Toc55496498"/>
      <w:r>
        <w:rPr>
          <w:noProof/>
        </w:rPr>
        <w:t>Regulation</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rsidR="00B60846" w:rsidRDefault="008069FF">
      <w:pPr>
        <w:tabs>
          <w:tab w:val="clear" w:pos="2302"/>
        </w:tabs>
        <w:spacing w:after="200" w:line="276" w:lineRule="auto"/>
        <w:rPr>
          <w:rFonts w:eastAsiaTheme="minorEastAsia"/>
          <w:b/>
          <w:noProof/>
        </w:rPr>
      </w:pPr>
      <w:r>
        <w:rPr>
          <w:rFonts w:eastAsiaTheme="minorEastAsia"/>
          <w:b/>
          <w:bCs/>
          <w:noProof/>
        </w:rPr>
        <w:t xml:space="preserve">Option D.1.2: </w:t>
      </w:r>
      <w:r>
        <w:rPr>
          <w:rFonts w:eastAsiaTheme="minorEastAsia"/>
          <w:b/>
          <w:noProof/>
        </w:rPr>
        <w:t>P</w:t>
      </w:r>
      <w:r>
        <w:rPr>
          <w:rFonts w:eastAsiaTheme="minorEastAsia"/>
          <w:b/>
          <w:bCs/>
          <w:noProof/>
        </w:rPr>
        <w:t>ossibility for smart grids projects to obtain a CBCA</w:t>
      </w:r>
    </w:p>
    <w:p w:rsidR="00B60846" w:rsidRDefault="008069FF">
      <w:pPr>
        <w:rPr>
          <w:rFonts w:eastAsiaTheme="minorEastAsia"/>
          <w:noProof/>
        </w:rPr>
      </w:pPr>
      <w:r>
        <w:rPr>
          <w:rFonts w:eastAsiaTheme="minorEastAsia"/>
          <w:noProof/>
        </w:rPr>
        <w:t>This option would introduce the possibility to obtain a CBCA for smart grids projects. Such a provisio</w:t>
      </w:r>
      <w:r>
        <w:rPr>
          <w:rFonts w:eastAsiaTheme="minorEastAsia"/>
          <w:noProof/>
        </w:rPr>
        <w:t xml:space="preserve">n was supported by stakeholders as it would help smart grid projects that encounter issues with splitting costs across borders. </w:t>
      </w:r>
    </w:p>
    <w:p w:rsidR="00B60846" w:rsidRDefault="008069FF">
      <w:pPr>
        <w:rPr>
          <w:rFonts w:eastAsiaTheme="minorEastAsia"/>
          <w:noProof/>
          <w:u w:val="single"/>
        </w:rPr>
      </w:pPr>
      <w:r>
        <w:rPr>
          <w:rFonts w:eastAsiaTheme="minorEastAsia"/>
          <w:noProof/>
          <w:u w:val="single"/>
        </w:rPr>
        <w:t>Assessment:</w:t>
      </w:r>
    </w:p>
    <w:p w:rsidR="00B60846" w:rsidRDefault="008069FF">
      <w:pPr>
        <w:pStyle w:val="Text2"/>
        <w:ind w:left="0"/>
        <w:rPr>
          <w:b/>
          <w:bCs/>
          <w:noProof/>
        </w:rPr>
      </w:pPr>
      <w:r>
        <w:rPr>
          <w:b/>
          <w:bCs/>
          <w:noProof/>
        </w:rPr>
        <w:t>Option D.1.2: Possibility for smart grids projects to obtain a CBCA</w:t>
      </w:r>
    </w:p>
    <w:p w:rsidR="00B60846" w:rsidRDefault="008069FF">
      <w:pPr>
        <w:pStyle w:val="Text2"/>
        <w:ind w:left="0"/>
        <w:rPr>
          <w:noProof/>
        </w:rPr>
      </w:pPr>
      <w:r>
        <w:rPr>
          <w:noProof/>
        </w:rPr>
        <w:t xml:space="preserve">This option will benefit smart grids projects </w:t>
      </w:r>
      <w:r>
        <w:rPr>
          <w:noProof/>
        </w:rPr>
        <w:t>that may have an issue in splitting costs across borders and where this would be necessary. However, due to the nature of such projects, there are not many smart grids projects that will encounter this issue and might require a CBCA, therefore the impact o</w:t>
      </w:r>
      <w:r>
        <w:rPr>
          <w:noProof/>
        </w:rPr>
        <w:t>f the option is not so high overall. The option will enable and accelerate the implementation of some smart grids projects, but there are no data to assess how many these would be. The option, nevertheless, could be easily implemented and does not bring an</w:t>
      </w:r>
      <w:r>
        <w:rPr>
          <w:noProof/>
        </w:rPr>
        <w:t>y costs or administrative burden, being therefore a no regret option.</w:t>
      </w:r>
    </w:p>
    <w:p w:rsidR="00B60846" w:rsidRDefault="008069FF">
      <w:pPr>
        <w:pStyle w:val="Text2"/>
        <w:ind w:left="0"/>
        <w:rPr>
          <w:b/>
          <w:noProof/>
        </w:rPr>
      </w:pPr>
      <w:r>
        <w:rPr>
          <w:b/>
          <w:noProof/>
        </w:rPr>
        <w:t xml:space="preserve">Option D.1.3. Clarifying CBCA provisions </w:t>
      </w:r>
    </w:p>
    <w:p w:rsidR="00B60846" w:rsidRDefault="008069FF">
      <w:pPr>
        <w:pStyle w:val="Text2"/>
        <w:ind w:left="0"/>
        <w:rPr>
          <w:noProof/>
        </w:rPr>
      </w:pPr>
      <w:r>
        <w:rPr>
          <w:noProof/>
        </w:rPr>
        <w:t xml:space="preserve">This option aims at the clarification and clarification of the CBCA procedure with the aim of ensuring consistency between CBCA decision and </w:t>
      </w:r>
      <w:r>
        <w:rPr>
          <w:noProof/>
        </w:rPr>
        <w:t>their more extensive use. The following elements are proposed to be implemented:</w:t>
      </w:r>
    </w:p>
    <w:p w:rsidR="00B60846" w:rsidRDefault="008069FF">
      <w:pPr>
        <w:pStyle w:val="ListParagraph"/>
        <w:numPr>
          <w:ilvl w:val="8"/>
          <w:numId w:val="3"/>
        </w:numPr>
        <w:tabs>
          <w:tab w:val="clear" w:pos="2302"/>
          <w:tab w:val="clear" w:pos="3720"/>
          <w:tab w:val="num" w:pos="0"/>
        </w:tabs>
        <w:ind w:left="0" w:firstLine="0"/>
        <w:rPr>
          <w:rFonts w:eastAsiaTheme="minorEastAsia"/>
          <w:noProof/>
        </w:rPr>
      </w:pPr>
      <w:r>
        <w:rPr>
          <w:rFonts w:eastAsiaTheme="minorEastAsia"/>
          <w:noProof/>
        </w:rPr>
        <w:t>Clarify the notions that are currently either not defined in the TEN-E Regulation or that have led to differences in interpretation</w:t>
      </w:r>
      <w:r>
        <w:rPr>
          <w:rFonts w:eastAsiaTheme="minorEastAsia"/>
          <w:noProof/>
          <w:vertAlign w:val="superscript"/>
        </w:rPr>
        <w:footnoteReference w:id="170"/>
      </w:r>
      <w:r>
        <w:rPr>
          <w:rFonts w:eastAsiaTheme="minorEastAsia"/>
          <w:noProof/>
        </w:rPr>
        <w:t xml:space="preserve">, </w:t>
      </w:r>
    </w:p>
    <w:p w:rsidR="00B60846" w:rsidRDefault="008069FF">
      <w:pPr>
        <w:pStyle w:val="Text2"/>
        <w:numPr>
          <w:ilvl w:val="8"/>
          <w:numId w:val="3"/>
        </w:numPr>
        <w:tabs>
          <w:tab w:val="clear" w:pos="2302"/>
          <w:tab w:val="clear" w:pos="3720"/>
          <w:tab w:val="left" w:pos="0"/>
          <w:tab w:val="num" w:pos="142"/>
        </w:tabs>
        <w:ind w:left="0" w:firstLine="0"/>
        <w:rPr>
          <w:noProof/>
        </w:rPr>
      </w:pPr>
      <w:r>
        <w:rPr>
          <w:noProof/>
        </w:rPr>
        <w:t>Require that the project promoters use t</w:t>
      </w:r>
      <w:r>
        <w:rPr>
          <w:noProof/>
        </w:rPr>
        <w:t xml:space="preserve">he same scenario for their CBA part of investment request as the one used in the PCI selection process and that they update the CBA with the latest developments regarding the project. </w:t>
      </w:r>
    </w:p>
    <w:p w:rsidR="00B60846" w:rsidRDefault="008069FF">
      <w:pPr>
        <w:pStyle w:val="Text2"/>
        <w:numPr>
          <w:ilvl w:val="8"/>
          <w:numId w:val="3"/>
        </w:numPr>
        <w:tabs>
          <w:tab w:val="clear" w:pos="2302"/>
          <w:tab w:val="clear" w:pos="3720"/>
          <w:tab w:val="num" w:pos="0"/>
        </w:tabs>
        <w:ind w:left="0" w:firstLine="0"/>
        <w:rPr>
          <w:noProof/>
        </w:rPr>
      </w:pPr>
      <w:r>
        <w:rPr>
          <w:noProof/>
        </w:rPr>
        <w:t xml:space="preserve">Moreover, in the context of the offshore renewable energy development, </w:t>
      </w:r>
      <w:r>
        <w:rPr>
          <w:noProof/>
        </w:rPr>
        <w:t>the need to coordinate the CBCA for the infrastructure projects with the financing, market and political arrangements of the generation projects was discussed extensively by stakeholders as well as Member States. In order to address this, the Commission co</w:t>
      </w:r>
      <w:r>
        <w:rPr>
          <w:noProof/>
        </w:rPr>
        <w:t>uld issue a binding guidance in the form of an implementing regulation on how the CBCA process could be coordinated with the development of the generation projects. As part of this guidance, the Commission could also include detailed rules as regards the C</w:t>
      </w:r>
      <w:r>
        <w:rPr>
          <w:noProof/>
        </w:rPr>
        <w:t xml:space="preserve">BCA procedure in general (similar as the current ACER Guidelines). This would end the discussion on the selective application of these Guidelines, which are currently not legally binding. </w:t>
      </w:r>
    </w:p>
    <w:p w:rsidR="00B60846" w:rsidRDefault="008069FF">
      <w:pPr>
        <w:pStyle w:val="Text2"/>
        <w:tabs>
          <w:tab w:val="clear" w:pos="2302"/>
          <w:tab w:val="left" w:pos="0"/>
        </w:tabs>
        <w:ind w:left="0"/>
        <w:rPr>
          <w:noProof/>
        </w:rPr>
      </w:pPr>
      <w:r>
        <w:rPr>
          <w:noProof/>
        </w:rPr>
        <w:t xml:space="preserve">Assessment: </w:t>
      </w:r>
    </w:p>
    <w:p w:rsidR="00B60846" w:rsidRDefault="008069FF">
      <w:pPr>
        <w:pStyle w:val="Text2"/>
        <w:ind w:left="0"/>
        <w:rPr>
          <w:i/>
          <w:noProof/>
        </w:rPr>
      </w:pPr>
      <w:r>
        <w:rPr>
          <w:i/>
          <w:iCs/>
          <w:noProof/>
        </w:rPr>
        <w:t xml:space="preserve">Environmental impacts </w:t>
      </w:r>
    </w:p>
    <w:p w:rsidR="00B60846" w:rsidRDefault="008069FF">
      <w:pPr>
        <w:pStyle w:val="Text2"/>
        <w:ind w:left="0"/>
        <w:rPr>
          <w:noProof/>
        </w:rPr>
      </w:pPr>
      <w:r>
        <w:rPr>
          <w:noProof/>
        </w:rPr>
        <w:t>CBCA procedure enables the impl</w:t>
      </w:r>
      <w:r>
        <w:rPr>
          <w:noProof/>
        </w:rPr>
        <w:t>ementation of PCIs, which have benefits across-borders. In principle, clarifying the CBCA provisions should not have direct environmental impacts.</w:t>
      </w:r>
    </w:p>
    <w:p w:rsidR="00B60846" w:rsidRDefault="008069FF">
      <w:pPr>
        <w:pStyle w:val="Text2"/>
        <w:ind w:left="0"/>
        <w:rPr>
          <w:i/>
          <w:iCs/>
          <w:noProof/>
        </w:rPr>
      </w:pPr>
      <w:r>
        <w:rPr>
          <w:i/>
          <w:iCs/>
          <w:noProof/>
        </w:rPr>
        <w:t>Economic and financial impacts</w:t>
      </w:r>
    </w:p>
    <w:p w:rsidR="00B60846" w:rsidRDefault="008069FF">
      <w:pPr>
        <w:pStyle w:val="Text2"/>
        <w:ind w:left="0"/>
        <w:rPr>
          <w:i/>
          <w:noProof/>
        </w:rPr>
      </w:pPr>
      <w:r>
        <w:rPr>
          <w:noProof/>
        </w:rPr>
        <w:t>The clarification of the provisions regarding the CBCA procedure will enable a</w:t>
      </w:r>
      <w:r>
        <w:rPr>
          <w:noProof/>
        </w:rPr>
        <w:t xml:space="preserve"> more extensive and enhanced use of the CBCA procedure for allocating costs across borders. This will enable the swifter implementation of projects, which will bring benefits sooner.</w:t>
      </w:r>
    </w:p>
    <w:p w:rsidR="00B60846" w:rsidRDefault="008069FF">
      <w:pPr>
        <w:rPr>
          <w:noProof/>
        </w:rPr>
      </w:pPr>
      <w:r>
        <w:rPr>
          <w:noProof/>
        </w:rPr>
        <w:t>The impact of a Commission guidance on how the CBCA process could be coor</w:t>
      </w:r>
      <w:r>
        <w:rPr>
          <w:noProof/>
        </w:rPr>
        <w:t>dinated with the development of the generation projects in an offshore context that would include also detailed rules as regards the CBCA procedure in general (similar as the current ACER Guidelines) is two-fold. One type of impact refers to bringing clari</w:t>
      </w:r>
      <w:r>
        <w:rPr>
          <w:noProof/>
        </w:rPr>
        <w:t>ty and simplifying the CBCA procedure by making binding certain rules that have been selectively applied so far. The second type of impact regards the clarification of the complex process for the development of offshore hybrid assets which comprise interco</w:t>
      </w:r>
      <w:r>
        <w:rPr>
          <w:noProof/>
        </w:rPr>
        <w:t>nnectors and generation parks connected to such interconnectors. While the assets themselves are subject to different types of legal regimes and manner of functioning, all their afferent regulatory, financial and market aspects are deeply interrelated. The</w:t>
      </w:r>
      <w:r>
        <w:rPr>
          <w:noProof/>
        </w:rPr>
        <w:t>refore, clarity is necessary on how to deal with overlapping benefits and costs for the two types of assets in order to ensure the creation of a net benefit for the various involved parties and to advance their development. The elaboration and issuing of t</w:t>
      </w:r>
      <w:r>
        <w:rPr>
          <w:noProof/>
        </w:rPr>
        <w:t>he guidance brings administrative burden for the Commission, but helps ease considerably the burden on project promoters, RES generation developers and Member States, while also helping to reach the offshore RES potential of the EU.</w:t>
      </w:r>
    </w:p>
    <w:p w:rsidR="00B60846" w:rsidRDefault="008069FF">
      <w:pPr>
        <w:pStyle w:val="Text2"/>
        <w:ind w:left="0"/>
        <w:rPr>
          <w:i/>
          <w:noProof/>
        </w:rPr>
      </w:pPr>
      <w:r>
        <w:rPr>
          <w:i/>
          <w:iCs/>
          <w:noProof/>
        </w:rPr>
        <w:t>Social impacts</w:t>
      </w:r>
    </w:p>
    <w:p w:rsidR="00B60846" w:rsidRDefault="008069FF">
      <w:pPr>
        <w:pStyle w:val="Text2"/>
        <w:ind w:left="0"/>
        <w:rPr>
          <w:noProof/>
        </w:rPr>
      </w:pPr>
      <w:r>
        <w:rPr>
          <w:noProof/>
        </w:rPr>
        <w:t>The CBCA</w:t>
      </w:r>
      <w:r>
        <w:rPr>
          <w:noProof/>
        </w:rPr>
        <w:t xml:space="preserve"> will enable the realization of PCIs and, in turn, the benefits of such projects as identified in the CBA. This would also be taken into account for possible CEF financial assistance. The full extent of such benefits cannot be estimated as there are no dat</w:t>
      </w:r>
      <w:r>
        <w:rPr>
          <w:noProof/>
        </w:rPr>
        <w:t>a available, however, the example of costs of delay, as described above in the assessment of Option C.1.1, remains a good indication.</w:t>
      </w:r>
      <w:r>
        <w:rPr>
          <w:rStyle w:val="FootnoteReference"/>
          <w:noProof/>
        </w:rPr>
        <w:footnoteReference w:id="171"/>
      </w:r>
    </w:p>
    <w:p w:rsidR="00B60846" w:rsidRDefault="008069FF">
      <w:pPr>
        <w:pStyle w:val="Text2"/>
        <w:ind w:left="0"/>
        <w:rPr>
          <w:i/>
          <w:noProof/>
        </w:rPr>
      </w:pPr>
      <w:r>
        <w:rPr>
          <w:i/>
          <w:iCs/>
          <w:noProof/>
        </w:rPr>
        <w:t xml:space="preserve">Administrative burden </w:t>
      </w:r>
    </w:p>
    <w:p w:rsidR="00B60846" w:rsidRDefault="008069FF">
      <w:pPr>
        <w:pStyle w:val="Text2"/>
        <w:ind w:left="0"/>
        <w:rPr>
          <w:noProof/>
        </w:rPr>
      </w:pPr>
      <w:r>
        <w:rPr>
          <w:noProof/>
        </w:rPr>
        <w:t>According to the stakeholder consultation, the costs for NRAs as a result of TEN-E are low the mai</w:t>
      </w:r>
      <w:r>
        <w:rPr>
          <w:noProof/>
        </w:rPr>
        <w:t>n cost driver is the CBCA process. For most NRAs less than 1 FTE is estimated to be currently involved</w:t>
      </w:r>
      <w:r>
        <w:rPr>
          <w:rStyle w:val="FootnoteReference"/>
          <w:noProof/>
        </w:rPr>
        <w:footnoteReference w:id="172"/>
      </w:r>
      <w:r>
        <w:rPr>
          <w:noProof/>
        </w:rPr>
        <w:t>.</w:t>
      </w:r>
    </w:p>
    <w:p w:rsidR="00B60846" w:rsidRDefault="008069FF">
      <w:pPr>
        <w:pStyle w:val="Text2"/>
        <w:ind w:left="0"/>
        <w:rPr>
          <w:noProof/>
        </w:rPr>
      </w:pPr>
      <w:r>
        <w:rPr>
          <w:noProof/>
        </w:rPr>
        <w:t>This option increases the administrative burden for project promoters as they will have to update their CBA, but decreases the administrative burden fo</w:t>
      </w:r>
      <w:r>
        <w:rPr>
          <w:noProof/>
        </w:rPr>
        <w:t>r NRAs who will have more straightforward procedures to follow.</w:t>
      </w:r>
    </w:p>
    <w:p w:rsidR="00B60846" w:rsidRDefault="008069FF">
      <w:pPr>
        <w:pStyle w:val="Text2"/>
        <w:tabs>
          <w:tab w:val="clear" w:pos="2302"/>
          <w:tab w:val="left" w:pos="0"/>
        </w:tabs>
        <w:ind w:left="0"/>
        <w:rPr>
          <w:b/>
          <w:noProof/>
        </w:rPr>
      </w:pPr>
      <w:r>
        <w:rPr>
          <w:b/>
          <w:noProof/>
        </w:rPr>
        <w:t xml:space="preserve">Option D.1.4. Updating investment incentives  </w:t>
      </w:r>
    </w:p>
    <w:p w:rsidR="00B60846" w:rsidRDefault="008069FF">
      <w:pPr>
        <w:pStyle w:val="Text2"/>
        <w:tabs>
          <w:tab w:val="clear" w:pos="2302"/>
          <w:tab w:val="left" w:pos="0"/>
        </w:tabs>
        <w:ind w:left="0"/>
        <w:rPr>
          <w:noProof/>
        </w:rPr>
      </w:pPr>
      <w:r>
        <w:rPr>
          <w:noProof/>
        </w:rPr>
        <w:t>In order to increase the impact of the investment incentives provisions and make them more operational, in particular for offshore wind related i</w:t>
      </w:r>
      <w:r>
        <w:rPr>
          <w:noProof/>
        </w:rPr>
        <w:t>nfrastructure projects, a specific reference could be included in the legislation mentioning hybrid offshore infrastructure, (which is likely to incur the highest risks, compared to the radial connection or internal lines) as high risk projects. In additio</w:t>
      </w:r>
      <w:r>
        <w:rPr>
          <w:noProof/>
        </w:rPr>
        <w:t>n, an obligation for NRAs to update their manual on investment incentives and include a specific chapter for offshore assets could be inserted (minimum requirements for such a manual could be included in an Annex to the revised TEN-E) as well as an obligat</w:t>
      </w:r>
      <w:r>
        <w:rPr>
          <w:noProof/>
        </w:rPr>
        <w:t>ion to update the manual as regards OPEX intensive projects.</w:t>
      </w:r>
    </w:p>
    <w:p w:rsidR="00B60846" w:rsidRDefault="008069FF">
      <w:pPr>
        <w:pStyle w:val="Text2"/>
        <w:ind w:left="0"/>
        <w:rPr>
          <w:noProof/>
        </w:rPr>
      </w:pPr>
      <w:r>
        <w:rPr>
          <w:noProof/>
        </w:rPr>
        <w:t xml:space="preserve">Assessment: </w:t>
      </w:r>
    </w:p>
    <w:p w:rsidR="00B60846" w:rsidRDefault="008069FF">
      <w:pPr>
        <w:pStyle w:val="Text2"/>
        <w:ind w:left="0"/>
        <w:rPr>
          <w:noProof/>
        </w:rPr>
      </w:pPr>
      <w:r>
        <w:rPr>
          <w:noProof/>
        </w:rPr>
        <w:t>A stable regulatory environment created for a project with full regulatory coverage is a pre-requisite</w:t>
      </w:r>
      <w:r>
        <w:rPr>
          <w:rStyle w:val="FootnoteReference"/>
          <w:noProof/>
        </w:rPr>
        <w:footnoteReference w:id="173"/>
      </w:r>
      <w:r>
        <w:rPr>
          <w:noProof/>
        </w:rPr>
        <w:t xml:space="preserve"> for any project in order for it to have explored both market based financing s</w:t>
      </w:r>
      <w:r>
        <w:rPr>
          <w:noProof/>
        </w:rPr>
        <w:t>olutions and regulatory solutions. The use of investment incentives is very relevant in this context as they could assist with the adjustment of the regulatory framework necessary for the development of certain higher risk projects.</w:t>
      </w:r>
    </w:p>
    <w:p w:rsidR="00B60846" w:rsidRDefault="008069FF">
      <w:pPr>
        <w:tabs>
          <w:tab w:val="clear" w:pos="2302"/>
        </w:tabs>
        <w:spacing w:after="200" w:line="276" w:lineRule="auto"/>
        <w:jc w:val="left"/>
        <w:rPr>
          <w:noProof/>
        </w:rPr>
      </w:pPr>
      <w:r>
        <w:rPr>
          <w:noProof/>
        </w:rPr>
        <w:br w:type="page"/>
      </w:r>
    </w:p>
    <w:p w:rsidR="00B60846" w:rsidRDefault="008069FF">
      <w:pPr>
        <w:pStyle w:val="Heading1"/>
        <w:numPr>
          <w:ilvl w:val="0"/>
          <w:numId w:val="0"/>
        </w:numPr>
        <w:ind w:left="432" w:hanging="432"/>
        <w:rPr>
          <w:noProof/>
        </w:rPr>
      </w:pPr>
      <w:bookmarkStart w:id="1452" w:name="_Toc55496499"/>
      <w:r>
        <w:rPr>
          <w:noProof/>
        </w:rPr>
        <w:t xml:space="preserve">Annex 10: REFIT </w:t>
      </w:r>
      <w:r>
        <w:rPr>
          <w:noProof/>
        </w:rPr>
        <w:t>(simplification and improved efficiency)</w:t>
      </w:r>
      <w:bookmarkEnd w:id="1452"/>
      <w:r>
        <w:rPr>
          <w:noProof/>
        </w:rPr>
        <w:t xml:space="preserve"> </w:t>
      </w:r>
    </w:p>
    <w:p w:rsidR="00B60846" w:rsidRDefault="008069FF">
      <w:pPr>
        <w:rPr>
          <w:noProof/>
        </w:rPr>
      </w:pPr>
      <w:r>
        <w:rPr>
          <w:noProof/>
        </w:rPr>
        <w:t>In order to simplify and improve the efficiency of the TEN-E Regulation the following measures have been identified to reduce compliance and regulatory costs.</w:t>
      </w:r>
    </w:p>
    <w:p w:rsidR="00B60846" w:rsidRDefault="008069FF">
      <w:pPr>
        <w:pStyle w:val="ListParagraph"/>
        <w:numPr>
          <w:ilvl w:val="0"/>
          <w:numId w:val="30"/>
        </w:numPr>
        <w:rPr>
          <w:i/>
          <w:noProof/>
        </w:rPr>
      </w:pPr>
      <w:r>
        <w:rPr>
          <w:i/>
          <w:iCs/>
          <w:noProof/>
        </w:rPr>
        <w:t xml:space="preserve">Reduced reporting obligations </w:t>
      </w:r>
    </w:p>
    <w:p w:rsidR="00B60846" w:rsidRDefault="008069FF">
      <w:pPr>
        <w:rPr>
          <w:noProof/>
        </w:rPr>
      </w:pPr>
      <w:r>
        <w:rPr>
          <w:noProof/>
        </w:rPr>
        <w:t>Reporting and monitoring</w:t>
      </w:r>
      <w:r>
        <w:rPr>
          <w:noProof/>
        </w:rPr>
        <w:t xml:space="preserve"> serve to identify and tackle delays in the implementation of PCIs. Monitoring also allows the identification of the projects that are stalling without justified reasons and the projects do not comply with EU law or in relation to which false information w</w:t>
      </w:r>
      <w:r>
        <w:rPr>
          <w:noProof/>
        </w:rPr>
        <w:t>as provided. At the same time, monitoring and reporting serves to ensure transparency of the projects’ concept and development by also allowing the Commission maintained Transparency Platform to be regularly updated.</w:t>
      </w:r>
    </w:p>
    <w:p w:rsidR="00B60846" w:rsidRDefault="008069FF">
      <w:pPr>
        <w:rPr>
          <w:noProof/>
        </w:rPr>
      </w:pPr>
      <w:r>
        <w:rPr>
          <w:noProof/>
        </w:rPr>
        <w:t>However, some stakeholders were critica</w:t>
      </w:r>
      <w:r>
        <w:rPr>
          <w:noProof/>
        </w:rPr>
        <w:t xml:space="preserve">l of the monitoring and reporting mechanism under the TEN-E Regulation. On the one hand NGOs and the public mentioned that there is not enough transparency because the Transparency Platform is not always up to date regarding the status of the PCIs and PCI </w:t>
      </w:r>
      <w:r>
        <w:rPr>
          <w:noProof/>
        </w:rPr>
        <w:t>websites sometimes do not exist, are not updated or do not contain all the information required by the TEN-E Regulation. On the other hand, project promoters and competent authorities mentioned that the reporting obligations are too burdensome, as they hav</w:t>
      </w:r>
      <w:r>
        <w:rPr>
          <w:noProof/>
        </w:rPr>
        <w:t xml:space="preserve">e to report annually, maintain their websites continuously updated, but also answer constant requests for information from the Commission or ACER. </w:t>
      </w:r>
    </w:p>
    <w:p w:rsidR="00B60846" w:rsidRDefault="008069FF">
      <w:pPr>
        <w:rPr>
          <w:noProof/>
        </w:rPr>
      </w:pPr>
      <w:r>
        <w:rPr>
          <w:noProof/>
        </w:rPr>
        <w:t>While annual reporting by project promoters needs to be maintained to achieve the required transparency stan</w:t>
      </w:r>
      <w:r>
        <w:rPr>
          <w:noProof/>
        </w:rPr>
        <w:t>dards and allow the Regional Groups to tackle quickly any implementation issues that the projects may encounter, the annual report of the competent authorities could be transformed into input or additional information into the report of the project promote</w:t>
      </w:r>
      <w:r>
        <w:rPr>
          <w:noProof/>
        </w:rPr>
        <w:t>rs. In practice, the project promoters would draft their report, submit it to the relevant competent authorities in the Member States where the project is located. The competent authorities, would then add, without the possibility to amend, any relevant in</w:t>
      </w:r>
      <w:r>
        <w:rPr>
          <w:noProof/>
        </w:rPr>
        <w:t xml:space="preserve">formation they hold as regards the on the progress or delays in the implementation of the PCI and the reasons for such delays. The competent authorities would then transmit the report at the same time to ACER, the Regional Group and Commission. </w:t>
      </w:r>
    </w:p>
    <w:p w:rsidR="00B60846" w:rsidRDefault="008069FF">
      <w:pPr>
        <w:rPr>
          <w:noProof/>
        </w:rPr>
      </w:pPr>
      <w:r>
        <w:rPr>
          <w:noProof/>
        </w:rPr>
        <w:t>The Commis</w:t>
      </w:r>
      <w:r>
        <w:rPr>
          <w:noProof/>
        </w:rPr>
        <w:t>sion can use the information in the report to update the Transparency Platform. The Transparency Platform would also be regularly updated throughout the year by retrieving information from the project websites which (in line with the Option C.2.1 regarding</w:t>
      </w:r>
      <w:r>
        <w:rPr>
          <w:noProof/>
        </w:rPr>
        <w:t xml:space="preserve"> public participation) the project promoters would be obliged to keep continuously updated. The Transparency Platform could also have a feature that allows retrieving information on the status of the project at a certain point in time. This will allow the </w:t>
      </w:r>
      <w:r>
        <w:rPr>
          <w:noProof/>
        </w:rPr>
        <w:t xml:space="preserve">possibility to compare and assess the progress of the projects. </w:t>
      </w:r>
    </w:p>
    <w:p w:rsidR="00B60846" w:rsidRDefault="008069FF">
      <w:pPr>
        <w:rPr>
          <w:noProof/>
        </w:rPr>
      </w:pPr>
      <w:r>
        <w:rPr>
          <w:noProof/>
        </w:rPr>
        <w:t xml:space="preserve">Pursuing this measure would reduce costs and administrative burden for the project promoters, but in particular for competent authorities would not need to submit a separate report. The cost </w:t>
      </w:r>
      <w:r>
        <w:rPr>
          <w:noProof/>
        </w:rPr>
        <w:t>saving cannot be estimated as the relevant data are not available, but it is a recurrent cost saving.</w:t>
      </w:r>
    </w:p>
    <w:p w:rsidR="00B60846" w:rsidRDefault="008069FF">
      <w:pPr>
        <w:pStyle w:val="ListParagraph"/>
        <w:numPr>
          <w:ilvl w:val="0"/>
          <w:numId w:val="30"/>
        </w:numPr>
        <w:rPr>
          <w:i/>
          <w:noProof/>
        </w:rPr>
      </w:pPr>
      <w:r>
        <w:rPr>
          <w:i/>
          <w:iCs/>
          <w:noProof/>
        </w:rPr>
        <w:t>Reduced monitoring by ACER to once every two years</w:t>
      </w:r>
    </w:p>
    <w:p w:rsidR="00B60846" w:rsidRDefault="008069FF">
      <w:pPr>
        <w:rPr>
          <w:noProof/>
        </w:rPr>
      </w:pPr>
      <w:r>
        <w:rPr>
          <w:noProof/>
        </w:rPr>
        <w:t>According to the TEN-E Regulation, on the basis of the monitoring reports that the project promoters su</w:t>
      </w:r>
      <w:r>
        <w:rPr>
          <w:noProof/>
        </w:rPr>
        <w:t>bmit every year to ACER, it has to issue a monitoring report evaluating the progress achieved and make, where appropriate, recommendations on how to overcome the delays and difficulties encountered. However, these monitoring reports are used only once ever</w:t>
      </w:r>
      <w:r>
        <w:rPr>
          <w:noProof/>
        </w:rPr>
        <w:t>y two years with the occasion of the elaboration of the Union list of PCIs for evaluating their progress since the last Union list. PCIs that have not progressed and cannot objectively justify the lack of progress may not be included in the next Union list</w:t>
      </w:r>
      <w:r>
        <w:rPr>
          <w:noProof/>
        </w:rPr>
        <w:t>. Therefore, to simplify the reporting by ACER, their report could be issued once every two years, just in time for the Regional Groups, to take it into account for their assessment of the new PCI candidates</w:t>
      </w:r>
      <w:r>
        <w:rPr>
          <w:rStyle w:val="FootnoteReference"/>
          <w:noProof/>
        </w:rPr>
        <w:footnoteReference w:id="174"/>
      </w:r>
      <w:r>
        <w:rPr>
          <w:noProof/>
        </w:rPr>
        <w:t>. Since ACER’s report is actually used only once</w:t>
      </w:r>
      <w:r>
        <w:rPr>
          <w:noProof/>
        </w:rPr>
        <w:t xml:space="preserve"> every two years, this option could help simplify the monitoring obligations without any costs and without affecting the projects’ implementation. Moreover, pursuing this measure would reduce costs and administrative burden for ACER, for the members of the</w:t>
      </w:r>
      <w:r>
        <w:rPr>
          <w:noProof/>
        </w:rPr>
        <w:t xml:space="preserve"> Regional Groups and the Commission. The cost saving has been estimated at 0.4 FTE per year.</w:t>
      </w:r>
    </w:p>
    <w:p w:rsidR="00B60846" w:rsidRDefault="008069FF">
      <w:pPr>
        <w:pStyle w:val="ListParagraph"/>
        <w:numPr>
          <w:ilvl w:val="0"/>
          <w:numId w:val="30"/>
        </w:numPr>
        <w:rPr>
          <w:i/>
          <w:noProof/>
        </w:rPr>
      </w:pPr>
      <w:r>
        <w:rPr>
          <w:i/>
          <w:iCs/>
          <w:noProof/>
        </w:rPr>
        <w:t>Stronger role of monitoring and reporting obligations in the PCI selection process</w:t>
      </w:r>
    </w:p>
    <w:p w:rsidR="00B60846" w:rsidRDefault="008069FF">
      <w:pPr>
        <w:rPr>
          <w:noProof/>
        </w:rPr>
      </w:pPr>
      <w:r>
        <w:rPr>
          <w:noProof/>
        </w:rPr>
        <w:t>In order to ensure that projects are developing according to their implementatio</w:t>
      </w:r>
      <w:r>
        <w:rPr>
          <w:noProof/>
        </w:rPr>
        <w:t>n plan without any undue delays and in full compliance with national and EU law and that project promoters duly abide by their reporting  and transparency obligations</w:t>
      </w:r>
      <w:r>
        <w:rPr>
          <w:rStyle w:val="FootnoteReference"/>
          <w:noProof/>
        </w:rPr>
        <w:footnoteReference w:id="175"/>
      </w:r>
      <w:r>
        <w:rPr>
          <w:noProof/>
        </w:rPr>
        <w:t xml:space="preserve"> these elements could be included as a selection criterion in the TEN-E Regulation to be </w:t>
      </w:r>
      <w:r>
        <w:rPr>
          <w:noProof/>
        </w:rPr>
        <w:t>applied for the subsequent PCI lists where the projects apply. Abiding by reporting and transparency obligations and the progress of the project from one Union list to the next could be added as one of the additional criteria that each Regional Group has t</w:t>
      </w:r>
      <w:r>
        <w:rPr>
          <w:noProof/>
        </w:rPr>
        <w:t>o give consideration to (under Article 4(4) of the TEN-E Regulation).</w:t>
      </w:r>
    </w:p>
    <w:p w:rsidR="00B60846" w:rsidRDefault="008069FF">
      <w:pPr>
        <w:rPr>
          <w:noProof/>
        </w:rPr>
      </w:pPr>
      <w:r>
        <w:rPr>
          <w:noProof/>
        </w:rPr>
        <w:t>This option does not have any budgetary or administrative implications, but aids in the implementation in practice of the measures described under b) and c) above which do have administr</w:t>
      </w:r>
      <w:r>
        <w:rPr>
          <w:noProof/>
        </w:rPr>
        <w:t>ative and budgetary implications. In addition, this option allows a thorough monitoring by the Regional Groups as to how projects implement EU law provisions, in particular environmental law and public procurement, therefore avoiding any breaches and publi</w:t>
      </w:r>
      <w:r>
        <w:rPr>
          <w:noProof/>
        </w:rPr>
        <w:t>c opposition.</w:t>
      </w:r>
    </w:p>
    <w:p w:rsidR="00B60846" w:rsidRDefault="008069FF">
      <w:pPr>
        <w:pStyle w:val="ListParagraph"/>
        <w:numPr>
          <w:ilvl w:val="0"/>
          <w:numId w:val="30"/>
        </w:numPr>
        <w:rPr>
          <w:i/>
          <w:noProof/>
        </w:rPr>
      </w:pPr>
      <w:r>
        <w:rPr>
          <w:i/>
          <w:iCs/>
          <w:noProof/>
        </w:rPr>
        <w:t>Pre-consultation to become optional</w:t>
      </w:r>
    </w:p>
    <w:p w:rsidR="00B60846" w:rsidRDefault="008069FF">
      <w:pPr>
        <w:rPr>
          <w:noProof/>
        </w:rPr>
      </w:pPr>
      <w:r>
        <w:rPr>
          <w:noProof/>
        </w:rPr>
        <w:t>The principles for public participation set out in the Regulation constitute minimum requirements to ensure early engagement with local communities and stakeholders affected by the construction of a PCI and</w:t>
      </w:r>
      <w:r>
        <w:rPr>
          <w:noProof/>
        </w:rPr>
        <w:t xml:space="preserve"> include a pre-consultation of relevant stakeholders. In practice, the obligation to consult ahead of the launch of permitting procedure may be adding to existing national procedures. </w:t>
      </w:r>
    </w:p>
    <w:p w:rsidR="00B60846" w:rsidRDefault="008069FF">
      <w:pPr>
        <w:rPr>
          <w:noProof/>
        </w:rPr>
      </w:pPr>
      <w:r>
        <w:rPr>
          <w:noProof/>
        </w:rPr>
        <w:t>This is confirmed by the results of the consultation, where a large pro</w:t>
      </w:r>
      <w:r>
        <w:rPr>
          <w:noProof/>
        </w:rPr>
        <w:t xml:space="preserve">portion of survey respondents (46%) agreed that one public consultation is sufficient for increasing transparency and participation. This opinion was particularly popular among TSOs, industry representatives and NCAs. A fifth of the respondents, primarily </w:t>
      </w:r>
      <w:r>
        <w:rPr>
          <w:noProof/>
        </w:rPr>
        <w:t>comprised of civil society representatives and energy producers, disagreed with this opinion. It is noteworthy to add that several respondents explained that the public consultation provision under the Regulation was, in their opinion, redundant as the nat</w:t>
      </w:r>
      <w:r>
        <w:rPr>
          <w:noProof/>
        </w:rPr>
        <w:t>ional legal frameworks of their Member States as well as the public participation requirements of the environmental impact assessments carried out in the permitting process already made public consultations obligatory. As such, this provision was seen by s</w:t>
      </w:r>
      <w:r>
        <w:rPr>
          <w:noProof/>
        </w:rPr>
        <w:t>ome as adding to the complexity of the permit granting procedure as shown on below</w:t>
      </w:r>
    </w:p>
    <w:p w:rsidR="00B60846" w:rsidRDefault="008069FF">
      <w:pPr>
        <w:rPr>
          <w:noProof/>
        </w:rPr>
      </w:pPr>
      <w:r>
        <w:rPr>
          <w:noProof/>
        </w:rPr>
        <w:t>To address this and avoid that two or more consultations are required for the purposes of informing stakeholders about the project at an early stage, identifying the most su</w:t>
      </w:r>
      <w:r>
        <w:rPr>
          <w:noProof/>
        </w:rPr>
        <w:t>itable location or trajectory and the relevant issues to be addressed in the application file, it is suggest to make the pre-consultation optional if it is already covered by the national rules under the same or higher standards as in the TEN-E Regulation.</w:t>
      </w:r>
      <w:r>
        <w:rPr>
          <w:noProof/>
        </w:rPr>
        <w:t xml:space="preserve"> However, the project promoter should be obliged to take into account the opinions expressed in the consultation and demonstrate how it has done so. The cost savings which would occur mainly with project promoters cannot be estimated as the relevant data a</w:t>
      </w:r>
      <w:r>
        <w:rPr>
          <w:noProof/>
        </w:rPr>
        <w:t>re not available, but it is a recurrent cost saving.</w:t>
      </w:r>
    </w:p>
    <w:p w:rsidR="00B60846" w:rsidRDefault="008069FF">
      <w:pPr>
        <w:ind w:left="709"/>
        <w:rPr>
          <w:i/>
          <w:noProof/>
        </w:rPr>
      </w:pPr>
      <w:r>
        <w:rPr>
          <w:i/>
          <w:noProof/>
        </w:rPr>
        <w:t>e) Simplified inclusion in TYNDP for existing PCIs</w:t>
      </w:r>
    </w:p>
    <w:p w:rsidR="00B60846" w:rsidRDefault="008069FF">
      <w:pPr>
        <w:pStyle w:val="Text2"/>
        <w:ind w:left="0"/>
        <w:rPr>
          <w:noProof/>
        </w:rPr>
      </w:pPr>
      <w:r>
        <w:rPr>
          <w:noProof/>
        </w:rPr>
        <w:t xml:space="preserve"> An electricity or gas candidate project can apply for the inclusion in the Union list only if is included in the latest available TYNDPs, developed bie</w:t>
      </w:r>
      <w:r>
        <w:rPr>
          <w:noProof/>
        </w:rPr>
        <w:t>nnially by the ENTSOs. Therefore, a project promoter, must submit or resubmit (in case it already is included in the PCI list) every two years its project to both TYNDP and PCI processes. While the  submission process for candidate projects for the PCI sel</w:t>
      </w:r>
      <w:r>
        <w:rPr>
          <w:noProof/>
        </w:rPr>
        <w:t xml:space="preserve">ection process was already simplified by having all the necessary data for the PCI process being delivered to the Commission directly by the ENTSOs, there is scope for further simplification for the TYNDP process. </w:t>
      </w:r>
    </w:p>
    <w:p w:rsidR="00B60846" w:rsidRDefault="008069FF">
      <w:pPr>
        <w:pStyle w:val="Text2"/>
        <w:ind w:left="0"/>
        <w:rPr>
          <w:noProof/>
        </w:rPr>
      </w:pPr>
      <w:r>
        <w:rPr>
          <w:noProof/>
        </w:rPr>
        <w:t>In contrast to the PCI selection process,</w:t>
      </w:r>
      <w:r>
        <w:rPr>
          <w:noProof/>
        </w:rPr>
        <w:t xml:space="preserve"> which is run by the Commission, the TYNDP processes are run by the ENTSOs, which set administrative and technical criteria for inclusion of projects in the TYNDPs. This process requires a significant amount of data and legal proofs</w:t>
      </w:r>
      <w:r>
        <w:rPr>
          <w:rStyle w:val="FootnoteReference"/>
          <w:noProof/>
        </w:rPr>
        <w:footnoteReference w:id="176"/>
      </w:r>
      <w:r>
        <w:rPr>
          <w:noProof/>
        </w:rPr>
        <w:t>. Considering that exis</w:t>
      </w:r>
      <w:r>
        <w:rPr>
          <w:noProof/>
        </w:rPr>
        <w:t>ting PCI projects already delivered the necessary proofs in the previous TYNDP processes, an automatic inclusion in the subsequent TYNDPs for such projects, as long as their administrative and technical data did not significantly change, is recommended. Th</w:t>
      </w:r>
      <w:r>
        <w:rPr>
          <w:noProof/>
        </w:rPr>
        <w:t>is would reduce the burden on the project promoters and also on the ENTSOs having in mind that around 56% of 2018 TYNDP electricity projects became part of the 4</w:t>
      </w:r>
      <w:r>
        <w:rPr>
          <w:noProof/>
          <w:vertAlign w:val="superscript"/>
        </w:rPr>
        <w:t>th</w:t>
      </w:r>
      <w:r>
        <w:rPr>
          <w:noProof/>
        </w:rPr>
        <w:t xml:space="preserve"> PCI list. The cost savings which would occur mainly with project promoters cannot be estimat</w:t>
      </w:r>
      <w:r>
        <w:rPr>
          <w:noProof/>
        </w:rPr>
        <w:t>ed as the relevant data are not available, but it is a recurrent cost saving.</w:t>
      </w:r>
    </w:p>
    <w:sectPr w:rsidR="00B60846">
      <w:headerReference w:type="even" r:id="rId48"/>
      <w:headerReference w:type="default" r:id="rId49"/>
      <w:footerReference w:type="even" r:id="rId50"/>
      <w:footerReference w:type="default" r:id="rId51"/>
      <w:headerReference w:type="first" r:id="rId52"/>
      <w:footerReference w:type="first" r:id="rId53"/>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846" w:rsidRDefault="008069FF">
      <w:r>
        <w:separator/>
      </w:r>
    </w:p>
  </w:endnote>
  <w:endnote w:type="continuationSeparator" w:id="0">
    <w:p w:rsidR="00B60846" w:rsidRDefault="008069FF">
      <w:r>
        <w:continuationSeparator/>
      </w:r>
    </w:p>
  </w:endnote>
  <w:endnote w:type="continuationNotice" w:id="1">
    <w:p w:rsidR="00B60846" w:rsidRDefault="00B60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imes new romanimes new roman">
    <w:altName w:val="Times New Roman"/>
    <w:panose1 w:val="00000000000000000000"/>
    <w:charset w:val="00"/>
    <w:family w:val="roman"/>
    <w:notTrueType/>
    <w:pitch w:val="default"/>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9FF" w:rsidRPr="008069FF" w:rsidRDefault="008069FF" w:rsidP="008069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500523"/>
      <w:docPartObj>
        <w:docPartGallery w:val="Page Numbers (Bottom of Page)"/>
        <w:docPartUnique/>
      </w:docPartObj>
    </w:sdtPr>
    <w:sdtEndPr>
      <w:rPr>
        <w:noProof/>
      </w:rPr>
    </w:sdtEndPr>
    <w:sdtContent>
      <w:p w:rsidR="00B60846" w:rsidRDefault="008069FF">
        <w:pPr>
          <w:pStyle w:val="Footer"/>
          <w:jc w:val="center"/>
        </w:pPr>
        <w:r>
          <w:fldChar w:fldCharType="begin"/>
        </w:r>
        <w:r>
          <w:instrText xml:space="preserve"> PAGE   \* MERGEFORMAT </w:instrText>
        </w:r>
        <w:r>
          <w:fldChar w:fldCharType="separate"/>
        </w:r>
        <w:r>
          <w:rPr>
            <w:noProof/>
          </w:rPr>
          <w:t>147</w:t>
        </w:r>
        <w:r>
          <w:rPr>
            <w:noProof/>
          </w:rPr>
          <w:fldChar w:fldCharType="end"/>
        </w:r>
      </w:p>
    </w:sdtContent>
  </w:sdt>
  <w:p w:rsidR="00B60846" w:rsidRDefault="00B6084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9FF" w:rsidRPr="008069FF" w:rsidRDefault="008069FF" w:rsidP="008069FF">
    <w:pPr>
      <w:pStyle w:val="FooterCoverPage"/>
      <w:rPr>
        <w:rFonts w:ascii="Arial" w:hAnsi="Arial" w:cs="Arial"/>
        <w:b/>
        <w:sz w:val="48"/>
      </w:rPr>
    </w:pPr>
    <w:r w:rsidRPr="008069FF">
      <w:rPr>
        <w:rFonts w:ascii="Arial" w:hAnsi="Arial" w:cs="Arial"/>
        <w:b/>
        <w:sz w:val="48"/>
      </w:rPr>
      <w:t>EN</w:t>
    </w:r>
    <w:r w:rsidRPr="008069FF">
      <w:rPr>
        <w:rFonts w:ascii="Arial" w:hAnsi="Arial" w:cs="Arial"/>
        <w:b/>
        <w:sz w:val="48"/>
      </w:rPr>
      <w:tab/>
    </w:r>
    <w:r w:rsidRPr="008069FF">
      <w:rPr>
        <w:rFonts w:ascii="Arial" w:hAnsi="Arial" w:cs="Arial"/>
        <w:b/>
        <w:sz w:val="48"/>
      </w:rPr>
      <w:tab/>
    </w:r>
    <w:r w:rsidRPr="008069FF">
      <w:tab/>
    </w:r>
    <w:r w:rsidRPr="008069FF">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9FF" w:rsidRPr="008069FF" w:rsidRDefault="008069FF" w:rsidP="008069FF">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8069FF">
    <w:pPr>
      <w:pStyle w:val="Footer"/>
    </w:pPr>
    <w:r>
      <w:fldChar w:fldCharType="begin"/>
    </w:r>
    <w:r>
      <w:instrText>PAGE</w:instrText>
    </w:r>
    <w:r>
      <w:fldChar w:fldCharType="separate"/>
    </w:r>
    <w:r>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877266"/>
      <w:docPartObj>
        <w:docPartGallery w:val="Page Numbers (Bottom of Page)"/>
        <w:docPartUnique/>
      </w:docPartObj>
    </w:sdtPr>
    <w:sdtEndPr>
      <w:rPr>
        <w:noProof/>
      </w:rPr>
    </w:sdtEndPr>
    <w:sdtContent>
      <w:p w:rsidR="00B60846" w:rsidRDefault="008069FF">
        <w:pPr>
          <w:pStyle w:val="Footer"/>
        </w:pPr>
        <w:r>
          <w:fldChar w:fldCharType="begin"/>
        </w:r>
        <w:r>
          <w:instrText xml:space="preserve"> PAGE   \* MERGEFORMAT </w:instrText>
        </w:r>
        <w:r>
          <w:fldChar w:fldCharType="separate"/>
        </w:r>
        <w:r>
          <w:rPr>
            <w:noProof/>
          </w:rPr>
          <w:t>1</w:t>
        </w:r>
        <w:r>
          <w:rPr>
            <w:noProof/>
          </w:rPr>
          <w:fldChar w:fldCharType="end"/>
        </w:r>
      </w:p>
    </w:sdtContent>
  </w:sdt>
  <w:p w:rsidR="00B60846" w:rsidRDefault="00B6084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8069FF">
    <w:pPr>
      <w:pStyle w:val="Footer"/>
    </w:pPr>
    <w:r>
      <w:fldChar w:fldCharType="begin"/>
    </w:r>
    <w:r>
      <w:instrText>PAGE</w:instrText>
    </w:r>
    <w:r>
      <w:fldChar w:fldCharType="separate"/>
    </w:r>
    <w:r>
      <w:rPr>
        <w:noProof/>
      </w:rPr>
      <w:t>103</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022180"/>
      <w:docPartObj>
        <w:docPartGallery w:val="Page Numbers (Bottom of Page)"/>
        <w:docPartUnique/>
      </w:docPartObj>
    </w:sdtPr>
    <w:sdtEndPr>
      <w:rPr>
        <w:noProof/>
      </w:rPr>
    </w:sdtEndPr>
    <w:sdtContent>
      <w:p w:rsidR="00B60846" w:rsidRDefault="008069FF">
        <w:pPr>
          <w:pStyle w:val="Footer"/>
        </w:pPr>
        <w:r>
          <w:fldChar w:fldCharType="begin"/>
        </w:r>
        <w:r>
          <w:instrText xml:space="preserve"> PAGE   \* MERGEFORMAT </w:instrText>
        </w:r>
        <w:r>
          <w:fldChar w:fldCharType="separate"/>
        </w:r>
        <w:r>
          <w:rPr>
            <w:noProof/>
          </w:rPr>
          <w:t>75</w:t>
        </w:r>
        <w:r>
          <w:rPr>
            <w:noProof/>
          </w:rPr>
          <w:fldChar w:fldCharType="end"/>
        </w:r>
      </w:p>
    </w:sdtContent>
  </w:sdt>
  <w:p w:rsidR="00B60846" w:rsidRDefault="00B60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846" w:rsidRDefault="008069FF">
      <w:r>
        <w:separator/>
      </w:r>
    </w:p>
  </w:footnote>
  <w:footnote w:type="continuationSeparator" w:id="0">
    <w:p w:rsidR="00B60846" w:rsidRDefault="008069FF">
      <w:r>
        <w:continuationSeparator/>
      </w:r>
    </w:p>
  </w:footnote>
  <w:footnote w:type="continuationNotice" w:id="1">
    <w:p w:rsidR="00B60846" w:rsidRDefault="00B60846"/>
  </w:footnote>
  <w:footnote w:id="2">
    <w:p w:rsidR="00B60846" w:rsidRDefault="008069FF">
      <w:pPr>
        <w:pStyle w:val="FootnoteText"/>
      </w:pPr>
      <w:r>
        <w:rPr>
          <w:rStyle w:val="FootnoteReference"/>
        </w:rPr>
        <w:footnoteRef/>
      </w:r>
      <w:r>
        <w:t xml:space="preserve"> Articles 170-172 TFEU</w:t>
      </w:r>
    </w:p>
  </w:footnote>
  <w:footnote w:id="3">
    <w:p w:rsidR="00B60846" w:rsidRDefault="008069FF">
      <w:pPr>
        <w:pStyle w:val="FootnoteText"/>
      </w:pPr>
      <w:r>
        <w:rPr>
          <w:rStyle w:val="FootnoteReference"/>
        </w:rPr>
        <w:footnoteRef/>
      </w:r>
      <w:r>
        <w:t xml:space="preserve"> COMMISSION STAFF WORKING DOCUMENT IMPACT ASSESSMENT, Stepping up Europe’s 2030 climate ambition, SWD(2020) 176 final</w:t>
      </w:r>
    </w:p>
  </w:footnote>
  <w:footnote w:id="4">
    <w:p w:rsidR="00B60846" w:rsidRDefault="008069FF">
      <w:pPr>
        <w:pStyle w:val="FootnoteText"/>
      </w:pPr>
      <w:r>
        <w:rPr>
          <w:rStyle w:val="FootnoteReference"/>
        </w:rPr>
        <w:footnoteRef/>
      </w:r>
      <w:r>
        <w:t xml:space="preserve"> OJ L 115, 25.4.2013, p. 39-75</w:t>
      </w:r>
    </w:p>
  </w:footnote>
  <w:footnote w:id="5">
    <w:p w:rsidR="00B60846" w:rsidRDefault="008069FF">
      <w:pPr>
        <w:pStyle w:val="FootnoteText"/>
      </w:pPr>
      <w:r>
        <w:rPr>
          <w:rStyle w:val="FootnoteReference"/>
        </w:rPr>
        <w:footnoteRef/>
      </w:r>
      <w:r>
        <w:t xml:space="preserve"> See Annex 6 for more information.</w:t>
      </w:r>
    </w:p>
  </w:footnote>
  <w:footnote w:id="6">
    <w:p w:rsidR="00B60846" w:rsidRDefault="008069FF">
      <w:pPr>
        <w:pStyle w:val="FootnoteText"/>
      </w:pPr>
      <w:r>
        <w:rPr>
          <w:rStyle w:val="FootnoteReference"/>
        </w:rPr>
        <w:footnoteRef/>
      </w:r>
      <w:r>
        <w:t xml:space="preserve"> The European Green Deal, COM(2019) 640 final</w:t>
      </w:r>
    </w:p>
  </w:footnote>
  <w:footnote w:id="7">
    <w:p w:rsidR="00B60846" w:rsidRDefault="008069FF">
      <w:pPr>
        <w:pStyle w:val="FootnoteText"/>
      </w:pPr>
      <w:r>
        <w:rPr>
          <w:rStyle w:val="FootnoteReference"/>
        </w:rPr>
        <w:footnoteRef/>
      </w:r>
      <w:r>
        <w:t xml:space="preserve"> COMMISSION STAFF WORK</w:t>
      </w:r>
      <w:r>
        <w:t>ING DOCUMENT IMPACT ASSESSMENT, Stepping up Europe’s 2030 climate ambition, SWD(2020) 176 final</w:t>
      </w:r>
    </w:p>
  </w:footnote>
  <w:footnote w:id="8">
    <w:p w:rsidR="00B60846" w:rsidRDefault="008069FF">
      <w:pPr>
        <w:pStyle w:val="FootnoteText"/>
      </w:pPr>
      <w:r>
        <w:rPr>
          <w:rStyle w:val="FootnoteReference"/>
        </w:rPr>
        <w:footnoteRef/>
      </w:r>
      <w:r>
        <w:t xml:space="preserve"> Stepping up Europe’s 2030 climate ambition, Investing in a climate-neutral future for the benefit of our people, COM(2020) 562 final</w:t>
      </w:r>
    </w:p>
  </w:footnote>
  <w:footnote w:id="9">
    <w:p w:rsidR="00B60846" w:rsidRDefault="008069FF">
      <w:pPr>
        <w:pStyle w:val="FootnoteText"/>
      </w:pPr>
      <w:r>
        <w:rPr>
          <w:rStyle w:val="FootnoteReference"/>
        </w:rPr>
        <w:footnoteRef/>
      </w:r>
      <w:r>
        <w:t xml:space="preserve"> </w:t>
      </w:r>
      <w:hyperlink r:id="rId1" w:history="1">
        <w:r>
          <w:rPr>
            <w:rStyle w:val="Hyperlink"/>
          </w:rPr>
          <w:t>https://eur-lex.europa.eu/legal-content/EN/TXT/?uri=CELEX:52018DC0773</w:t>
        </w:r>
      </w:hyperlink>
      <w:r>
        <w:t xml:space="preserve"> </w:t>
      </w:r>
    </w:p>
  </w:footnote>
  <w:footnote w:id="10">
    <w:p w:rsidR="00B60846" w:rsidRDefault="008069FF">
      <w:pPr>
        <w:pStyle w:val="FootnoteText"/>
      </w:pPr>
      <w:r>
        <w:rPr>
          <w:rStyle w:val="FootnoteReference"/>
        </w:rPr>
        <w:footnoteRef/>
      </w:r>
      <w:r>
        <w:t xml:space="preserve"> COMMISSION STAFF WORKING DOCUMENT IMPACT ASSESSMENT, Stepping up Europe’s 2030 climate ambition, SW</w:t>
      </w:r>
      <w:r>
        <w:t>D(2020) 176 final</w:t>
      </w:r>
    </w:p>
  </w:footnote>
  <w:footnote w:id="11">
    <w:p w:rsidR="00B60846" w:rsidRDefault="008069FF">
      <w:pPr>
        <w:pStyle w:val="FootnoteText"/>
      </w:pPr>
      <w:r>
        <w:rPr>
          <w:rStyle w:val="FootnoteReference"/>
        </w:rPr>
        <w:footnoteRef/>
      </w:r>
      <w:r>
        <w:t xml:space="preserve"> COM(2020) 741 final</w:t>
      </w:r>
    </w:p>
  </w:footnote>
  <w:footnote w:id="12">
    <w:p w:rsidR="00B60846" w:rsidRDefault="008069FF">
      <w:pPr>
        <w:pStyle w:val="FootnoteText"/>
        <w:rPr>
          <w:lang w:val="pt-PT"/>
        </w:rPr>
      </w:pPr>
      <w:r>
        <w:rPr>
          <w:rStyle w:val="FootnoteReference"/>
        </w:rPr>
        <w:footnoteRef/>
      </w:r>
      <w:r>
        <w:rPr>
          <w:lang w:val="pt-PT"/>
        </w:rPr>
        <w:t xml:space="preserve"> </w:t>
      </w:r>
      <w:hyperlink r:id="rId2" w:history="1">
        <w:r>
          <w:rPr>
            <w:rStyle w:val="Hyperlink"/>
            <w:lang w:val="pt-PT"/>
          </w:rPr>
          <w:t>https://ec.europa.eu/transport/themes/infrastructure/ten-t/review_en</w:t>
        </w:r>
      </w:hyperlink>
      <w:r>
        <w:rPr>
          <w:lang w:val="pt-PT"/>
        </w:rPr>
        <w:t xml:space="preserve"> </w:t>
      </w:r>
    </w:p>
  </w:footnote>
  <w:footnote w:id="13">
    <w:p w:rsidR="00B60846" w:rsidRDefault="008069FF">
      <w:pPr>
        <w:pStyle w:val="FootnoteText"/>
        <w:rPr>
          <w:lang w:val="pt-PT"/>
        </w:rPr>
      </w:pPr>
      <w:r>
        <w:rPr>
          <w:rStyle w:val="FootnoteReference"/>
        </w:rPr>
        <w:footnoteRef/>
      </w:r>
      <w:r>
        <w:rPr>
          <w:lang w:val="pt-PT"/>
        </w:rPr>
        <w:t xml:space="preserve"> https://ec.europa.eu/info/business-economy-euro/banking-a</w:t>
      </w:r>
      <w:r>
        <w:rPr>
          <w:lang w:val="pt-PT"/>
        </w:rPr>
        <w:t>nd-finance/sustainable-finance/eu-taxonomy-sustainable-activities_en</w:t>
      </w:r>
    </w:p>
  </w:footnote>
  <w:footnote w:id="14">
    <w:p w:rsidR="00B60846" w:rsidRDefault="008069FF">
      <w:pPr>
        <w:pStyle w:val="FootnoteText"/>
        <w:rPr>
          <w:lang w:val="pt-PT"/>
        </w:rPr>
      </w:pPr>
      <w:r>
        <w:rPr>
          <w:rStyle w:val="FootnoteReference"/>
        </w:rPr>
        <w:footnoteRef/>
      </w:r>
      <w:r>
        <w:rPr>
          <w:lang w:val="pt-PT"/>
        </w:rPr>
        <w:t xml:space="preserve"> COM(2020) 299 final</w:t>
      </w:r>
    </w:p>
  </w:footnote>
  <w:footnote w:id="15">
    <w:p w:rsidR="00B60846" w:rsidRDefault="008069FF">
      <w:pPr>
        <w:pStyle w:val="FootnoteText"/>
        <w:rPr>
          <w:rStyle w:val="Hyperlink"/>
          <w:lang w:val="pt-PT"/>
        </w:rPr>
      </w:pPr>
      <w:r>
        <w:rPr>
          <w:rStyle w:val="FootnoteReference"/>
        </w:rPr>
        <w:footnoteRef/>
      </w:r>
      <w:r>
        <w:rPr>
          <w:lang w:val="pt-PT"/>
        </w:rPr>
        <w:t xml:space="preserve"> </w:t>
      </w:r>
      <w:hyperlink r:id="rId3" w:history="1">
        <w:r>
          <w:rPr>
            <w:rStyle w:val="Hyperlink"/>
            <w:lang w:val="pt-PT"/>
          </w:rPr>
          <w:t>https://www.consilium.europa.eu/media/38507/st07207-re01-en19.pdf</w:t>
        </w:r>
      </w:hyperlink>
      <w:r>
        <w:rPr>
          <w:rStyle w:val="Hyperlink"/>
          <w:lang w:val="pt-PT"/>
        </w:rPr>
        <w:t>,</w:t>
      </w:r>
    </w:p>
    <w:p w:rsidR="00B60846" w:rsidRDefault="008069FF">
      <w:pPr>
        <w:pStyle w:val="FootnoteText"/>
        <w:rPr>
          <w:lang w:val="pt-PT"/>
        </w:rPr>
      </w:pPr>
      <w:hyperlink r:id="rId4" w:history="1">
        <w:r>
          <w:rPr>
            <w:rStyle w:val="Hyperlink"/>
            <w:lang w:val="pt-PT"/>
          </w:rPr>
          <w:t>http://www.europarl.europa.eu/doceo/document/TA-8-2019-0420_EN.pdf</w:t>
        </w:r>
      </w:hyperlink>
      <w:r>
        <w:rPr>
          <w:lang w:val="pt-PT"/>
        </w:rPr>
        <w:t xml:space="preserve"> </w:t>
      </w:r>
    </w:p>
  </w:footnote>
  <w:footnote w:id="16">
    <w:p w:rsidR="00B60846" w:rsidRDefault="008069FF">
      <w:pPr>
        <w:pStyle w:val="FootnoteText"/>
      </w:pPr>
      <w:r>
        <w:rPr>
          <w:rStyle w:val="FootnoteReference"/>
        </w:rPr>
        <w:footnoteRef/>
      </w:r>
      <w:r>
        <w:t xml:space="preserve"> In 2017, a mid-term evaluation of the TEN-E Regulation was completed. In 2019, an evaluation of the TEN-E Regulation </w:t>
      </w:r>
      <w:r>
        <w:t>was formally launched with the publication of an evaluation roadmap, which was complemented in May 2020 with the publication of an inception impact assessment.</w:t>
      </w:r>
    </w:p>
  </w:footnote>
  <w:footnote w:id="17">
    <w:p w:rsidR="00B60846" w:rsidRDefault="008069FF">
      <w:pPr>
        <w:pStyle w:val="FootnoteText"/>
      </w:pPr>
      <w:r>
        <w:rPr>
          <w:rStyle w:val="FootnoteReference"/>
        </w:rPr>
        <w:footnoteRef/>
      </w:r>
      <w:r>
        <w:t xml:space="preserve"> A Clean Planet for all. A European long-term strategic vision for a prosperous, modern, compet</w:t>
      </w:r>
      <w:r>
        <w:t>itive and climate neutral economy, COM(2018) 773 final</w:t>
      </w:r>
    </w:p>
  </w:footnote>
  <w:footnote w:id="18">
    <w:p w:rsidR="00B60846" w:rsidRDefault="008069FF">
      <w:pPr>
        <w:pStyle w:val="FootnoteText"/>
      </w:pPr>
      <w:r>
        <w:rPr>
          <w:rStyle w:val="FootnoteReference"/>
        </w:rPr>
        <w:footnoteRef/>
      </w:r>
      <w:r>
        <w:t xml:space="preserve"> Stepping up Europe’s 2030 climate ambition, Investing in a climate-neutral future for the benefit of our people, COM(2020) 562 final</w:t>
      </w:r>
    </w:p>
  </w:footnote>
  <w:footnote w:id="19">
    <w:p w:rsidR="00B60846" w:rsidRDefault="008069FF">
      <w:pPr>
        <w:pStyle w:val="FootnoteText"/>
      </w:pPr>
      <w:r>
        <w:rPr>
          <w:rStyle w:val="FootnoteReference"/>
        </w:rPr>
        <w:footnoteRef/>
      </w:r>
      <w:r>
        <w:t xml:space="preserve"> COMMISSION STAFF WORKING DOCUMENT IMPACT ASSESSMENT, Stepping up</w:t>
      </w:r>
      <w:r>
        <w:t xml:space="preserve"> Europe’s 2030 climate ambition, SWD(2020) 176 final</w:t>
      </w:r>
    </w:p>
  </w:footnote>
  <w:footnote w:id="20">
    <w:p w:rsidR="00B60846" w:rsidRDefault="008069FF">
      <w:pPr>
        <w:pStyle w:val="FootnoteText"/>
      </w:pPr>
      <w:r>
        <w:rPr>
          <w:rStyle w:val="FootnoteReference"/>
        </w:rPr>
        <w:footnoteRef/>
      </w:r>
      <w:r>
        <w:t xml:space="preserve"> These scenarios include those in the EU Long-Term Strategy (2018), the TYNDP 2020 scenarios developed by ENTSOG and ENTSO-E (2020), Eurelectric's "Decarbonisation pathways" (2018) or those developed for DG ENER in the framework of the study "Impact of the</w:t>
      </w:r>
      <w:r>
        <w:t xml:space="preserve"> use of the biomethane and hydrogen potential on trans-European infrastructure" (2019).</w:t>
      </w:r>
    </w:p>
  </w:footnote>
  <w:footnote w:id="21">
    <w:p w:rsidR="00B60846" w:rsidRDefault="008069FF">
      <w:pPr>
        <w:pStyle w:val="FootnoteText"/>
      </w:pPr>
      <w:r>
        <w:rPr>
          <w:rStyle w:val="FootnoteReference"/>
        </w:rPr>
        <w:footnoteRef/>
      </w:r>
      <w:r>
        <w:t xml:space="preserve"> COMMISSION STAFF WORKING DOCUMENT IMPACT ASSESSMENT, Stepping up Europe’s 2030 climate ambition, SWD(2020) 176 final</w:t>
      </w:r>
    </w:p>
  </w:footnote>
  <w:footnote w:id="22">
    <w:p w:rsidR="00B60846" w:rsidRDefault="008069FF">
      <w:pPr>
        <w:pStyle w:val="FootnoteText"/>
      </w:pPr>
      <w:r>
        <w:rPr>
          <w:rStyle w:val="FootnoteReference"/>
        </w:rPr>
        <w:footnoteRef/>
      </w:r>
      <w:r>
        <w:t xml:space="preserve"> Kanellopoulos K., Kavvadias K., De Felice M., W</w:t>
      </w:r>
      <w:r>
        <w:t>ind and other CO2-free assets replacing coal in 2030, EUR 30343 EN, Publications Office of the European Union, Luxembourg, 2020, ISBN 978-92-76-21440-3, doi:10.2760/007407, JRC121605, p. 2</w:t>
      </w:r>
    </w:p>
  </w:footnote>
  <w:footnote w:id="23">
    <w:p w:rsidR="00B60846" w:rsidRDefault="008069FF">
      <w:pPr>
        <w:pStyle w:val="FootnoteText"/>
        <w:rPr>
          <w:lang w:val="en-IE"/>
        </w:rPr>
      </w:pPr>
      <w:r>
        <w:rPr>
          <w:rStyle w:val="FootnoteReference"/>
        </w:rPr>
        <w:footnoteRef/>
      </w:r>
      <w:r>
        <w:t xml:space="preserve"> Kanellopoulos K., Scenario analysis of accelerated coal phase-out</w:t>
      </w:r>
      <w:r>
        <w:t xml:space="preserve"> by 2030A study on the European power system based on the EUCO27 scenario using the METIS model, EUR 29203 EN,PublicationsOffice of the European Union, Luxembourg, 2018, ISBN 978-92-79-81888-2,doi:10.2760/751272, JRC111438; Faunhofer ISI </w:t>
      </w:r>
      <w:r>
        <w:rPr>
          <w:lang w:val="en-IE"/>
        </w:rPr>
        <w:t xml:space="preserve">(2014): Optimized </w:t>
      </w:r>
      <w:r>
        <w:rPr>
          <w:lang w:val="en-IE"/>
        </w:rPr>
        <w:t>pathways towards ambitious climate protection in the European electricity system (EU Long-term scenarios 2050 II), Final Report.</w:t>
      </w:r>
    </w:p>
  </w:footnote>
  <w:footnote w:id="24">
    <w:p w:rsidR="00B60846" w:rsidRDefault="008069FF">
      <w:pPr>
        <w:pStyle w:val="FootnoteText"/>
      </w:pPr>
      <w:r>
        <w:rPr>
          <w:rStyle w:val="FootnoteReference"/>
        </w:rPr>
        <w:footnoteRef/>
      </w:r>
      <w:r>
        <w:t xml:space="preserve"> A hydrogen strategy for a climate-neutral Europe, COM(2020) 301 final</w:t>
      </w:r>
    </w:p>
  </w:footnote>
  <w:footnote w:id="25">
    <w:p w:rsidR="00B60846" w:rsidRDefault="008069FF">
      <w:pPr>
        <w:pStyle w:val="FootnoteText"/>
      </w:pPr>
      <w:r>
        <w:rPr>
          <w:rStyle w:val="FootnoteReference"/>
        </w:rPr>
        <w:footnoteRef/>
      </w:r>
      <w:r>
        <w:t xml:space="preserve"> Ecofys (2017): INVESTMENT NEEDS IN TRANS-EUROPEAN ENE</w:t>
      </w:r>
      <w:r>
        <w:t xml:space="preserve">RGYINFRASTRUCTURE UP TO 2030 AND BEYOND, Final report, </w:t>
      </w:r>
      <w:hyperlink r:id="rId5" w:history="1">
        <w:r>
          <w:rPr>
            <w:rStyle w:val="Hyperlink"/>
          </w:rPr>
          <w:t>http://publications.europa.eu/resource/cellar/431bc842-437c-11e8-a9f4-01aa75ed71a1.0001.</w:t>
        </w:r>
        <w:r>
          <w:rPr>
            <w:rStyle w:val="Hyperlink"/>
          </w:rPr>
          <w:t>01/DOC_1</w:t>
        </w:r>
      </w:hyperlink>
      <w:r>
        <w:t xml:space="preserve"> </w:t>
      </w:r>
    </w:p>
  </w:footnote>
  <w:footnote w:id="26">
    <w:p w:rsidR="00B60846" w:rsidRDefault="008069FF">
      <w:pPr>
        <w:pStyle w:val="FootnoteText"/>
      </w:pPr>
      <w:r>
        <w:rPr>
          <w:rStyle w:val="FootnoteReference"/>
        </w:rPr>
        <w:footnoteRef/>
      </w:r>
      <w:r>
        <w:t xml:space="preserve"> Kanellopoulos K., Kavvadias K., De Felice M., Wind and other CO2-free assets replacing coal in 2030, EUR 30343 EN, Publications Office of the European Union, Luxembourg, 2020, ISBN 978-92-76-21440-3, doi:10.2760/007407, JRC121605</w:t>
      </w:r>
    </w:p>
  </w:footnote>
  <w:footnote w:id="27">
    <w:p w:rsidR="00B60846" w:rsidRDefault="008069FF">
      <w:pPr>
        <w:pStyle w:val="FootnoteText"/>
        <w:rPr>
          <w:lang w:val="en-IE"/>
        </w:rPr>
      </w:pPr>
      <w:r>
        <w:rPr>
          <w:rStyle w:val="FootnoteReference"/>
        </w:rPr>
        <w:footnoteRef/>
      </w:r>
      <w:r>
        <w:t xml:space="preserve"> Most stakeho</w:t>
      </w:r>
      <w:r>
        <w:t>lders who responded to the targeted survey consider that hydrogen is relevant for the TEN-E framework and required at large scale.</w:t>
      </w:r>
    </w:p>
  </w:footnote>
  <w:footnote w:id="28">
    <w:p w:rsidR="00B60846" w:rsidRDefault="008069FF">
      <w:pPr>
        <w:pStyle w:val="FootnoteText"/>
        <w:rPr>
          <w:lang w:val="en-IE"/>
        </w:rPr>
      </w:pPr>
      <w:r>
        <w:rPr>
          <w:rStyle w:val="FootnoteReference"/>
        </w:rPr>
        <w:footnoteRef/>
      </w:r>
      <w:r>
        <w:t xml:space="preserve"> International Energy Agency (2017): Digitalisation and Energy, OECD.</w:t>
      </w:r>
    </w:p>
  </w:footnote>
  <w:footnote w:id="29">
    <w:p w:rsidR="00B60846" w:rsidRDefault="008069FF">
      <w:pPr>
        <w:pStyle w:val="FootnoteText"/>
        <w:rPr>
          <w:lang w:val="en-IE"/>
        </w:rPr>
      </w:pPr>
      <w:r>
        <w:rPr>
          <w:rStyle w:val="FootnoteReference"/>
        </w:rPr>
        <w:footnoteRef/>
      </w:r>
      <w:r>
        <w:t xml:space="preserve">  Replies to the targeted survey showed that there is higher disagreement than agreement in the fitness of the current priority corridors and thematic areas to the future challenges. For priority corridors, 36 respondents (of 112) disagree and 32 agree the</w:t>
      </w:r>
      <w:r>
        <w:t>y are fit for purpose for future challenges to the energy infrastructure. As for thematic areas, 46 disagree, while only 15 respondents agree on the prior statement.</w:t>
      </w:r>
    </w:p>
  </w:footnote>
  <w:footnote w:id="30">
    <w:p w:rsidR="00B60846" w:rsidRDefault="008069FF">
      <w:pPr>
        <w:pStyle w:val="FootnoteText"/>
        <w:rPr>
          <w:lang w:val="en-IE"/>
        </w:rPr>
      </w:pPr>
      <w:r>
        <w:rPr>
          <w:rStyle w:val="FootnoteReference"/>
        </w:rPr>
        <w:footnoteRef/>
      </w:r>
      <w:r>
        <w:t xml:space="preserve"> </w:t>
      </w:r>
      <w:r>
        <w:rPr>
          <w:lang w:val="en-IE"/>
        </w:rPr>
        <w:t>Except for cross-border projects in the field of renewable energy for which a new window</w:t>
      </w:r>
      <w:r>
        <w:rPr>
          <w:lang w:val="en-IE"/>
        </w:rPr>
        <w:t xml:space="preserve"> is foreseen under the new CEF Regulation for the MFF2021-2027.</w:t>
      </w:r>
    </w:p>
  </w:footnote>
  <w:footnote w:id="31">
    <w:p w:rsidR="00B60846" w:rsidRDefault="008069FF">
      <w:pPr>
        <w:pStyle w:val="FootnoteText"/>
      </w:pPr>
      <w:r>
        <w:rPr>
          <w:rStyle w:val="FootnoteReference"/>
        </w:rPr>
        <w:footnoteRef/>
      </w:r>
      <w:r>
        <w:t xml:space="preserve"> “Electricity interconnections with neighbouring countries”,  Second report of the Commission Expert Group, </w:t>
      </w:r>
      <w:hyperlink r:id="rId6" w:history="1">
        <w:r>
          <w:rPr>
            <w:rStyle w:val="Hyperlink"/>
          </w:rPr>
          <w:t>https://op.europa.eu/en/publication-detail/-/publication/785f224b-93cd-11e9-9369-01aa75ed71a1</w:t>
        </w:r>
      </w:hyperlink>
      <w:r>
        <w:t xml:space="preserve"> </w:t>
      </w:r>
    </w:p>
    <w:p w:rsidR="00B60846" w:rsidRDefault="008069FF">
      <w:pPr>
        <w:pStyle w:val="FootnoteText"/>
      </w:pPr>
      <w:r>
        <w:t>on electricity interconnection targets</w:t>
      </w:r>
    </w:p>
  </w:footnote>
  <w:footnote w:id="32">
    <w:p w:rsidR="00B60846" w:rsidRDefault="008069FF">
      <w:pPr>
        <w:pStyle w:val="FootnoteText"/>
      </w:pPr>
      <w:r>
        <w:rPr>
          <w:rStyle w:val="FootnoteReference"/>
        </w:rPr>
        <w:footnoteRef/>
      </w:r>
      <w:r>
        <w:t xml:space="preserve"> On the previous and current 4</w:t>
      </w:r>
      <w:r>
        <w:rPr>
          <w:vertAlign w:val="superscript"/>
        </w:rPr>
        <w:t>th</w:t>
      </w:r>
      <w:r>
        <w:t xml:space="preserve"> PCI lists, there have been several projects with third countr</w:t>
      </w:r>
      <w:r>
        <w:t>ies that fulfilled current conditions, i.e. demonstrating socio-economic benefits for at least two Member States  For example, electricity interconnections between Italy and Montenegro, between Italy and Tunisia (ELMED), and from Israel to Greece via Cypru</w:t>
      </w:r>
      <w:r>
        <w:t>s (Euroasia), the gas interconnection between Bulgaria and Serbia, the Southern Gas Corridor or an oil interconnector between Ukraine and Poland.</w:t>
      </w:r>
    </w:p>
  </w:footnote>
  <w:footnote w:id="33">
    <w:p w:rsidR="00B60846" w:rsidRDefault="008069FF">
      <w:pPr>
        <w:pStyle w:val="FootnoteText"/>
      </w:pPr>
      <w:r>
        <w:rPr>
          <w:rStyle w:val="FootnoteReference"/>
        </w:rPr>
        <w:footnoteRef/>
      </w:r>
      <w:r>
        <w:t xml:space="preserve"> Art. 171(3) TFEU: “The  Union  may  decide  to  cooperate  with  third  countries  to  promote  projects  of</w:t>
      </w:r>
      <w:r>
        <w:t xml:space="preserve">  mutual  interest  and  to  ensure  the  interoperability  of  networks.”</w:t>
      </w:r>
    </w:p>
  </w:footnote>
  <w:footnote w:id="34">
    <w:p w:rsidR="00B60846" w:rsidRDefault="008069FF">
      <w:pPr>
        <w:pStyle w:val="FootnoteText"/>
        <w:rPr>
          <w:lang w:val="en-IE"/>
        </w:rPr>
      </w:pPr>
      <w:r>
        <w:rPr>
          <w:rStyle w:val="FootnoteReference"/>
        </w:rPr>
        <w:footnoteRef/>
      </w:r>
      <w:r>
        <w:t xml:space="preserve"> In the public consultation several environmental NGOs, NRAs and industry stakeholders indicated that the current selection process has resulted in projects being selected that do </w:t>
      </w:r>
      <w:r>
        <w:t>not have a positive effect on the CO</w:t>
      </w:r>
      <w:r>
        <w:rPr>
          <w:vertAlign w:val="subscript"/>
        </w:rPr>
        <w:t>2</w:t>
      </w:r>
      <w:r>
        <w:t xml:space="preserve"> emissions, do not sufficiently support network innovation and include traditional, fossil fuel infrastructure which will ultimately hamper the achievement of climate neutrality.</w:t>
      </w:r>
      <w:r>
        <w:rPr>
          <w:sz w:val="24"/>
          <w:szCs w:val="24"/>
        </w:rPr>
        <w:t xml:space="preserve"> </w:t>
      </w:r>
      <w:r>
        <w:t>TSOs did not indicate strong opinions on</w:t>
      </w:r>
      <w:r>
        <w:t xml:space="preserve"> the sustainability criterion. </w:t>
      </w:r>
    </w:p>
  </w:footnote>
  <w:footnote w:id="35">
    <w:p w:rsidR="00B60846" w:rsidRDefault="008069FF">
      <w:pPr>
        <w:pStyle w:val="FootnoteText"/>
      </w:pPr>
      <w:r>
        <w:rPr>
          <w:rStyle w:val="FootnoteReference"/>
        </w:rPr>
        <w:footnoteRef/>
      </w:r>
      <w:r>
        <w:t xml:space="preserve"> COM(2020) 299 final</w:t>
      </w:r>
    </w:p>
  </w:footnote>
  <w:footnote w:id="36">
    <w:p w:rsidR="00B60846" w:rsidRDefault="008069FF">
      <w:pPr>
        <w:pStyle w:val="FootnoteText"/>
      </w:pPr>
      <w:r>
        <w:rPr>
          <w:rStyle w:val="FootnoteReference"/>
        </w:rPr>
        <w:footnoteRef/>
      </w:r>
      <w:r>
        <w:t xml:space="preserve"> In Trinomics et al. (2018), it was stressed that the current setup for selecting PCI projects is partially adequate given the deficiency in accounting for energy efficiency in the evaluation process, </w:t>
      </w:r>
      <w:r>
        <w:t xml:space="preserve">although energy efficiency gains are accounted for in the demand levels of the scenarios to be modelled according to the TYNDP 2020 Scenario report. </w:t>
      </w:r>
    </w:p>
  </w:footnote>
  <w:footnote w:id="37">
    <w:p w:rsidR="00B60846" w:rsidRDefault="008069FF">
      <w:pPr>
        <w:pStyle w:val="FootnoteText"/>
      </w:pPr>
      <w:r>
        <w:rPr>
          <w:rStyle w:val="FootnoteReference"/>
        </w:rPr>
        <w:footnoteRef/>
      </w:r>
      <w:r>
        <w:t xml:space="preserve"> </w:t>
      </w:r>
      <w:hyperlink r:id="rId7" w:history="1">
        <w:r>
          <w:rPr>
            <w:rStyle w:val="Hyperlink"/>
          </w:rPr>
          <w:t>https://tyndp.entsoe.eu/about-the-tyndp/</w:t>
        </w:r>
      </w:hyperlink>
      <w:r>
        <w:t xml:space="preserve"> </w:t>
      </w:r>
    </w:p>
  </w:footnote>
  <w:footnote w:id="38">
    <w:p w:rsidR="00B60846" w:rsidRDefault="008069FF">
      <w:pPr>
        <w:pStyle w:val="FootnoteText"/>
      </w:pPr>
      <w:r>
        <w:rPr>
          <w:rStyle w:val="FootnoteReference"/>
        </w:rPr>
        <w:footnoteRef/>
      </w:r>
      <w:r>
        <w:t xml:space="preserve"> </w:t>
      </w:r>
      <w:hyperlink r:id="rId8" w:history="1">
        <w:r>
          <w:rPr>
            <w:rStyle w:val="Hyperlink"/>
          </w:rPr>
          <w:t>https://www.entsog.eu/tyndp#</w:t>
        </w:r>
      </w:hyperlink>
      <w:r>
        <w:t xml:space="preserve"> </w:t>
      </w:r>
    </w:p>
  </w:footnote>
  <w:footnote w:id="39">
    <w:p w:rsidR="00B60846" w:rsidRDefault="008069FF">
      <w:pPr>
        <w:pStyle w:val="FootnoteText"/>
        <w:rPr>
          <w:lang w:val="it-IT"/>
        </w:rPr>
      </w:pPr>
      <w:r>
        <w:rPr>
          <w:rStyle w:val="FootnoteReference"/>
        </w:rPr>
        <w:footnoteRef/>
      </w:r>
      <w:r>
        <w:rPr>
          <w:lang w:val="it-IT"/>
        </w:rPr>
        <w:t xml:space="preserve"> ENTSO-E/ENTSOG (2020): TYNDP 2020 Scenario Report, </w:t>
      </w:r>
      <w:hyperlink r:id="rId9" w:history="1">
        <w:r>
          <w:rPr>
            <w:rStyle w:val="Hyperlink"/>
            <w:lang w:val="it-IT"/>
          </w:rPr>
          <w:t>https://eepublicdownloads.azureedge.net/tyndp-documents/TYNDP_2020_Joint_Scenario_Report_ENTSOG_ENTSOE_200629_Final.pdf</w:t>
        </w:r>
      </w:hyperlink>
      <w:r>
        <w:rPr>
          <w:lang w:val="it-IT"/>
        </w:rPr>
        <w:t xml:space="preserve"> </w:t>
      </w:r>
    </w:p>
  </w:footnote>
  <w:footnote w:id="40">
    <w:p w:rsidR="00B60846" w:rsidRDefault="008069FF">
      <w:pPr>
        <w:pStyle w:val="FootnoteText"/>
      </w:pPr>
      <w:r>
        <w:rPr>
          <w:rStyle w:val="FootnoteReference"/>
        </w:rPr>
        <w:footnoteRef/>
      </w:r>
      <w:r>
        <w:t xml:space="preserve"> In the public consultation, a number of stakeholders indicated that ENTSOs role in planning and owning assets ultimately creates </w:t>
      </w:r>
      <w:r>
        <w:t>a potential conflict of interest that favours TSOs over non-TSOs promoters with a limited role of other technologies or actors.</w:t>
      </w:r>
    </w:p>
  </w:footnote>
  <w:footnote w:id="41">
    <w:p w:rsidR="00B60846" w:rsidRDefault="008069FF">
      <w:pPr>
        <w:pStyle w:val="FootnoteText"/>
      </w:pPr>
      <w:r>
        <w:rPr>
          <w:rStyle w:val="FootnoteReference"/>
        </w:rPr>
        <w:footnoteRef/>
      </w:r>
      <w:r>
        <w:t xml:space="preserve"> It is important to note that security of supply requires redundant infrastructure and needs to be taken into account in the co</w:t>
      </w:r>
      <w:r>
        <w:t>ntext of the energy efficiency first principle.</w:t>
      </w:r>
    </w:p>
  </w:footnote>
  <w:footnote w:id="42">
    <w:p w:rsidR="00B60846" w:rsidRDefault="008069FF">
      <w:pPr>
        <w:pStyle w:val="FootnoteText"/>
      </w:pPr>
      <w:r>
        <w:rPr>
          <w:rStyle w:val="FootnoteReference"/>
        </w:rPr>
        <w:footnoteRef/>
      </w:r>
      <w:r>
        <w:t xml:space="preserve"> E.g. Navigant/SWECO (2020): Study on the offshore grid potential in the Mediterranean region, ENER/B1/2019-508, Final draft report; ENTSO-E (2020): Position on Offshore Development, </w:t>
      </w:r>
      <w:hyperlink r:id="rId10" w:history="1">
        <w:r>
          <w:rPr>
            <w:rStyle w:val="Hyperlink"/>
          </w:rPr>
          <w:t>https://www.entsoe.eu/2020/05/29/entso-e-position-on-offshore-development/</w:t>
        </w:r>
      </w:hyperlink>
    </w:p>
  </w:footnote>
  <w:footnote w:id="43">
    <w:p w:rsidR="00B60846" w:rsidRDefault="008069FF">
      <w:pPr>
        <w:pStyle w:val="FootnoteText"/>
      </w:pPr>
      <w:r>
        <w:rPr>
          <w:rStyle w:val="FootnoteReference"/>
        </w:rPr>
        <w:footnoteRef/>
      </w:r>
      <w:r>
        <w:t xml:space="preserve"> E.g. Roland Berger (2019; “How to reduce costs and space of offshore development : North Seas offshore energy clusters study, </w:t>
      </w:r>
      <w:hyperlink r:id="rId11" w:history="1">
        <w:r>
          <w:rPr>
            <w:rStyle w:val="Hyperlink"/>
          </w:rPr>
          <w:t>https://ec.europa.eu/energy/studies/hybrid-projects-how-reduce-costs-and-space-offshore-developments_en?redir=1</w:t>
        </w:r>
      </w:hyperlink>
      <w:r>
        <w:t xml:space="preserve"> </w:t>
      </w:r>
    </w:p>
  </w:footnote>
  <w:footnote w:id="44">
    <w:p w:rsidR="00B60846" w:rsidRDefault="008069FF">
      <w:pPr>
        <w:pStyle w:val="FootnoteText"/>
        <w:rPr>
          <w:lang w:val="en-IE"/>
        </w:rPr>
      </w:pPr>
      <w:r>
        <w:rPr>
          <w:rStyle w:val="FootnoteReference"/>
        </w:rPr>
        <w:footnoteRef/>
      </w:r>
      <w:r>
        <w:t xml:space="preserve"> </w:t>
      </w:r>
      <w:r>
        <w:rPr>
          <w:lang w:val="en-IE"/>
        </w:rPr>
        <w:t xml:space="preserve">ACER (2020): Consolidated Report on the progress of electricity and gas Projects of Common Interest, </w:t>
      </w:r>
      <w:hyperlink r:id="rId12" w:history="1">
        <w:r>
          <w:rPr>
            <w:rStyle w:val="Hyperlink"/>
            <w:lang w:val="en-IE"/>
          </w:rPr>
          <w:t>https://www.acer.europa.eu/Official_documents/Acts_of_the_Agency/Publicatio</w:t>
        </w:r>
        <w:r>
          <w:rPr>
            <w:rStyle w:val="Hyperlink"/>
            <w:lang w:val="en-IE"/>
          </w:rPr>
          <w:t>n/Consolidated%20Report%20on%20the%20progress%20of%20electricity%20and%20gas%20Projects%20of%20Common%20Interest%20%282020%29.pdf</w:t>
        </w:r>
      </w:hyperlink>
      <w:r>
        <w:rPr>
          <w:lang w:val="en-IE"/>
        </w:rPr>
        <w:t xml:space="preserve"> </w:t>
      </w:r>
    </w:p>
  </w:footnote>
  <w:footnote w:id="45">
    <w:p w:rsidR="00B60846" w:rsidRDefault="008069FF">
      <w:pPr>
        <w:pStyle w:val="FootnoteText"/>
        <w:rPr>
          <w:lang w:val="pt-PT"/>
        </w:rPr>
      </w:pPr>
      <w:r>
        <w:rPr>
          <w:rStyle w:val="FootnoteReference"/>
        </w:rPr>
        <w:footnoteRef/>
      </w:r>
      <w:r>
        <w:rPr>
          <w:lang w:val="pt-PT"/>
        </w:rPr>
        <w:t xml:space="preserve"> Ibidem.</w:t>
      </w:r>
    </w:p>
  </w:footnote>
  <w:footnote w:id="46">
    <w:p w:rsidR="00B60846" w:rsidRDefault="008069FF">
      <w:pPr>
        <w:pStyle w:val="FootnoteText"/>
        <w:rPr>
          <w:lang w:val="pt-PT"/>
        </w:rPr>
      </w:pPr>
      <w:r>
        <w:rPr>
          <w:rStyle w:val="FootnoteReference"/>
        </w:rPr>
        <w:footnoteRef/>
      </w:r>
      <w:r>
        <w:rPr>
          <w:lang w:val="pt-PT"/>
        </w:rPr>
        <w:t xml:space="preserve"> Ibidem.</w:t>
      </w:r>
    </w:p>
  </w:footnote>
  <w:footnote w:id="47">
    <w:p w:rsidR="00B60846" w:rsidRDefault="008069FF">
      <w:pPr>
        <w:pStyle w:val="FootnoteText"/>
      </w:pPr>
      <w:r>
        <w:rPr>
          <w:rStyle w:val="FootnoteReference"/>
        </w:rPr>
        <w:footnoteRef/>
      </w:r>
      <w:r>
        <w:rPr>
          <w:lang w:val="fr-BE"/>
        </w:rPr>
        <w:t xml:space="preserve"> Ecorys et al. </w:t>
      </w:r>
      <w:r>
        <w:t>(2020): Support to the evaluation of Regulation (EU) No 347/2013 on guidelines for trans-</w:t>
      </w:r>
      <w:r>
        <w:t>European energy infrastructure, Draft final report</w:t>
      </w:r>
    </w:p>
  </w:footnote>
  <w:footnote w:id="48">
    <w:p w:rsidR="00B60846" w:rsidRDefault="008069FF">
      <w:pPr>
        <w:pStyle w:val="FootnoteText"/>
        <w:rPr>
          <w:lang w:val="nb-NO"/>
        </w:rPr>
      </w:pPr>
      <w:r>
        <w:rPr>
          <w:rStyle w:val="FootnoteReference"/>
        </w:rPr>
        <w:footnoteRef/>
      </w:r>
      <w:r>
        <w:t xml:space="preserve"> Scope et al. (2020) Innovative actions and strategies to boost public awareness, trust and acceptance of trans-European energy infrastructure projects. </w:t>
      </w:r>
      <w:r>
        <w:rPr>
          <w:lang w:val="nb-NO"/>
        </w:rPr>
        <w:t>Draft Revised Interim Report. DG ENER.</w:t>
      </w:r>
    </w:p>
  </w:footnote>
  <w:footnote w:id="49">
    <w:p w:rsidR="00B60846" w:rsidRDefault="008069FF">
      <w:pPr>
        <w:pStyle w:val="FootnoteText"/>
      </w:pPr>
      <w:r>
        <w:rPr>
          <w:rStyle w:val="FootnoteReference"/>
        </w:rPr>
        <w:footnoteRef/>
      </w:r>
      <w:r>
        <w:t xml:space="preserve"> Article 10 (6)</w:t>
      </w:r>
    </w:p>
  </w:footnote>
  <w:footnote w:id="50">
    <w:p w:rsidR="00B60846" w:rsidRDefault="008069FF">
      <w:pPr>
        <w:pStyle w:val="FootnoteText"/>
      </w:pPr>
      <w:r>
        <w:rPr>
          <w:rStyle w:val="FootnoteReference"/>
        </w:rPr>
        <w:footnoteRef/>
      </w:r>
      <w:r>
        <w:t xml:space="preserve"> Input from National Grid regarding the development of the Viking Cable during the PCI Days, December 2019 edition, the recording is accessible here: https://www.youtube.com/watch?v=uk84QPpEUyY, and input in the stakeholder consultation re</w:t>
      </w:r>
      <w:r>
        <w:t>garding the development of projects such as the Baltic Pipe.</w:t>
      </w:r>
    </w:p>
  </w:footnote>
  <w:footnote w:id="51">
    <w:p w:rsidR="00B60846" w:rsidRDefault="008069FF">
      <w:pPr>
        <w:pStyle w:val="FootnoteText"/>
      </w:pPr>
      <w:r>
        <w:rPr>
          <w:rStyle w:val="FootnoteReference"/>
        </w:rPr>
        <w:footnoteRef/>
      </w:r>
      <w:r>
        <w:t xml:space="preserve">  Ecorys et al. (2020): Support to the evaluation of Regulation (EU) No 347/2013 on guidelines for trans-European energy infrastructure, Draft final report.</w:t>
      </w:r>
    </w:p>
  </w:footnote>
  <w:footnote w:id="52">
    <w:p w:rsidR="00B60846" w:rsidRDefault="008069FF">
      <w:pPr>
        <w:pStyle w:val="FootnoteText"/>
      </w:pPr>
      <w:r>
        <w:rPr>
          <w:rStyle w:val="FootnoteReference"/>
        </w:rPr>
        <w:footnoteRef/>
      </w:r>
      <w:r>
        <w:t xml:space="preserve"> ACER (2018), Third Edition of the A</w:t>
      </w:r>
      <w:r>
        <w:t>gency’s Summary Report on Cross-Border Cost Allocation Decisions – Status update as of March 2018.</w:t>
      </w:r>
    </w:p>
  </w:footnote>
  <w:footnote w:id="53">
    <w:p w:rsidR="00B60846" w:rsidRDefault="008069FF">
      <w:pPr>
        <w:pStyle w:val="FootnoteText"/>
      </w:pPr>
      <w:r>
        <w:rPr>
          <w:rStyle w:val="FootnoteReference"/>
        </w:rPr>
        <w:footnoteRef/>
      </w:r>
      <w:r>
        <w:t xml:space="preserve"> Ecorys et al. (2020): Support to the evaluation of Regulation (EU) No 347/2013 on guidelines for trans-European energy infrastructure, Draft final report.</w:t>
      </w:r>
    </w:p>
  </w:footnote>
  <w:footnote w:id="54">
    <w:p w:rsidR="00B60846" w:rsidRDefault="008069FF">
      <w:pPr>
        <w:pStyle w:val="FootnoteText"/>
      </w:pPr>
      <w:r>
        <w:rPr>
          <w:rStyle w:val="FootnoteReference"/>
        </w:rPr>
        <w:footnoteRef/>
      </w:r>
      <w:r>
        <w:t xml:space="preserve"> Ibidem.</w:t>
      </w:r>
    </w:p>
  </w:footnote>
  <w:footnote w:id="55">
    <w:p w:rsidR="00B60846" w:rsidRDefault="008069FF">
      <w:pPr>
        <w:pStyle w:val="FootnoteText"/>
        <w:rPr>
          <w:lang w:val="en-IE"/>
        </w:rPr>
      </w:pPr>
      <w:r>
        <w:rPr>
          <w:rStyle w:val="FootnoteReference"/>
        </w:rPr>
        <w:footnoteRef/>
      </w:r>
      <w:r>
        <w:t xml:space="preserve"> For all cases where CBCA decisions were made, the project promoters consecutively applied for CEF grants. The objective of accessing CEF funding was indicated by stakeholders as more important than the allocation of costs between Member States.</w:t>
      </w:r>
    </w:p>
  </w:footnote>
  <w:footnote w:id="56">
    <w:p w:rsidR="00B60846" w:rsidRDefault="008069FF">
      <w:pPr>
        <w:pStyle w:val="FootnoteText"/>
      </w:pPr>
      <w:r>
        <w:rPr>
          <w:rStyle w:val="FootnoteReference"/>
        </w:rPr>
        <w:footnoteRef/>
      </w:r>
      <w:r>
        <w:t xml:space="preserve"> Ecorys et al. (2020): Support to the evaluation of Regulation (EU) No 347/2013 on guidelines for trans-European energy infrastructure.</w:t>
      </w:r>
    </w:p>
  </w:footnote>
  <w:footnote w:id="57">
    <w:p w:rsidR="00B60846" w:rsidRDefault="008069FF">
      <w:pPr>
        <w:pStyle w:val="FootnoteText"/>
      </w:pPr>
      <w:r>
        <w:rPr>
          <w:rStyle w:val="FootnoteReference"/>
        </w:rPr>
        <w:footnoteRef/>
      </w:r>
      <w:r>
        <w:t xml:space="preserve"> ACER (2019). Consolidated Report on the Progress of Electricity and Gas Projects of Common Interest. ACER (2018). Su</w:t>
      </w:r>
      <w:r>
        <w:t>mmary report on project-specific risk-based incentives.</w:t>
      </w:r>
    </w:p>
  </w:footnote>
  <w:footnote w:id="58">
    <w:p w:rsidR="00B60846" w:rsidRDefault="008069FF">
      <w:pPr>
        <w:pStyle w:val="FootnoteText"/>
      </w:pPr>
      <w:r>
        <w:footnoteRef/>
      </w:r>
      <w:r>
        <w:t xml:space="preserve"> As resulting from the Study on How to reduce costs and space of offshore development: North Seas offshore energy clusters study, European Commission, </w:t>
      </w:r>
      <w:hyperlink r:id="rId13" w:history="1">
        <w:r>
          <w:t>Roland Berger GmbH</w:t>
        </w:r>
      </w:hyperlink>
      <w:r>
        <w:t xml:space="preserve">, available at: </w:t>
      </w:r>
      <w:hyperlink r:id="rId14" w:history="1">
        <w:r>
          <w:t>https://op.europa.eu/en/pub</w:t>
        </w:r>
        <w:r>
          <w:t>lication-detail/-/publication/59165f6d-802e-11e9-9f05-01aa75ed71a1/language-en?WT.mc_id=Searchresult&amp;WT.ria_c=37085&amp;WT.ria_f=3608&amp;WT.ria_ev=search</w:t>
        </w:r>
      </w:hyperlink>
      <w:r>
        <w:t xml:space="preserve">  and the Study on Baltic offshore wind energy cooperation under BEMIP, </w:t>
      </w:r>
      <w:hyperlink r:id="rId15" w:history="1">
        <w:r>
          <w:t>COW</w:t>
        </w:r>
        <w:r>
          <w:t>I</w:t>
        </w:r>
      </w:hyperlink>
      <w:r>
        <w:t> , </w:t>
      </w:r>
      <w:hyperlink r:id="rId16" w:history="1">
        <w:r>
          <w:t>Directorate-General for Energy</w:t>
        </w:r>
      </w:hyperlink>
      <w:r>
        <w:t> (</w:t>
      </w:r>
      <w:hyperlink r:id="rId17" w:history="1">
        <w:r>
          <w:t>European Commission</w:t>
        </w:r>
      </w:hyperlink>
      <w:r>
        <w:t>) , </w:t>
      </w:r>
      <w:hyperlink r:id="rId18" w:history="1">
        <w:r>
          <w:t>Ea Energy Analyses</w:t>
        </w:r>
      </w:hyperlink>
      <w:r>
        <w:t> , </w:t>
      </w:r>
      <w:hyperlink r:id="rId19" w:history="1">
        <w:r>
          <w:t>THEMA Consulting group</w:t>
        </w:r>
      </w:hyperlink>
      <w:r>
        <w:t xml:space="preserve">, available at: </w:t>
      </w:r>
      <w:hyperlink r:id="rId20" w:history="1">
        <w:r>
          <w:t>https://op.europa.eu/en/publication-detail/-/publication/9590cdee-cd30-11e9-992f-01aa75ed71a1/language-en/format-PDF/source-search</w:t>
        </w:r>
      </w:hyperlink>
      <w:r>
        <w:t xml:space="preserve"> </w:t>
      </w:r>
    </w:p>
  </w:footnote>
  <w:footnote w:id="59">
    <w:p w:rsidR="00B60846" w:rsidRDefault="008069FF">
      <w:pPr>
        <w:pStyle w:val="FootnoteText"/>
      </w:pPr>
      <w:r>
        <w:rPr>
          <w:rStyle w:val="FootnoteReference"/>
        </w:rPr>
        <w:footnoteRef/>
      </w:r>
      <w:r>
        <w:t xml:space="preserve"> Regulation (EU) 2020/852 on the establishment of a framework to </w:t>
      </w:r>
      <w:r>
        <w:t>facilitate sustainable investment, and amending Regulation (EU) 2019/2088, OJ L 198, 22.6.2020, p. 13</w:t>
      </w:r>
    </w:p>
  </w:footnote>
  <w:footnote w:id="60">
    <w:p w:rsidR="00B60846" w:rsidRDefault="008069FF">
      <w:pPr>
        <w:pStyle w:val="FootnoteText"/>
      </w:pPr>
      <w:r>
        <w:rPr>
          <w:rStyle w:val="FootnoteReference"/>
        </w:rPr>
        <w:footnoteRef/>
      </w:r>
      <w:r>
        <w:t xml:space="preserve"> COMMISSION STAFF WORKING DOCUMENT IMPACT ASSESSMENT, Stepping up Europe’s 2030 climate ambition, SWD(2020) 176 final</w:t>
      </w:r>
    </w:p>
  </w:footnote>
  <w:footnote w:id="61">
    <w:p w:rsidR="00B60846" w:rsidRDefault="008069FF">
      <w:pPr>
        <w:pStyle w:val="FootnoteText"/>
      </w:pPr>
      <w:r>
        <w:rPr>
          <w:rStyle w:val="FootnoteReference"/>
        </w:rPr>
        <w:footnoteRef/>
      </w:r>
      <w:r>
        <w:t xml:space="preserve"> See modelling results in Ecorys e</w:t>
      </w:r>
      <w:r>
        <w:t>t al. (2020): Support to the evaluation of Regulation (EU) No 347/2013 on guidelines for trans-European energy infrastructure, Draft final report</w:t>
      </w:r>
    </w:p>
  </w:footnote>
  <w:footnote w:id="62">
    <w:p w:rsidR="00B60846" w:rsidRDefault="008069FF">
      <w:pPr>
        <w:pStyle w:val="FootnoteText"/>
      </w:pPr>
      <w:r>
        <w:rPr>
          <w:rStyle w:val="FootnoteReference"/>
        </w:rPr>
        <w:footnoteRef/>
      </w:r>
      <w:r>
        <w:t xml:space="preserve"> Artelys/Trinomics/Enerdata (2020): Study on energy storage – Contribution to the security of the electricity</w:t>
      </w:r>
      <w:r>
        <w:t xml:space="preserve"> supply in Europe, </w:t>
      </w:r>
      <w:hyperlink r:id="rId21" w:history="1">
        <w:r>
          <w:rPr>
            <w:rStyle w:val="Hyperlink"/>
          </w:rPr>
          <w:t>https://op.europa.eu/en/publication-detail/-/publication/a6eba083-932e-11ea-aac4-01aa75ed71a1</w:t>
        </w:r>
      </w:hyperlink>
      <w:r>
        <w:t xml:space="preserve">   </w:t>
      </w:r>
    </w:p>
  </w:footnote>
  <w:footnote w:id="63">
    <w:p w:rsidR="00B60846" w:rsidRDefault="008069FF">
      <w:pPr>
        <w:pStyle w:val="FootnoteText"/>
      </w:pPr>
      <w:r>
        <w:rPr>
          <w:rStyle w:val="FootnoteReference"/>
        </w:rPr>
        <w:footnoteRef/>
      </w:r>
      <w:r>
        <w:t xml:space="preserve"> Stakeholder views are briefl</w:t>
      </w:r>
      <w:r>
        <w:t>y summarised for each sub-section, for further details on the different stakeholder positions see Annex 2.</w:t>
      </w:r>
    </w:p>
  </w:footnote>
  <w:footnote w:id="64">
    <w:p w:rsidR="00B60846" w:rsidRDefault="008069FF">
      <w:pPr>
        <w:pStyle w:val="FootnoteText"/>
      </w:pPr>
      <w:r>
        <w:rPr>
          <w:rStyle w:val="FootnoteReference"/>
        </w:rPr>
        <w:footnoteRef/>
      </w:r>
      <w:r>
        <w:t xml:space="preserve"> Exact date tbd – but should be sufficiently early before the establishment of the first list under the revised TEN-E Regulation. Counting with a le</w:t>
      </w:r>
      <w:r>
        <w:t>gislative proposal in December 2020 and entry into force of the revised regulation in June 2022 (ambitious timeline of 1.5 years for co-decision), and counting with the 6</w:t>
      </w:r>
      <w:r>
        <w:rPr>
          <w:vertAlign w:val="superscript"/>
        </w:rPr>
        <w:t>th</w:t>
      </w:r>
      <w:r>
        <w:t xml:space="preserve"> list being adopted by end-2023  – requiring sufficient maturity by the end of 2022 </w:t>
      </w:r>
      <w:r>
        <w:t xml:space="preserve">seems like a meaningful working assumption for a cut-off date. </w:t>
      </w:r>
    </w:p>
  </w:footnote>
  <w:footnote w:id="65">
    <w:p w:rsidR="00B60846" w:rsidRDefault="008069FF">
      <w:pPr>
        <w:pStyle w:val="FootnoteText"/>
        <w:rPr>
          <w:lang w:val="en-IE"/>
        </w:rPr>
      </w:pPr>
      <w:r>
        <w:rPr>
          <w:rStyle w:val="FootnoteReference"/>
        </w:rPr>
        <w:footnoteRef/>
      </w:r>
      <w:r>
        <w:t xml:space="preserve"> In line with the NECPs, considering also the new ambition of the proposed Climate Target Plan, other national and regional investment plans, renewable potentials, maritime spatial plans and </w:t>
      </w:r>
      <w:r>
        <w:t>environmental aspects</w:t>
      </w:r>
    </w:p>
  </w:footnote>
  <w:footnote w:id="66">
    <w:p w:rsidR="00B60846" w:rsidRDefault="008069FF">
      <w:pPr>
        <w:pStyle w:val="FootnoteText"/>
      </w:pPr>
      <w:r>
        <w:rPr>
          <w:rStyle w:val="FootnoteReference"/>
        </w:rPr>
        <w:footnoteRef/>
      </w:r>
      <w:r>
        <w:t xml:space="preserve"> See Annex 8 for more information.</w:t>
      </w:r>
    </w:p>
  </w:footnote>
  <w:footnote w:id="67">
    <w:p w:rsidR="00B60846" w:rsidRDefault="008069FF">
      <w:pPr>
        <w:pStyle w:val="FootnoteText"/>
      </w:pPr>
      <w:r>
        <w:rPr>
          <w:rStyle w:val="FootnoteReference"/>
        </w:rPr>
        <w:footnoteRef/>
      </w:r>
      <w:r>
        <w:t xml:space="preserve"> For improving the readability of the report, we maintained in the man text only political options, with additional options of a technical nature being include and assessed in Annex 8.</w:t>
      </w:r>
    </w:p>
  </w:footnote>
  <w:footnote w:id="68">
    <w:p w:rsidR="00B60846" w:rsidRDefault="008069FF">
      <w:pPr>
        <w:pStyle w:val="FootnoteText"/>
      </w:pPr>
      <w:r>
        <w:rPr>
          <w:rStyle w:val="FootnoteReference"/>
        </w:rPr>
        <w:footnoteRef/>
      </w:r>
      <w:r>
        <w:t xml:space="preserve"> For improv</w:t>
      </w:r>
      <w:r>
        <w:t>ing the readability of the report, the main text includes only political options, with additional options of a technical nature being included and assessed in Annex 9.</w:t>
      </w:r>
    </w:p>
  </w:footnote>
  <w:footnote w:id="69">
    <w:p w:rsidR="00B60846" w:rsidRDefault="008069FF">
      <w:pPr>
        <w:pStyle w:val="FootnoteText"/>
      </w:pPr>
      <w:r>
        <w:rPr>
          <w:rStyle w:val="FootnoteReference"/>
        </w:rPr>
        <w:footnoteRef/>
      </w:r>
      <w:r>
        <w:t xml:space="preserve"> Ecofys (2018): Market testing for low-carbon innovation support to energy intensive in</w:t>
      </w:r>
      <w:r>
        <w:t xml:space="preserve">dustry and to power generation, </w:t>
      </w:r>
      <w:hyperlink r:id="rId22" w:history="1">
        <w:r>
          <w:rPr>
            <w:rStyle w:val="Hyperlink"/>
          </w:rPr>
          <w:t>https://op.europa.eu/en/publication-detail/-/publication/906bea83-b6fe-11e8-99ee-01aa75ed71a1</w:t>
        </w:r>
      </w:hyperlink>
      <w:r>
        <w:t xml:space="preserve"> </w:t>
      </w:r>
    </w:p>
  </w:footnote>
  <w:footnote w:id="70">
    <w:p w:rsidR="00B60846" w:rsidRDefault="008069FF">
      <w:pPr>
        <w:pStyle w:val="FootnoteText"/>
      </w:pPr>
      <w:r>
        <w:rPr>
          <w:rStyle w:val="FootnoteReference"/>
        </w:rPr>
        <w:footnoteRef/>
      </w:r>
      <w:r>
        <w:t xml:space="preserve"> Ecorys 2019, Do c</w:t>
      </w:r>
      <w:r>
        <w:t>urrrent regulatory frameworks in the EU support innovation and security of supply in electricity and gas grids.</w:t>
      </w:r>
    </w:p>
  </w:footnote>
  <w:footnote w:id="71">
    <w:p w:rsidR="00B60846" w:rsidRDefault="008069FF">
      <w:pPr>
        <w:pStyle w:val="FootnoteText"/>
      </w:pPr>
      <w:r>
        <w:rPr>
          <w:rStyle w:val="FootnoteReference"/>
        </w:rPr>
        <w:footnoteRef/>
      </w:r>
      <w:r>
        <w:t xml:space="preserve"> </w:t>
      </w:r>
      <w:r>
        <w:rPr>
          <w:sz w:val="18"/>
          <w:szCs w:val="18"/>
        </w:rPr>
        <w:t xml:space="preserve">Eurelectric (2019): The Value of the Grid, </w:t>
      </w:r>
      <w:r>
        <w:t xml:space="preserve"> </w:t>
      </w:r>
      <w:hyperlink r:id="rId23" w:history="1">
        <w:r>
          <w:rPr>
            <w:rStyle w:val="Hyperlink"/>
            <w:sz w:val="18"/>
            <w:szCs w:val="18"/>
          </w:rPr>
          <w:t>https://cdn.eurelectric.org/media/3921/value-of-the-grid-final-2019-030-0406-01-e-h-D1C80F0B.pdf</w:t>
        </w:r>
      </w:hyperlink>
      <w:r>
        <w:rPr>
          <w:sz w:val="18"/>
          <w:szCs w:val="18"/>
        </w:rPr>
        <w:t xml:space="preserve"> </w:t>
      </w:r>
    </w:p>
  </w:footnote>
  <w:footnote w:id="72">
    <w:p w:rsidR="00B60846" w:rsidRDefault="008069FF">
      <w:pPr>
        <w:pStyle w:val="FootnoteText"/>
        <w:rPr>
          <w:lang w:val="en-IE"/>
        </w:rPr>
      </w:pPr>
      <w:r>
        <w:rPr>
          <w:rStyle w:val="FootnoteReference"/>
        </w:rPr>
        <w:footnoteRef/>
      </w:r>
      <w:r>
        <w:t xml:space="preserve"> COMMISSION STAFF WORKING DOCUMENT IMPACT ASSESSMENT, Stepping up Europe’s 2030 climate ambition, SWD(2020) 176 final</w:t>
      </w:r>
    </w:p>
  </w:footnote>
  <w:footnote w:id="73">
    <w:p w:rsidR="00B60846" w:rsidRDefault="008069FF">
      <w:pPr>
        <w:pStyle w:val="FootnoteText"/>
      </w:pPr>
      <w:r>
        <w:rPr>
          <w:rStyle w:val="FootnoteReference"/>
        </w:rPr>
        <w:footnoteRef/>
      </w:r>
      <w:r>
        <w:t xml:space="preserve"> Artelys/Trinomics/Ener</w:t>
      </w:r>
      <w:r>
        <w:t xml:space="preserve">data (2020): Study on energy storage – Contribution to the security of the electricity supply in Europe, </w:t>
      </w:r>
      <w:hyperlink r:id="rId24" w:history="1">
        <w:r>
          <w:rPr>
            <w:rStyle w:val="Hyperlink"/>
          </w:rPr>
          <w:t>https://op.europa.eu/en/publication-detai</w:t>
        </w:r>
        <w:r>
          <w:rPr>
            <w:rStyle w:val="Hyperlink"/>
          </w:rPr>
          <w:t>l/-/publication/a6eba083-932e-11ea-aac4-01aa75ed71a1</w:t>
        </w:r>
      </w:hyperlink>
    </w:p>
  </w:footnote>
  <w:footnote w:id="74">
    <w:p w:rsidR="00B60846" w:rsidRDefault="008069FF">
      <w:pPr>
        <w:pStyle w:val="FootnoteText"/>
      </w:pPr>
      <w:r>
        <w:rPr>
          <w:rStyle w:val="FootnoteReference"/>
        </w:rPr>
        <w:footnoteRef/>
      </w:r>
      <w:r>
        <w:t xml:space="preserve"> IEA Energy Storage Study 2020, </w:t>
      </w:r>
      <w:hyperlink r:id="rId25" w:history="1">
        <w:r>
          <w:rPr>
            <w:rStyle w:val="Hyperlink"/>
          </w:rPr>
          <w:t>https://www.iea.org/reports/energy-storage</w:t>
        </w:r>
      </w:hyperlink>
      <w:r>
        <w:t xml:space="preserve"> </w:t>
      </w:r>
    </w:p>
  </w:footnote>
  <w:footnote w:id="75">
    <w:p w:rsidR="00B60846" w:rsidRDefault="008069FF">
      <w:pPr>
        <w:pStyle w:val="FootnoteText"/>
      </w:pPr>
      <w:r>
        <w:rPr>
          <w:rStyle w:val="FootnoteReference"/>
        </w:rPr>
        <w:footnoteRef/>
      </w:r>
      <w:r>
        <w:t xml:space="preserve"> FLUENCE 2019 White Paper, Redrawing the Network Map: Energy Storage as Virtual Transmission</w:t>
      </w:r>
    </w:p>
  </w:footnote>
  <w:footnote w:id="76">
    <w:p w:rsidR="00B60846" w:rsidRDefault="008069FF">
      <w:pPr>
        <w:pStyle w:val="FootnoteText"/>
      </w:pPr>
      <w:r>
        <w:rPr>
          <w:rStyle w:val="FootnoteReference"/>
        </w:rPr>
        <w:footnoteRef/>
      </w:r>
      <w:r>
        <w:t xml:space="preserve"> COM(2019) 176 final</w:t>
      </w:r>
    </w:p>
  </w:footnote>
  <w:footnote w:id="77">
    <w:p w:rsidR="00B60846" w:rsidRDefault="008069FF">
      <w:pPr>
        <w:pStyle w:val="FootnoteText"/>
        <w:rPr>
          <w:sz w:val="18"/>
          <w:szCs w:val="18"/>
        </w:rPr>
      </w:pPr>
      <w:r>
        <w:rPr>
          <w:rStyle w:val="FootnoteReference"/>
          <w:sz w:val="18"/>
          <w:szCs w:val="18"/>
        </w:rPr>
        <w:footnoteRef/>
      </w:r>
      <w:r>
        <w:rPr>
          <w:sz w:val="18"/>
          <w:szCs w:val="18"/>
        </w:rPr>
        <w:t xml:space="preserve"> </w:t>
      </w:r>
      <w:r>
        <w:rPr>
          <w:color w:val="000000"/>
          <w:sz w:val="18"/>
          <w:szCs w:val="18"/>
        </w:rPr>
        <w:t xml:space="preserve">with demand-response accounting for 22 TWh and storage accounting for 45 TWh - </w:t>
      </w:r>
      <w:r>
        <w:rPr>
          <w:sz w:val="18"/>
          <w:szCs w:val="18"/>
        </w:rPr>
        <w:t>IEA 2016</w:t>
      </w:r>
    </w:p>
  </w:footnote>
  <w:footnote w:id="78">
    <w:p w:rsidR="00B60846" w:rsidRDefault="008069FF">
      <w:pPr>
        <w:pStyle w:val="FootnoteText"/>
      </w:pPr>
      <w:r>
        <w:rPr>
          <w:rStyle w:val="FootnoteReference"/>
        </w:rPr>
        <w:footnoteRef/>
      </w:r>
      <w:r>
        <w:t xml:space="preserve"> EC report “Role of electricity in energy storage”, February 2017, </w:t>
      </w:r>
      <w:hyperlink r:id="rId26" w:history="1">
        <w:r>
          <w:rPr>
            <w:rStyle w:val="Hyperlink"/>
          </w:rPr>
          <w:t>https://ec.europa.eu/energy/sites/ener/files/documents/swd2017_61_doc</w:t>
        </w:r>
        <w:r>
          <w:rPr>
            <w:rStyle w:val="Hyperlink"/>
          </w:rPr>
          <w:t>ument_travail_service_part1_v6.pdf</w:t>
        </w:r>
      </w:hyperlink>
      <w:r>
        <w:t xml:space="preserve"> </w:t>
      </w:r>
    </w:p>
  </w:footnote>
  <w:footnote w:id="79">
    <w:p w:rsidR="00B60846" w:rsidRDefault="008069FF">
      <w:pPr>
        <w:pStyle w:val="FootnoteText"/>
      </w:pPr>
      <w:r>
        <w:rPr>
          <w:rStyle w:val="FootnoteReference"/>
        </w:rPr>
        <w:footnoteRef/>
      </w:r>
      <w:r>
        <w:t xml:space="preserve"> E.g. ETIP SNET (2018): DIGITALIZATION OF THE ENERGY SYSTEM AND CUSTOMER PARTICIPATION: Description and recommendations of Technologies, Use Cases and Cybersecurity, </w:t>
      </w:r>
      <w:hyperlink r:id="rId27" w:history="1">
        <w:r>
          <w:rPr>
            <w:rStyle w:val="Hyperlink"/>
          </w:rPr>
          <w:t>https://www.etip-snet.eu/wp-content/uploads/2018/11/ETIP-SNET-Position-Paper-on-Digitalisation-short-for-web.pdf</w:t>
        </w:r>
      </w:hyperlink>
      <w:r>
        <w:t xml:space="preserve"> </w:t>
      </w:r>
    </w:p>
  </w:footnote>
  <w:footnote w:id="80">
    <w:p w:rsidR="00B60846" w:rsidRDefault="008069FF">
      <w:pPr>
        <w:pStyle w:val="FootnoteText"/>
      </w:pPr>
      <w:r>
        <w:rPr>
          <w:rStyle w:val="FootnoteReference"/>
        </w:rPr>
        <w:footnoteRef/>
      </w:r>
      <w:r>
        <w:t xml:space="preserve"> IN-DEPTH ANALYSIS IN SUPPORT OF THE COMMISSION COMMUNICATION COM</w:t>
      </w:r>
      <w:r>
        <w:t xml:space="preserve">(2018) 773 A Clean Planet for all, A European long-term strategic vision for a prosperous, modern, competitive and climate neutral economy, </w:t>
      </w:r>
      <w:hyperlink r:id="rId28" w:history="1">
        <w:r>
          <w:rPr>
            <w:rStyle w:val="Hyperlink"/>
          </w:rPr>
          <w:t>ht</w:t>
        </w:r>
        <w:r>
          <w:rPr>
            <w:rStyle w:val="Hyperlink"/>
          </w:rPr>
          <w:t>tps://ec.europa.eu/clima/sites/clima/files/docs/pages/com_2018_733_analysis_in_support_en_0.pdf</w:t>
        </w:r>
      </w:hyperlink>
      <w:r>
        <w:t xml:space="preserve"> </w:t>
      </w:r>
    </w:p>
  </w:footnote>
  <w:footnote w:id="81">
    <w:p w:rsidR="00B60846" w:rsidRDefault="008069FF">
      <w:pPr>
        <w:pStyle w:val="FootnoteText"/>
      </w:pPr>
      <w:r>
        <w:rPr>
          <w:rStyle w:val="FootnoteReference"/>
        </w:rPr>
        <w:footnoteRef/>
      </w:r>
      <w:r>
        <w:t xml:space="preserve"> REKK study concluded that Europe overall benefited significantly from the implementation of the already commissioned PCIs which are estimated to bring more t</w:t>
      </w:r>
      <w:r>
        <w:t>han 132 m€ of socio-economic benefit per year, leading to an increase in trading of 42.5 TWh/year and an increase in LNG flow of around 18.3 TWh/year.</w:t>
      </w:r>
    </w:p>
  </w:footnote>
  <w:footnote w:id="82">
    <w:p w:rsidR="00B60846" w:rsidRDefault="008069FF">
      <w:pPr>
        <w:spacing w:after="0"/>
        <w:rPr>
          <w:rFonts w:ascii="Arial" w:eastAsiaTheme="minorEastAsia" w:hAnsi="Arial" w:cs="Arial"/>
          <w:color w:val="000000"/>
          <w:sz w:val="14"/>
          <w:szCs w:val="14"/>
        </w:rPr>
      </w:pPr>
      <w:r>
        <w:rPr>
          <w:rStyle w:val="FootnoteReference"/>
        </w:rPr>
        <w:footnoteRef/>
      </w:r>
      <w:r>
        <w:t xml:space="preserve"> </w:t>
      </w:r>
      <w:r>
        <w:rPr>
          <w:sz w:val="20"/>
        </w:rPr>
        <w:t>European Commission (2018) Quo vadis EU gas market regulatory framework –Study on a Gas Market Design f</w:t>
      </w:r>
      <w:r>
        <w:rPr>
          <w:sz w:val="20"/>
        </w:rPr>
        <w:t>or Europe</w:t>
      </w:r>
      <w:r>
        <w:rPr>
          <w:rFonts w:eastAsiaTheme="minorEastAsia"/>
          <w:color w:val="000000"/>
          <w:sz w:val="20"/>
        </w:rPr>
        <w:t xml:space="preserve">, </w:t>
      </w:r>
      <w:hyperlink r:id="rId29" w:history="1">
        <w:r>
          <w:rPr>
            <w:rStyle w:val="Hyperlink"/>
            <w:rFonts w:eastAsiaTheme="minorEastAsia"/>
            <w:sz w:val="20"/>
          </w:rPr>
          <w:t>https://ec.europa.eu/energy/sites/ener/files/documents/quo_vadis_report_16feb18.pdf</w:t>
        </w:r>
      </w:hyperlink>
      <w:r>
        <w:rPr>
          <w:rFonts w:eastAsiaTheme="minorEastAsia"/>
          <w:color w:val="000000"/>
          <w:sz w:val="20"/>
        </w:rPr>
        <w:t xml:space="preserve"> </w:t>
      </w:r>
    </w:p>
  </w:footnote>
  <w:footnote w:id="83">
    <w:p w:rsidR="00B60846" w:rsidRDefault="008069FF">
      <w:pPr>
        <w:pStyle w:val="FootnoteText"/>
        <w:jc w:val="left"/>
      </w:pPr>
      <w:r>
        <w:rPr>
          <w:rStyle w:val="FootnoteReference"/>
        </w:rPr>
        <w:footnoteRef/>
      </w:r>
      <w:r>
        <w:t xml:space="preserve">ENTSO-G (2017), Ten Year Network Development Plan 2017, </w:t>
      </w:r>
    </w:p>
  </w:footnote>
  <w:footnote w:id="84">
    <w:p w:rsidR="00B60846" w:rsidRDefault="008069FF">
      <w:pPr>
        <w:pStyle w:val="FootnoteText"/>
      </w:pPr>
      <w:r>
        <w:rPr>
          <w:rStyle w:val="FootnoteReference"/>
        </w:rPr>
        <w:footnoteRef/>
      </w:r>
      <w:r>
        <w:t xml:space="preserve"> </w:t>
      </w:r>
      <w:r>
        <w:t>See ACER monitoring reports, eg. ACER/CEER</w:t>
      </w:r>
      <w:hyperlink r:id="rId30" w:history="1">
        <w:r>
          <w:rPr>
            <w:rStyle w:val="Hyperlink"/>
          </w:rPr>
          <w:t xml:space="preserve">: Annual Report on  the  Results </w:t>
        </w:r>
        <w:r>
          <w:rPr>
            <w:rStyle w:val="Hyperlink"/>
          </w:rPr>
          <w:t>of Monitoring the Internal Natural Gas Markets in 2018</w:t>
        </w:r>
      </w:hyperlink>
      <w:r>
        <w:t xml:space="preserve"> </w:t>
      </w:r>
    </w:p>
  </w:footnote>
  <w:footnote w:id="85">
    <w:p w:rsidR="00B60846" w:rsidRDefault="008069FF">
      <w:pPr>
        <w:pStyle w:val="FootnoteText"/>
        <w:jc w:val="left"/>
      </w:pPr>
      <w:r>
        <w:rPr>
          <w:rStyle w:val="FootnoteReference"/>
        </w:rPr>
        <w:footnoteRef/>
      </w:r>
      <w:r>
        <w:t xml:space="preserve"> ACER: Monitoring update on incremental capacity projects and virtual interconnection points, July 2020, available at:  </w:t>
      </w:r>
      <w:hyperlink r:id="rId31" w:history="1">
        <w:r>
          <w:rPr>
            <w:rStyle w:val="Hyperlink"/>
          </w:rPr>
          <w:t>https://www.acer.europa.eu/Official_documents</w:t>
        </w:r>
        <w:r>
          <w:rPr>
            <w:rStyle w:val="Hyperlink"/>
          </w:rPr>
          <w:t>/Acts_of_the_Agency/Publication/ACER%20Monitoring%20update%20on%20incremental%20capacity%20projects%20and%20virtual%20interconnection%20points.2020.pdf</w:t>
        </w:r>
      </w:hyperlink>
      <w:r>
        <w:t xml:space="preserve"> </w:t>
      </w:r>
    </w:p>
  </w:footnote>
  <w:footnote w:id="86">
    <w:p w:rsidR="00B60846" w:rsidRDefault="008069FF">
      <w:pPr>
        <w:pStyle w:val="FootnoteText"/>
      </w:pPr>
      <w:r>
        <w:rPr>
          <w:rStyle w:val="FootnoteReference"/>
        </w:rPr>
        <w:footnoteRef/>
      </w:r>
      <w:r>
        <w:t xml:space="preserve"> REKK modelling concluded that by implementing all the advanced gas projects (i.e. those that have alr</w:t>
      </w:r>
      <w:r>
        <w:t>eady made a final investment decision) from the 4</w:t>
      </w:r>
      <w:r>
        <w:rPr>
          <w:vertAlign w:val="superscript"/>
        </w:rPr>
        <w:t>th</w:t>
      </w:r>
      <w:r>
        <w:t xml:space="preserve"> PCI list, Europe would have a decrease in price dispersion of about EUR0.69/MWh (reaching EUR0.83/MWh if all PCIs on the 4</w:t>
      </w:r>
      <w:r>
        <w:rPr>
          <w:vertAlign w:val="superscript"/>
        </w:rPr>
        <w:t>th</w:t>
      </w:r>
      <w:r>
        <w:t xml:space="preserve"> PCI list were to be build). Although minor, this decrease in average wholesale </w:t>
      </w:r>
      <w:r>
        <w:t>price illustrates that on some markets these projects may bring incremental benefits. Regarding trade, all PCIs of the 4</w:t>
      </w:r>
      <w:r>
        <w:rPr>
          <w:vertAlign w:val="superscript"/>
        </w:rPr>
        <w:t>th</w:t>
      </w:r>
      <w:r>
        <w:t xml:space="preserve"> PCI list would decrease the total flow levels on the network by 1%, showing therefore that the European network infrastructure is ade</w:t>
      </w:r>
      <w:r>
        <w:t>quate to serve the demand and PCIs from the fourth list will mostly help only with the better utilisation of the grid by providing shorter routes and route diversification. These messages are also supported by an internal JRC study run in parallel on the s</w:t>
      </w:r>
      <w:r>
        <w:t>ame topic.</w:t>
      </w:r>
    </w:p>
  </w:footnote>
  <w:footnote w:id="87">
    <w:p w:rsidR="00B60846" w:rsidRDefault="008069FF">
      <w:pPr>
        <w:pStyle w:val="FootnoteText"/>
      </w:pPr>
      <w:r>
        <w:rPr>
          <w:rStyle w:val="FootnoteReference"/>
        </w:rPr>
        <w:footnoteRef/>
      </w:r>
      <w:r>
        <w:t xml:space="preserve"> For instance, up to 70% of additional demand for green hydrogen projected by German TSOs for 2025 and 2030 is expected to be covere by imports of decarbonised hydrogen from the Netherlands (FNB Gas: Gas Network Development Plan 2020-2030, p. 1</w:t>
      </w:r>
      <w:r>
        <w:t xml:space="preserve">42). European gas TSOs expect that a European hydrogen backbone would start to emerge from around 2030 and the initial regional clusters would progressively expand into a truly European hydrogen transport network (see European Hydrogen Backbone, report by </w:t>
      </w:r>
      <w:r>
        <w:t xml:space="preserve">11 European gas TSOs, July 2020, available at: </w:t>
      </w:r>
      <w:hyperlink r:id="rId32" w:history="1">
        <w:r>
          <w:rPr>
            <w:rStyle w:val="Hyperlink"/>
          </w:rPr>
          <w:t>https://gasforclimate2050.eu/sdm_downloads/european-hydrogen-backbone/</w:t>
        </w:r>
      </w:hyperlink>
      <w:r>
        <w:t>).</w:t>
      </w:r>
    </w:p>
  </w:footnote>
  <w:footnote w:id="88">
    <w:p w:rsidR="00B60846" w:rsidRDefault="008069FF">
      <w:pPr>
        <w:pStyle w:val="FootnoteText"/>
      </w:pPr>
      <w:r>
        <w:rPr>
          <w:rStyle w:val="FootnoteReference"/>
        </w:rPr>
        <w:footnoteRef/>
      </w:r>
      <w:r>
        <w:t xml:space="preserve"> This would be on analogy of CO</w:t>
      </w:r>
      <w:r>
        <w:rPr>
          <w:vertAlign w:val="subscript"/>
        </w:rPr>
        <w:t>2</w:t>
      </w:r>
      <w:r>
        <w:t xml:space="preserve"> networks which </w:t>
      </w:r>
      <w:r>
        <w:t>are also not included in a TYNDP. Depending on the infrastructure category, PCI status is not limited to projects that are included in a TYDNP.</w:t>
      </w:r>
    </w:p>
  </w:footnote>
  <w:footnote w:id="89">
    <w:p w:rsidR="00B60846" w:rsidRDefault="008069FF">
      <w:pPr>
        <w:pStyle w:val="FootnoteText"/>
      </w:pPr>
      <w:r>
        <w:rPr>
          <w:rStyle w:val="FootnoteReference"/>
        </w:rPr>
        <w:footnoteRef/>
      </w:r>
      <w:r>
        <w:t xml:space="preserve"> See A hydrogen strategy for a climate-neutral Europe, COM(2020) 301 final; and Powering a climate-neutral econ</w:t>
      </w:r>
      <w:r>
        <w:t>omy: An EU Strategy for Energy System Integration, COM(2020) 299 final</w:t>
      </w:r>
    </w:p>
  </w:footnote>
  <w:footnote w:id="90">
    <w:p w:rsidR="00B60846" w:rsidRDefault="008069FF">
      <w:pPr>
        <w:pStyle w:val="FootnoteText"/>
        <w:jc w:val="left"/>
      </w:pPr>
      <w:r>
        <w:rPr>
          <w:rStyle w:val="FootnoteReference"/>
        </w:rPr>
        <w:footnoteRef/>
      </w:r>
      <w:r>
        <w:t xml:space="preserve"> In existing plans to create a hydrogen backbone in the Netherlands and in Germany, up to 90% of the future hydrogen network is planned to be based on the conversion of no longer neede</w:t>
      </w:r>
      <w:r>
        <w:t xml:space="preserve">d natural gas assets, the rest would be new infrastructure (see </w:t>
      </w:r>
      <w:hyperlink r:id="rId33" w:history="1">
        <w:r>
          <w:rPr>
            <w:rStyle w:val="Hyperlink"/>
          </w:rPr>
          <w:t>http://www.get-h2.de/en/initiativeandvision/</w:t>
        </w:r>
      </w:hyperlink>
      <w:r>
        <w:t xml:space="preserve"> and </w:t>
      </w:r>
      <w:hyperlink r:id="rId34" w:history="1">
        <w:r>
          <w:rPr>
            <w:rStyle w:val="Hyperlink"/>
          </w:rPr>
          <w:t>htt</w:t>
        </w:r>
        <w:r>
          <w:rPr>
            <w:rStyle w:val="Hyperlink"/>
          </w:rPr>
          <w:t>ps://www.gasunie.nl/en/expertise/hydrogen/hydrogen-projects</w:t>
        </w:r>
      </w:hyperlink>
      <w:r>
        <w:t>). The 23 000 km European hydrogen backbone envisaged by 11 European gas TSOs for 2040 would consist 75% of converted natural gas infrastructure, connected by 25% new hydrogen assets (</w:t>
      </w:r>
      <w:hyperlink r:id="rId35" w:history="1">
        <w:r>
          <w:rPr>
            <w:rStyle w:val="Hyperlink"/>
          </w:rPr>
          <w:t>https://gasforclimate2050.eu/sdm_downloads/european-hydrogen-backbone</w:t>
        </w:r>
      </w:hyperlink>
      <w:r>
        <w:rPr>
          <w:rStyle w:val="Hyperlink"/>
        </w:rPr>
        <w:t>)</w:t>
      </w:r>
      <w:r>
        <w:t>.</w:t>
      </w:r>
    </w:p>
  </w:footnote>
  <w:footnote w:id="91">
    <w:p w:rsidR="00B60846" w:rsidRDefault="008069FF">
      <w:pPr>
        <w:pStyle w:val="FootnoteText"/>
      </w:pPr>
      <w:r>
        <w:rPr>
          <w:rStyle w:val="FootnoteReference"/>
        </w:rPr>
        <w:footnoteRef/>
      </w:r>
      <w:r>
        <w:t xml:space="preserve"> European TSOs estimate that while new hydrogen pipelines could cost 10-50% more than similar natural gas pipe</w:t>
      </w:r>
      <w:r>
        <w:t xml:space="preserve">lines, repurposed hydrogen pipelines would cost only 10-35% of new hydrogen pipelines (European Hydrogen Backbone, report by 11 European gas TSOs, July 2020, available at: </w:t>
      </w:r>
      <w:hyperlink r:id="rId36" w:history="1">
        <w:r>
          <w:rPr>
            <w:rStyle w:val="Hyperlink"/>
          </w:rPr>
          <w:t>https://gasforclimate2050.eu/sdm_downloads/european-hydrogen-backbone/</w:t>
        </w:r>
      </w:hyperlink>
      <w:r>
        <w:t xml:space="preserve">). German TSOs estimate that investment costs for conversion projects is up to 90% cheaper than for new build (FNB Gas: Gas Network Development Plan 2020-2030, p. 148). </w:t>
      </w:r>
    </w:p>
  </w:footnote>
  <w:footnote w:id="92">
    <w:p w:rsidR="00B60846" w:rsidRDefault="008069FF">
      <w:pPr>
        <w:pStyle w:val="FootnoteText"/>
      </w:pPr>
      <w:r>
        <w:rPr>
          <w:rStyle w:val="FootnoteReference"/>
        </w:rPr>
        <w:footnoteRef/>
      </w:r>
      <w:r>
        <w:t xml:space="preserve"> Internation</w:t>
      </w:r>
      <w:r>
        <w:t>al Energy Agency: The Future of Hydrogen, June 2019, esp. pp, 67-84. For cost estimates of different hydrogen transport options, see also Asset project (funded by the European Commission): Jan Cihlar et al.: Hydrogen generation in Europe: Overview of costs</w:t>
      </w:r>
      <w:r>
        <w:t xml:space="preserve"> and figures, June 2020, pp. 12-14. ; see also Navigant (2019): Gas for Climate The optimal role for gas in a net-zero emissions energy system, March 2019, table on p. 98</w:t>
      </w:r>
    </w:p>
  </w:footnote>
  <w:footnote w:id="93">
    <w:p w:rsidR="00B60846" w:rsidRDefault="008069FF">
      <w:pPr>
        <w:pStyle w:val="FootnoteText"/>
      </w:pPr>
      <w:r>
        <w:rPr>
          <w:rStyle w:val="FootnoteReference"/>
        </w:rPr>
        <w:footnoteRef/>
      </w:r>
      <w:r>
        <w:t xml:space="preserve"> ACER: NRA Survey on Hydrogen, Biomethane, and Related Network Adaptations, Evaluati</w:t>
      </w:r>
      <w:r>
        <w:t>on of Responses Report, July 2020</w:t>
      </w:r>
    </w:p>
  </w:footnote>
  <w:footnote w:id="94">
    <w:p w:rsidR="00B60846" w:rsidRDefault="008069FF">
      <w:pPr>
        <w:pStyle w:val="FootnoteText"/>
      </w:pPr>
      <w:r>
        <w:rPr>
          <w:rStyle w:val="FootnoteReference"/>
        </w:rPr>
        <w:footnoteRef/>
      </w:r>
      <w:r>
        <w:t xml:space="preserve"> see Trinomics: Study on Opportunities arising from the inclusion of Hydrogen Energy Technologies in the National Energy &amp; Climate Plans, final report, June 2020, chapter 2</w:t>
      </w:r>
    </w:p>
  </w:footnote>
  <w:footnote w:id="95">
    <w:p w:rsidR="00B60846" w:rsidRDefault="008069FF">
      <w:pPr>
        <w:pStyle w:val="FootnoteText"/>
      </w:pPr>
      <w:r>
        <w:rPr>
          <w:rStyle w:val="FootnoteReference"/>
        </w:rPr>
        <w:footnoteRef/>
      </w:r>
      <w:r>
        <w:t xml:space="preserve"> </w:t>
      </w:r>
      <w:hyperlink r:id="rId37" w:history="1">
        <w:r>
          <w:rPr>
            <w:rStyle w:val="Hyperlink"/>
          </w:rPr>
          <w:t>https://gasforclimate2050.eu/sdm_downloads/european-hydrogen-backbone</w:t>
        </w:r>
      </w:hyperlink>
      <w:r>
        <w:t xml:space="preserve"> </w:t>
      </w:r>
    </w:p>
  </w:footnote>
  <w:footnote w:id="96">
    <w:p w:rsidR="00B60846" w:rsidRDefault="008069FF">
      <w:pPr>
        <w:pStyle w:val="FootnoteText"/>
      </w:pPr>
      <w:r>
        <w:rPr>
          <w:rStyle w:val="FootnoteReference"/>
        </w:rPr>
        <w:footnoteRef/>
      </w:r>
      <w:r>
        <w:t xml:space="preserve"> </w:t>
      </w:r>
      <w:hyperlink r:id="rId38" w:history="1">
        <w:r>
          <w:rPr>
            <w:rStyle w:val="Hyperlink"/>
          </w:rPr>
          <w:t>https://gasforclimate2050.eu/sdm_downloads/european-hydro</w:t>
        </w:r>
        <w:r>
          <w:rPr>
            <w:rStyle w:val="Hyperlink"/>
          </w:rPr>
          <w:t>gen-backbone</w:t>
        </w:r>
      </w:hyperlink>
      <w:r>
        <w:t xml:space="preserve"> </w:t>
      </w:r>
    </w:p>
  </w:footnote>
  <w:footnote w:id="97">
    <w:p w:rsidR="00B60846" w:rsidRDefault="008069FF">
      <w:pPr>
        <w:pStyle w:val="FootnoteText"/>
      </w:pPr>
      <w:r>
        <w:rPr>
          <w:rStyle w:val="FootnoteReference"/>
        </w:rPr>
        <w:footnoteRef/>
      </w:r>
      <w:r>
        <w:t xml:space="preserve"> A hydrogen strategy for a climate-neutral Europe, COM(2020) 301 final</w:t>
      </w:r>
    </w:p>
  </w:footnote>
  <w:footnote w:id="98">
    <w:p w:rsidR="00B60846" w:rsidRDefault="008069FF">
      <w:pPr>
        <w:pStyle w:val="FootnoteText"/>
      </w:pPr>
      <w:r>
        <w:rPr>
          <w:rStyle w:val="FootnoteReference"/>
        </w:rPr>
        <w:footnoteRef/>
      </w:r>
      <w:r>
        <w:t xml:space="preserve"> Green Hydrogen for a European Green Deal – A 2x40 GW initiative, Hydrogen Europe, 2020</w:t>
      </w:r>
    </w:p>
  </w:footnote>
  <w:footnote w:id="99">
    <w:p w:rsidR="00B60846" w:rsidRDefault="008069FF">
      <w:pPr>
        <w:pStyle w:val="FootnoteText"/>
      </w:pPr>
      <w:r>
        <w:rPr>
          <w:rStyle w:val="FootnoteReference"/>
        </w:rPr>
        <w:footnoteRef/>
      </w:r>
      <w:r>
        <w:t xml:space="preserve"> These are electrolyser investment cost only, the figures do not include the inv</w:t>
      </w:r>
      <w:r>
        <w:t xml:space="preserve">estments in solar and wind farms, transport and storage infrastructure, nor end-use applications.  </w:t>
      </w:r>
    </w:p>
  </w:footnote>
  <w:footnote w:id="100">
    <w:p w:rsidR="00B60846" w:rsidRDefault="008069FF">
      <w:pPr>
        <w:pStyle w:val="FootnoteText"/>
      </w:pPr>
      <w:r>
        <w:rPr>
          <w:rStyle w:val="FootnoteReference"/>
        </w:rPr>
        <w:footnoteRef/>
      </w:r>
      <w:r>
        <w:t xml:space="preserve"> Data from Trinomics: Study on Opportunities arising from the inclusion of Hydrogen Energy Technologies in the National Energy &amp; Climate Plans, Final repor</w:t>
      </w:r>
      <w:r>
        <w:t xml:space="preserve">t, June 2020 </w:t>
      </w:r>
    </w:p>
  </w:footnote>
  <w:footnote w:id="101">
    <w:p w:rsidR="00B60846" w:rsidRDefault="008069FF">
      <w:pPr>
        <w:pStyle w:val="FootnoteText"/>
      </w:pPr>
      <w:r>
        <w:rPr>
          <w:rStyle w:val="FootnoteReference"/>
        </w:rPr>
        <w:footnoteRef/>
      </w:r>
      <w:r>
        <w:t xml:space="preserve"> Artelys-Trinomics (2020): Measuring the contribution of gas infrastructure projects to sustainability as defined in the TEN-E Regulation, Draft final report</w:t>
      </w:r>
    </w:p>
  </w:footnote>
  <w:footnote w:id="102">
    <w:p w:rsidR="00B60846" w:rsidRDefault="008069FF">
      <w:pPr>
        <w:pStyle w:val="FootnoteText"/>
      </w:pPr>
      <w:r>
        <w:rPr>
          <w:rStyle w:val="FootnoteReference"/>
        </w:rPr>
        <w:footnoteRef/>
      </w:r>
      <w:r>
        <w:t xml:space="preserve"> Artelys-Trinomics (2020) has calculated that, when substituting natural gas with hydrogen, 56 tCO2 equivalent per TJ savings are achieved in case hydrogen from renewable sources is used and savings of 48 tCO2 equivalent per TJ are achieved in case the hyd</w:t>
      </w:r>
      <w:r>
        <w:t>rogen is produced from natural gas with carbon capture and storage; by contrast, the climate impact is negative when EU grid electricity used (72 tCO2 equivalent per TJ increase), see table 5 in Annex 8.</w:t>
      </w:r>
    </w:p>
  </w:footnote>
  <w:footnote w:id="103">
    <w:p w:rsidR="00B60846" w:rsidRDefault="008069FF">
      <w:pPr>
        <w:pStyle w:val="FootnoteText"/>
      </w:pPr>
      <w:r>
        <w:rPr>
          <w:rStyle w:val="FootnoteReference"/>
        </w:rPr>
        <w:footnoteRef/>
      </w:r>
      <w:r>
        <w:t xml:space="preserve"> See A hydrogen strategy for a climate-neutral Euro</w:t>
      </w:r>
      <w:r>
        <w:t>pe, COM(2020) 301 final</w:t>
      </w:r>
    </w:p>
  </w:footnote>
  <w:footnote w:id="104">
    <w:p w:rsidR="00B60846" w:rsidRDefault="008069FF">
      <w:pPr>
        <w:pStyle w:val="FootnoteText"/>
      </w:pPr>
      <w:r>
        <w:rPr>
          <w:rStyle w:val="FootnoteReference"/>
        </w:rPr>
        <w:footnoteRef/>
      </w:r>
      <w:r>
        <w:t xml:space="preserve"> Solidarity and the effect of CEF financial assistance in terms of affordability of PCIs is one element when assessing applications for CEF financial assistance.</w:t>
      </w:r>
    </w:p>
  </w:footnote>
  <w:footnote w:id="105">
    <w:p w:rsidR="00B60846" w:rsidRDefault="008069FF">
      <w:pPr>
        <w:pStyle w:val="FootnoteText"/>
      </w:pPr>
      <w:r>
        <w:rPr>
          <w:rStyle w:val="FootnoteReference"/>
        </w:rPr>
        <w:footnoteRef/>
      </w:r>
      <w:r>
        <w:t xml:space="preserve"> Artelys-Trinomics (2020): Measuring the contribution of gas infrastructure projects to sustainability as defined in the TEN-E Regulation, Draft final report</w:t>
      </w:r>
    </w:p>
  </w:footnote>
  <w:footnote w:id="106">
    <w:p w:rsidR="00B60846" w:rsidRDefault="008069FF">
      <w:pPr>
        <w:pStyle w:val="FootnoteText"/>
      </w:pPr>
      <w:r>
        <w:rPr>
          <w:rStyle w:val="FootnoteReference"/>
        </w:rPr>
        <w:footnoteRef/>
      </w:r>
      <w:r>
        <w:t xml:space="preserve"> Biogas is about 60% methane, 40% CO2 + some impurities. To enable its injection into the transmi</w:t>
      </w:r>
      <w:r>
        <w:t>ssion grid, biogas must be treated to meet standardized gas quality requirements. The upgrading of biogas to biomethane requires the removal of CO2 and impurities. If used and, more importantly, stored, the CO2 obtained in production of biomethane from bio</w:t>
      </w:r>
      <w:r>
        <w:t>gas is sometimes argued to create ‘negative’ emissions.</w:t>
      </w:r>
    </w:p>
  </w:footnote>
  <w:footnote w:id="107">
    <w:p w:rsidR="00B60846" w:rsidRDefault="008069FF">
      <w:pPr>
        <w:pStyle w:val="FootnoteText"/>
      </w:pPr>
      <w:r>
        <w:rPr>
          <w:rStyle w:val="FootnoteReference"/>
        </w:rPr>
        <w:footnoteRef/>
      </w:r>
      <w:r>
        <w:t xml:space="preserve"> COMMISSION STAFF WORKING DOCUMENT IMPACT ASSESSMENT, Stepping up Europe’s 2030 climate ambition, SWD(2020) 176 final</w:t>
      </w:r>
    </w:p>
  </w:footnote>
  <w:footnote w:id="108">
    <w:p w:rsidR="00B60846" w:rsidRDefault="008069FF">
      <w:pPr>
        <w:pStyle w:val="FootnoteText"/>
      </w:pPr>
      <w:r>
        <w:rPr>
          <w:rStyle w:val="FootnoteReference"/>
        </w:rPr>
        <w:footnoteRef/>
      </w:r>
      <w:r>
        <w:t xml:space="preserve"> Gas distribution projects are not currently in the scope of the TEN-E Regulatio</w:t>
      </w:r>
      <w:r>
        <w:t xml:space="preserve">n. </w:t>
      </w:r>
    </w:p>
  </w:footnote>
  <w:footnote w:id="109">
    <w:p w:rsidR="00B60846" w:rsidRDefault="008069FF">
      <w:pPr>
        <w:pStyle w:val="FootnoteText"/>
        <w:rPr>
          <w:lang w:val="en-IE"/>
        </w:rPr>
      </w:pPr>
      <w:r>
        <w:rPr>
          <w:rStyle w:val="FootnoteReference"/>
        </w:rPr>
        <w:footnoteRef/>
      </w:r>
      <w:r>
        <w:t xml:space="preserve"> The assessment takes negative emissions into account. The net CO</w:t>
      </w:r>
      <w:r>
        <w:rPr>
          <w:vertAlign w:val="subscript"/>
        </w:rPr>
        <w:t>2</w:t>
      </w:r>
      <w:r>
        <w:t xml:space="preserve"> impact shows the difference between the natural gas CO</w:t>
      </w:r>
      <w:r>
        <w:rPr>
          <w:vertAlign w:val="subscript"/>
        </w:rPr>
        <w:t>2</w:t>
      </w:r>
      <w:r>
        <w:t xml:space="preserve"> emissions factor and the emissions factor of a specific renewable or low-carbon gas. For further details: Artelys-Trinomics (202</w:t>
      </w:r>
      <w:r>
        <w:t>0): Measuring the contribution of gas infrastructure projects to sustainability as defined in the TEN-E Regulation, Draft final report</w:t>
      </w:r>
    </w:p>
  </w:footnote>
  <w:footnote w:id="110">
    <w:p w:rsidR="00B60846" w:rsidRDefault="00B60846">
      <w:pPr>
        <w:pStyle w:val="FootnoteText"/>
        <w:rPr>
          <w:lang w:val="en-IE"/>
        </w:rPr>
      </w:pPr>
    </w:p>
  </w:footnote>
  <w:footnote w:id="111">
    <w:p w:rsidR="00B60846" w:rsidRDefault="008069FF">
      <w:pPr>
        <w:pStyle w:val="FootnoteText"/>
      </w:pPr>
      <w:r>
        <w:rPr>
          <w:rStyle w:val="FootnoteReference"/>
        </w:rPr>
        <w:footnoteRef/>
      </w:r>
      <w:r>
        <w:t xml:space="preserve"> Methodologies such as the EIB's Project Carbon  Footprint Methodology elaborates on the assessment of GHG emissions an</w:t>
      </w:r>
      <w:r>
        <w:t>d emission variations generated by a wide spectrum of projects, including energy transmission and distribution assets. However, such methodologies would not fit the purpose of the present IA in the case of power lines and gas transmission infrastructure, g</w:t>
      </w:r>
      <w:r>
        <w:t>iven that it is based on estimations of CO2 emissions for the entire network and an emissions factors per unit of supply. In most cases, emissions for the current level of supply would go up without the investment. The percentage share of the network asset</w:t>
      </w:r>
      <w:r>
        <w:t>s replaced/rehabilitated is estimated. Carbon footprints (absolute and baseline) are calculated using this percentage share of the total emissions of the network (with and without the project) for the pre-project levels of demand.</w:t>
      </w:r>
    </w:p>
  </w:footnote>
  <w:footnote w:id="112">
    <w:p w:rsidR="00B60846" w:rsidRDefault="008069FF">
      <w:pPr>
        <w:pStyle w:val="FootnoteText"/>
      </w:pPr>
      <w:r>
        <w:rPr>
          <w:rStyle w:val="FootnoteReference"/>
        </w:rPr>
        <w:footnoteRef/>
      </w:r>
      <w:r>
        <w:t xml:space="preserve"> Trinomics (2019): Impac</w:t>
      </w:r>
      <w:r>
        <w:t>t of the use of the biomethane and hydrogen potential on trans-European infrastructure, Study for DG ENER</w:t>
      </w:r>
    </w:p>
  </w:footnote>
  <w:footnote w:id="113">
    <w:p w:rsidR="00B60846" w:rsidRDefault="008069FF">
      <w:pPr>
        <w:pStyle w:val="FootnoteText"/>
      </w:pPr>
      <w:r>
        <w:rPr>
          <w:rStyle w:val="FootnoteReference"/>
        </w:rPr>
        <w:footnoteRef/>
      </w:r>
      <w:r>
        <w:t xml:space="preserve"> This is equal to about 118 bcm, based on a calorific value of 35.17 MJ/m3, see </w:t>
      </w:r>
      <w:hyperlink r:id="rId39" w:history="1">
        <w:r>
          <w:rPr>
            <w:rStyle w:val="Hyperlink"/>
          </w:rPr>
          <w:t>https://unit-conve</w:t>
        </w:r>
        <w:r>
          <w:rPr>
            <w:rStyle w:val="Hyperlink"/>
          </w:rPr>
          <w:t>rter.gasunie.nl/</w:t>
        </w:r>
      </w:hyperlink>
      <w:r>
        <w:t xml:space="preserve"> </w:t>
      </w:r>
    </w:p>
  </w:footnote>
  <w:footnote w:id="114">
    <w:p w:rsidR="00B60846" w:rsidRDefault="008069FF">
      <w:pPr>
        <w:pStyle w:val="FootnoteText"/>
      </w:pPr>
      <w:r>
        <w:rPr>
          <w:rStyle w:val="FootnoteReference"/>
        </w:rPr>
        <w:footnoteRef/>
      </w:r>
      <w:r>
        <w:t xml:space="preserve"> See assessment and depiction of the possible effect of hydrogen on gas flows and capacity investments in Trinomics (2019) pp. 102-111.</w:t>
      </w:r>
    </w:p>
  </w:footnote>
  <w:footnote w:id="115">
    <w:p w:rsidR="00B60846" w:rsidRDefault="008069FF">
      <w:pPr>
        <w:pStyle w:val="FootnoteText"/>
      </w:pPr>
      <w:r>
        <w:rPr>
          <w:rStyle w:val="FootnoteReference"/>
        </w:rPr>
        <w:footnoteRef/>
      </w:r>
      <w:r>
        <w:t xml:space="preserve"> The study estimates that, by 2050, investment needs in cross-border gas infrastructure would be €5 </w:t>
      </w:r>
      <w:r>
        <w:t>billion per annum in a hydrogen heavy scenario and €1.2 billion p.a. in a methane heavy scenario, while overall system costs are lower in the hydrogen scenario due to higher efficiency, i.e. smaller conversion losses (see Annex 8 for more details).</w:t>
      </w:r>
    </w:p>
  </w:footnote>
  <w:footnote w:id="116">
    <w:p w:rsidR="00B60846" w:rsidRDefault="008069FF">
      <w:pPr>
        <w:pStyle w:val="FootnoteText"/>
        <w:jc w:val="left"/>
      </w:pPr>
      <w:r>
        <w:rPr>
          <w:rStyle w:val="FootnoteReference"/>
        </w:rPr>
        <w:footnoteRef/>
      </w:r>
      <w:r>
        <w:t xml:space="preserve"> Trino</w:t>
      </w:r>
      <w:r>
        <w:t>mics: Impact of the use of the biomethane and hydrogen potential on trans-European infrastructure, Study for DG ENER, 2019</w:t>
      </w:r>
    </w:p>
  </w:footnote>
  <w:footnote w:id="117">
    <w:p w:rsidR="00B60846" w:rsidRDefault="008069FF">
      <w:pPr>
        <w:pStyle w:val="FootnoteText"/>
      </w:pPr>
      <w:r>
        <w:rPr>
          <w:rStyle w:val="FootnoteReference"/>
        </w:rPr>
        <w:footnoteRef/>
      </w:r>
      <w:r>
        <w:t xml:space="preserve"> To note that the scenarios in the Commission’s impact assessment for the climate target plan count with biogas volumes of 56-63 Mto</w:t>
      </w:r>
      <w:r>
        <w:t>e by 2050, or around 650-730 TWh (with a conversion factor of around 11.6 TWh / Mtoe).</w:t>
      </w:r>
    </w:p>
  </w:footnote>
  <w:footnote w:id="118">
    <w:p w:rsidR="00B60846" w:rsidRDefault="008069FF">
      <w:pPr>
        <w:pStyle w:val="FootnoteText"/>
      </w:pPr>
      <w:r>
        <w:rPr>
          <w:rStyle w:val="FootnoteReference"/>
        </w:rPr>
        <w:footnoteRef/>
      </w:r>
      <w:r>
        <w:t xml:space="preserve"> See Marcogaz: Overview of available test results and regulatory limits for hydrogen admission into existing natural gas infrastructure and end use, October 2019</w:t>
      </w:r>
    </w:p>
  </w:footnote>
  <w:footnote w:id="119">
    <w:p w:rsidR="00B60846" w:rsidRDefault="008069FF">
      <w:pPr>
        <w:pStyle w:val="FootnoteText"/>
      </w:pPr>
      <w:r>
        <w:rPr>
          <w:rStyle w:val="FootnoteReference"/>
        </w:rPr>
        <w:footnoteRef/>
      </w:r>
      <w:r>
        <w:t xml:space="preserve">  For</w:t>
      </w:r>
      <w:r>
        <w:t xml:space="preserve"> instance, French gas operators count with limited costs up to 6-10% blending ratios (Technical and economic conditions for injecting hydrogen into natural gas networks, Final report by French gas network operators, June 2019, see esp. p. 22 for investment</w:t>
      </w:r>
      <w:r>
        <w:t xml:space="preserve"> estimates). See Annex 8 for more detail.</w:t>
      </w:r>
    </w:p>
  </w:footnote>
  <w:footnote w:id="120">
    <w:p w:rsidR="00B60846" w:rsidRDefault="008069FF">
      <w:pPr>
        <w:pStyle w:val="FootnoteText"/>
      </w:pPr>
      <w:r>
        <w:rPr>
          <w:rStyle w:val="FootnoteReference"/>
        </w:rPr>
        <w:footnoteRef/>
      </w:r>
      <w:r>
        <w:t xml:space="preserve"> See ACER: NRA Survey on Hydrogen, Biomethane, and Related Network Adaptations, Evaluation of Responses Report, July 2020</w:t>
      </w:r>
    </w:p>
  </w:footnote>
  <w:footnote w:id="121">
    <w:p w:rsidR="00B60846" w:rsidRDefault="008069FF">
      <w:pPr>
        <w:pStyle w:val="FootnoteText"/>
      </w:pPr>
      <w:r>
        <w:rPr>
          <w:rStyle w:val="FootnoteReference"/>
        </w:rPr>
        <w:footnoteRef/>
      </w:r>
      <w:r>
        <w:t xml:space="preserve"> It is assumed that end 2023 is the earliest possible date for the adoption of the first P</w:t>
      </w:r>
      <w:r>
        <w:t>CI list under the revised TEN-E Regulation.</w:t>
      </w:r>
    </w:p>
  </w:footnote>
  <w:footnote w:id="122">
    <w:p w:rsidR="00B60846" w:rsidRDefault="008069FF">
      <w:pPr>
        <w:pStyle w:val="FootnoteText"/>
      </w:pPr>
      <w:r>
        <w:rPr>
          <w:rStyle w:val="FootnoteReference"/>
        </w:rPr>
        <w:footnoteRef/>
      </w:r>
      <w:r>
        <w:t xml:space="preserve"> ACER: Consolidated Report on the progress of electricity and gas Projects of Common Interest, July 2020</w:t>
      </w:r>
    </w:p>
  </w:footnote>
  <w:footnote w:id="123">
    <w:p w:rsidR="00B60846" w:rsidRDefault="008069FF">
      <w:pPr>
        <w:pStyle w:val="FootnoteText"/>
      </w:pPr>
      <w:r>
        <w:rPr>
          <w:rStyle w:val="FootnoteReference"/>
        </w:rPr>
        <w:footnoteRef/>
      </w:r>
      <w:r>
        <w:t xml:space="preserve"> Roland Berger (2019): </w:t>
      </w:r>
      <w:r>
        <w:rPr>
          <w:iCs/>
        </w:rPr>
        <w:t>Hybrid projects: How to reduce the cost and space of offshore wind projects</w:t>
      </w:r>
    </w:p>
  </w:footnote>
  <w:footnote w:id="124">
    <w:p w:rsidR="00B60846" w:rsidRDefault="008069FF">
      <w:pPr>
        <w:pStyle w:val="FootnoteText"/>
      </w:pPr>
      <w:r>
        <w:rPr>
          <w:rStyle w:val="FootnoteReference"/>
        </w:rPr>
        <w:footnoteRef/>
      </w:r>
      <w:r>
        <w:t xml:space="preserve"> Wind</w:t>
      </w:r>
      <w:r>
        <w:t xml:space="preserve">Europe (2019): Industry position on how offshore grids should develop, </w:t>
      </w:r>
      <w:hyperlink r:id="rId40" w:history="1">
        <w:r>
          <w:rPr>
            <w:rStyle w:val="Hyperlink"/>
          </w:rPr>
          <w:t>https://windeurope.org/wp-co</w:t>
        </w:r>
        <w:r>
          <w:rPr>
            <w:rStyle w:val="Hyperlink"/>
          </w:rPr>
          <w:t>ntent/uploads/files/policy/position-papers/WindEurope-Industry-position-on-how-offshore-grids-should-develop.pdf</w:t>
        </w:r>
      </w:hyperlink>
      <w:r>
        <w:t xml:space="preserve"> </w:t>
      </w:r>
    </w:p>
  </w:footnote>
  <w:footnote w:id="125">
    <w:p w:rsidR="00B60846" w:rsidRDefault="008069FF">
      <w:pPr>
        <w:pStyle w:val="FootnoteText"/>
      </w:pPr>
      <w:r>
        <w:rPr>
          <w:rStyle w:val="FootnoteReference"/>
        </w:rPr>
        <w:footnoteRef/>
      </w:r>
      <w:r>
        <w:t xml:space="preserve"> EU27 + UK but excluding Norway, Source: WindEurope</w:t>
      </w:r>
    </w:p>
  </w:footnote>
  <w:footnote w:id="126">
    <w:p w:rsidR="00B60846" w:rsidRDefault="008069FF">
      <w:pPr>
        <w:pStyle w:val="FootnoteText"/>
      </w:pPr>
      <w:r>
        <w:rPr>
          <w:rStyle w:val="FootnoteReference"/>
        </w:rPr>
        <w:footnoteRef/>
      </w:r>
      <w:r>
        <w:t xml:space="preserve"> </w:t>
      </w:r>
      <w:hyperlink r:id="rId41" w:history="1">
        <w:r>
          <w:rPr>
            <w:rStyle w:val="Hyperlink"/>
          </w:rPr>
          <w:t>https://www.etipocean.eu/</w:t>
        </w:r>
      </w:hyperlink>
      <w:r>
        <w:t xml:space="preserve"> </w:t>
      </w:r>
    </w:p>
  </w:footnote>
  <w:footnote w:id="127">
    <w:p w:rsidR="00B60846" w:rsidRDefault="008069FF">
      <w:pPr>
        <w:pStyle w:val="FootnoteText"/>
      </w:pPr>
      <w:r>
        <w:rPr>
          <w:rStyle w:val="FootnoteReference"/>
        </w:rPr>
        <w:footnoteRef/>
      </w:r>
      <w:r>
        <w:t xml:space="preserve"> E.g. the ENTSOs 2020 Climate Action scenario assumes 70% gas import in 2050, while giving little to no consideration on how and where such amount of gas is to be fully decarbonized.</w:t>
      </w:r>
    </w:p>
  </w:footnote>
  <w:footnote w:id="128">
    <w:p w:rsidR="00B60846" w:rsidRDefault="008069FF">
      <w:pPr>
        <w:pStyle w:val="FootnoteText"/>
        <w:jc w:val="left"/>
      </w:pPr>
      <w:r>
        <w:rPr>
          <w:rStyle w:val="FootnoteReference"/>
        </w:rPr>
        <w:footnoteRef/>
      </w:r>
      <w:r>
        <w:t xml:space="preserve"> Data from two studies prepared for the European Commission by CEPEJ (th</w:t>
      </w:r>
      <w:r>
        <w:t xml:space="preserve">e European Commission for the Efficiency of Justice) on the functioning of judicial systems in the EU Member States – 2018, https://ec.europa.eu/info/publications/cepej-studies-2019_en, as well as, The Rule of Law Stress Test – EU Member States’ Responses </w:t>
      </w:r>
      <w:r>
        <w:t>to Covid-19, https://democracy-reporting.org/dri_publications/the-rule-of-law-stress-test-eu-member-states-responses-to-covid-19/</w:t>
      </w:r>
    </w:p>
  </w:footnote>
  <w:footnote w:id="129">
    <w:p w:rsidR="00B60846" w:rsidRDefault="008069FF">
      <w:pPr>
        <w:pStyle w:val="FootnoteText"/>
      </w:pPr>
      <w:r>
        <w:rPr>
          <w:rStyle w:val="FootnoteReference"/>
        </w:rPr>
        <w:footnoteRef/>
      </w:r>
      <w:r>
        <w:t xml:space="preserve"> Renewable Grid Initiative and ENTSOE, Value of timely implementation of “better projects”, May 2019, Working Paper  </w:t>
      </w:r>
      <w:hyperlink r:id="rId42" w:history="1">
        <w:r>
          <w:rPr>
            <w:rStyle w:val="Hyperlink"/>
          </w:rPr>
          <w:t>https://eepublicdownloads.azureedge.net/clean-documents/Publications/Position%20papers%20an</w:t>
        </w:r>
        <w:r>
          <w:rPr>
            <w:rStyle w:val="Hyperlink"/>
          </w:rPr>
          <w:t>d%20reports/20190517_RGI_ENTSOE_working_paper_better_projects.pdf</w:t>
        </w:r>
      </w:hyperlink>
      <w:r>
        <w:t xml:space="preserve"> </w:t>
      </w:r>
    </w:p>
  </w:footnote>
  <w:footnote w:id="130">
    <w:p w:rsidR="00B60846" w:rsidRDefault="008069FF">
      <w:pPr>
        <w:pStyle w:val="FootnoteText"/>
      </w:pPr>
      <w:r>
        <w:rPr>
          <w:rStyle w:val="FootnoteReference"/>
        </w:rPr>
        <w:footnoteRef/>
      </w:r>
      <w:r>
        <w:t xml:space="preserve"> Ecorys et al. (2020): Support to the evaluation of Regulation (EU) No 347/2013 on guidelines for trans-European energy infrastructure, Draft final report</w:t>
      </w:r>
    </w:p>
  </w:footnote>
  <w:footnote w:id="131">
    <w:p w:rsidR="00B60846" w:rsidRDefault="008069FF">
      <w:pPr>
        <w:pStyle w:val="FootnoteText"/>
      </w:pPr>
      <w:r>
        <w:rPr>
          <w:rStyle w:val="FootnoteReference"/>
        </w:rPr>
        <w:footnoteRef/>
      </w:r>
      <w:r>
        <w:t xml:space="preserve"> Regulation (EU) No 1316/2013 of</w:t>
      </w:r>
      <w:r>
        <w:t xml:space="preserve"> the European Parliament and of the Council of 11 December 2013 establishing the Connecting Europe Facility, amending Regulation (EU) No 913/2010 and repealing Regulations (EC) No 680/2007 and (EC) No 67/2010 Text with EEA relevance</w:t>
      </w:r>
    </w:p>
    <w:p w:rsidR="00B60846" w:rsidRDefault="008069FF">
      <w:pPr>
        <w:pStyle w:val="FootnoteText"/>
      </w:pPr>
      <w:r>
        <w:t>OJ L 348, 20.12.2013, R</w:t>
      </w:r>
      <w:r>
        <w:t>ecital 48</w:t>
      </w:r>
    </w:p>
  </w:footnote>
  <w:footnote w:id="132">
    <w:p w:rsidR="00B60846" w:rsidRDefault="008069FF">
      <w:pPr>
        <w:pStyle w:val="FootnoteText"/>
      </w:pPr>
      <w:r>
        <w:rPr>
          <w:rStyle w:val="FootnoteReference"/>
        </w:rPr>
        <w:footnoteRef/>
      </w:r>
      <w:r>
        <w:t xml:space="preserve"> The CBCA enables the timely implementation of PCIs and hence avoids delays in project implementation. The benefits of a PCI are therefore realised earlier. </w:t>
      </w:r>
    </w:p>
  </w:footnote>
  <w:footnote w:id="133">
    <w:p w:rsidR="00B60846" w:rsidRDefault="008069FF">
      <w:pPr>
        <w:pStyle w:val="FootnoteText"/>
      </w:pPr>
      <w:r>
        <w:rPr>
          <w:rStyle w:val="FootnoteReference"/>
        </w:rPr>
        <w:footnoteRef/>
      </w:r>
      <w:r>
        <w:t xml:space="preserve"> Ecorys et al. (2020): Support to the evaluation of Regulation (EU) No 347/2013 on guidelines for trans-European energy infrastructure, Draft final report</w:t>
      </w:r>
    </w:p>
  </w:footnote>
  <w:footnote w:id="134">
    <w:p w:rsidR="00B60846" w:rsidRDefault="008069FF">
      <w:pPr>
        <w:pStyle w:val="FootnoteText"/>
      </w:pPr>
      <w:r>
        <w:rPr>
          <w:rStyle w:val="FootnoteReference"/>
        </w:rPr>
        <w:footnoteRef/>
      </w:r>
      <w:r>
        <w:t xml:space="preserve"> In addition to substantially contributing to one of the environmental objectives of the Taxonomy Re</w:t>
      </w:r>
      <w:r>
        <w:t>gulation, it must also be demonstrated that an activity does not significantly harm any of those objectives.</w:t>
      </w:r>
    </w:p>
  </w:footnote>
  <w:footnote w:id="135">
    <w:p w:rsidR="00B60846" w:rsidRDefault="008069FF">
      <w:pPr>
        <w:pStyle w:val="FootnoteText"/>
      </w:pPr>
      <w:r>
        <w:rPr>
          <w:rStyle w:val="FootnoteReference"/>
        </w:rPr>
        <w:footnoteRef/>
      </w:r>
      <w:r>
        <w:t xml:space="preserve"> This option corresponds to the input of ACER to the stakeholder consultation.</w:t>
      </w:r>
    </w:p>
  </w:footnote>
  <w:footnote w:id="136">
    <w:p w:rsidR="00B60846" w:rsidRDefault="008069FF">
      <w:pPr>
        <w:pStyle w:val="FootnoteText"/>
        <w:rPr>
          <w:lang w:val="pt-PT"/>
        </w:rPr>
      </w:pPr>
      <w:r>
        <w:rPr>
          <w:rStyle w:val="FootnoteReference"/>
        </w:rPr>
        <w:footnoteRef/>
      </w:r>
      <w:r>
        <w:rPr>
          <w:lang w:val="pt-PT"/>
        </w:rPr>
        <w:t xml:space="preserve"> ENTSO-E : </w:t>
      </w:r>
      <w:hyperlink r:id="rId43" w:history="1">
        <w:r>
          <w:rPr>
            <w:rStyle w:val="Hyperlink"/>
            <w:lang w:val="pt-PT"/>
          </w:rPr>
          <w:t>https://tyndp.entsoe.eu/promoters-corner</w:t>
        </w:r>
      </w:hyperlink>
      <w:r>
        <w:rPr>
          <w:lang w:val="pt-PT"/>
        </w:rPr>
        <w:t xml:space="preserve"> </w:t>
      </w:r>
    </w:p>
    <w:p w:rsidR="00B60846" w:rsidRDefault="008069FF">
      <w:pPr>
        <w:pStyle w:val="FootnoteText"/>
        <w:jc w:val="left"/>
        <w:rPr>
          <w:lang w:val="de-DE"/>
        </w:rPr>
      </w:pPr>
      <w:r>
        <w:rPr>
          <w:lang w:val="de-DE"/>
        </w:rPr>
        <w:t xml:space="preserve">ENTSOG: </w:t>
      </w:r>
      <w:hyperlink r:id="rId44" w:history="1">
        <w:r>
          <w:rPr>
            <w:rStyle w:val="Hyperlink"/>
            <w:lang w:val="de-DE"/>
          </w:rPr>
          <w:t>https://www.entsog.eu/sites/default/files/2019-05/TYNDP%202020_Practical_Imp</w:t>
        </w:r>
        <w:r>
          <w:rPr>
            <w:rStyle w:val="Hyperlink"/>
            <w:lang w:val="de-DE"/>
          </w:rPr>
          <w:t>lementation_Document_20190502_0.pdf</w:t>
        </w:r>
      </w:hyperlink>
      <w:r>
        <w:rPr>
          <w:lang w:val="de-DE"/>
        </w:rPr>
        <w:t xml:space="preserve"> </w:t>
      </w:r>
    </w:p>
  </w:footnote>
  <w:footnote w:id="137">
    <w:p w:rsidR="00B60846" w:rsidRDefault="008069FF">
      <w:pPr>
        <w:pStyle w:val="FootnoteText"/>
        <w:rPr>
          <w:lang w:val="de-DE"/>
        </w:rPr>
      </w:pPr>
      <w:r>
        <w:rPr>
          <w:rStyle w:val="FootnoteReference"/>
        </w:rPr>
        <w:footnoteRef/>
      </w:r>
      <w:r>
        <w:rPr>
          <w:lang w:val="de-DE"/>
        </w:rPr>
        <w:t xml:space="preserve"> </w:t>
      </w:r>
      <w:hyperlink r:id="rId45" w:history="1">
        <w:r>
          <w:rPr>
            <w:rStyle w:val="Hyperlink"/>
            <w:lang w:val="de-DE"/>
          </w:rPr>
          <w:t>https://eur-lex.europa.eu/resource.html?uri=cellar%3Af1ebd6bf-a0d3-11ea-9d2d-01aa75ed7</w:t>
        </w:r>
        <w:r>
          <w:rPr>
            <w:rStyle w:val="Hyperlink"/>
            <w:lang w:val="de-DE"/>
          </w:rPr>
          <w:t>1a1.0006.02/DOC_1&amp;format=PDF</w:t>
        </w:r>
      </w:hyperlink>
      <w:r>
        <w:rPr>
          <w:lang w:val="de-DE"/>
        </w:rPr>
        <w:t xml:space="preserve"> </w:t>
      </w:r>
    </w:p>
  </w:footnote>
  <w:footnote w:id="138">
    <w:p w:rsidR="00B60846" w:rsidRDefault="008069FF">
      <w:pPr>
        <w:pStyle w:val="FootnoteText"/>
        <w:rPr>
          <w:lang w:val="de-DE"/>
        </w:rPr>
      </w:pPr>
      <w:r>
        <w:rPr>
          <w:rStyle w:val="FootnoteReference"/>
        </w:rPr>
        <w:footnoteRef/>
      </w:r>
      <w:r>
        <w:rPr>
          <w:lang w:val="de-DE"/>
        </w:rPr>
        <w:t xml:space="preserve"> https://ec.europa.eu/info/law/better-regulation/have-your-say/initiatives/12382-Revision-of-the-guidelines-for-trans-European-Energy-infrastructure</w:t>
      </w:r>
    </w:p>
  </w:footnote>
  <w:footnote w:id="139">
    <w:p w:rsidR="00B60846" w:rsidRDefault="008069FF">
      <w:pPr>
        <w:pStyle w:val="FootnoteText"/>
      </w:pPr>
      <w:r>
        <w:rPr>
          <w:rStyle w:val="FootnoteReference"/>
        </w:rPr>
        <w:footnoteRef/>
      </w:r>
      <w:r>
        <w:t xml:space="preserve"> TEN-E objectives, as set out in the survey: A competitive and properly fun</w:t>
      </w:r>
      <w:r>
        <w:t>ctioning integrated energy market; Increased resilience of energy infrastructure against technical failures, natural or man-made disasters, and the adverse effects of climate change and threats to its security; Consumer empowerment - making sure consumers'</w:t>
      </w:r>
      <w:r>
        <w:t xml:space="preserve"> interests are considered in decisions related to energy infrastructure; Secure and diversified EU energy supplies, sources, and routes; Integration of renewable energy sources into the grid; Increase cross-border interconnections and deepen regional coope</w:t>
      </w:r>
      <w:r>
        <w:t>ration to transport energy from renewable sources where it is most needed; Giving priority to energy efficiency (putting the ‘Energy efficiency first’ principle in practice); Achieving the EU’s decarbonisation objectives for 2030 and 2050, including climat</w:t>
      </w:r>
      <w:r>
        <w:t>e neutrality under the European Green Deal; Increased digitalisation of the energy infrastructure (e.g. Smart Grids); Energy system integration and sector coupling (integration of the different energy sectors and beyond)</w:t>
      </w:r>
    </w:p>
  </w:footnote>
  <w:footnote w:id="140">
    <w:p w:rsidR="00B60846" w:rsidRDefault="008069FF">
      <w:pPr>
        <w:pStyle w:val="FootnoteText"/>
      </w:pPr>
      <w:r>
        <w:rPr>
          <w:rStyle w:val="FootnoteReference"/>
        </w:rPr>
        <w:footnoteRef/>
      </w:r>
      <w:r>
        <w:t xml:space="preserve"> Integration of renewable energy s</w:t>
      </w:r>
      <w:r>
        <w:t xml:space="preserve">ources into the grid; Contribution to greenhouse gas emissions reduction; Security of supply; Market integration (e.g. to improve infrastructure and increase system flexibility); Increase competition in the market; Innovation; Contribution to increase the </w:t>
      </w:r>
      <w:r>
        <w:t>energy efficiency of the energy system; Environmentally sound implementation, i.e. compliance with the relevant regulations especially in the area of environment; Generation of direct benefits to the local communities</w:t>
      </w:r>
    </w:p>
  </w:footnote>
  <w:footnote w:id="141">
    <w:p w:rsidR="00B60846" w:rsidRDefault="008069FF">
      <w:pPr>
        <w:pStyle w:val="FootnoteText"/>
      </w:pPr>
      <w:r>
        <w:rPr>
          <w:rStyle w:val="FootnoteReference"/>
        </w:rPr>
        <w:footnoteRef/>
      </w:r>
      <w:r>
        <w:t xml:space="preserve"> Green Hydrogen for a European Green </w:t>
      </w:r>
      <w:r>
        <w:t>Deal – A 2x40 GW initiative, Hydrogen Europe, 2020</w:t>
      </w:r>
    </w:p>
  </w:footnote>
  <w:footnote w:id="142">
    <w:p w:rsidR="00B60846" w:rsidRDefault="008069FF">
      <w:pPr>
        <w:pStyle w:val="FootnoteText"/>
      </w:pPr>
      <w:r>
        <w:rPr>
          <w:rStyle w:val="FootnoteReference"/>
        </w:rPr>
        <w:footnoteRef/>
      </w:r>
      <w:r>
        <w:t xml:space="preserve"> These are electrolyser investment cost only, the figures do not include the investments in solar and wind farms, transport and storage infrastructure, nor end-use applications.  </w:t>
      </w:r>
    </w:p>
  </w:footnote>
  <w:footnote w:id="143">
    <w:p w:rsidR="00B60846" w:rsidRDefault="008069FF">
      <w:pPr>
        <w:pStyle w:val="FootnoteText"/>
      </w:pPr>
      <w:r>
        <w:rPr>
          <w:rStyle w:val="FootnoteReference"/>
        </w:rPr>
        <w:footnoteRef/>
      </w:r>
      <w:r>
        <w:t xml:space="preserve"> COMMISSION STAFF WORKI</w:t>
      </w:r>
      <w:r>
        <w:t>NG DOCUMENT IMPACT ASSESSMENT, Stepping up Europe’s 2030 climate ambition, SWD(2020) 176 final</w:t>
      </w:r>
    </w:p>
  </w:footnote>
  <w:footnote w:id="144">
    <w:p w:rsidR="00B60846" w:rsidRDefault="008069FF">
      <w:pPr>
        <w:pStyle w:val="FootnoteText"/>
        <w:rPr>
          <w:lang w:val="de-DE"/>
        </w:rPr>
      </w:pPr>
      <w:r>
        <w:rPr>
          <w:rStyle w:val="FootnoteReference"/>
        </w:rPr>
        <w:footnoteRef/>
      </w:r>
      <w:r>
        <w:rPr>
          <w:lang w:val="de-DE"/>
        </w:rPr>
        <w:t xml:space="preserve"> TEN-E Regulation, Art. 4(1)(b)</w:t>
      </w:r>
    </w:p>
  </w:footnote>
  <w:footnote w:id="145">
    <w:p w:rsidR="00B60846" w:rsidRDefault="008069FF">
      <w:pPr>
        <w:pStyle w:val="FootnoteText"/>
        <w:rPr>
          <w:sz w:val="18"/>
          <w:szCs w:val="18"/>
        </w:rPr>
      </w:pPr>
      <w:r>
        <w:rPr>
          <w:rStyle w:val="FootnoteReference"/>
          <w:sz w:val="18"/>
          <w:szCs w:val="18"/>
        </w:rPr>
        <w:footnoteRef/>
      </w:r>
      <w:r>
        <w:rPr>
          <w:sz w:val="18"/>
          <w:szCs w:val="18"/>
        </w:rPr>
        <w:t xml:space="preserve"> </w:t>
      </w:r>
      <w:r>
        <w:rPr>
          <w:color w:val="000000"/>
          <w:sz w:val="18"/>
          <w:szCs w:val="18"/>
        </w:rPr>
        <w:t xml:space="preserve">with demand-response accounting for 22 TWh and storage accounting for 45 TWh - </w:t>
      </w:r>
      <w:r>
        <w:rPr>
          <w:sz w:val="18"/>
          <w:szCs w:val="18"/>
        </w:rPr>
        <w:t>IEA 2016</w:t>
      </w:r>
    </w:p>
  </w:footnote>
  <w:footnote w:id="146">
    <w:p w:rsidR="00B60846" w:rsidRDefault="008069FF">
      <w:pPr>
        <w:pStyle w:val="FootnoteText"/>
      </w:pPr>
      <w:r>
        <w:rPr>
          <w:rStyle w:val="FootnoteReference"/>
        </w:rPr>
        <w:footnoteRef/>
      </w:r>
      <w:r>
        <w:t xml:space="preserve"> Renewable Grid Initiative and ENTSOE, Value of timely implementation of “better projects”, May 2019, Working Paper  </w:t>
      </w:r>
      <w:hyperlink r:id="rId46" w:history="1">
        <w:r>
          <w:rPr>
            <w:rStyle w:val="Hyperlink"/>
          </w:rPr>
          <w:t>https://eepublicdownloads.azureedge.net/clean-documents/Publications/Position%20papers%20and%20reports/20190517_RGI_ENTSOE_working_paper_better_projects.pdf</w:t>
        </w:r>
      </w:hyperlink>
      <w:r>
        <w:t xml:space="preserve"> </w:t>
      </w:r>
    </w:p>
  </w:footnote>
  <w:footnote w:id="147">
    <w:p w:rsidR="00B60846" w:rsidRDefault="008069FF">
      <w:pPr>
        <w:pStyle w:val="FootnoteText"/>
        <w:rPr>
          <w:lang w:val="en-IE"/>
        </w:rPr>
      </w:pPr>
      <w:r>
        <w:rPr>
          <w:rStyle w:val="FootnoteReference"/>
        </w:rPr>
        <w:footnoteRef/>
      </w:r>
      <w:r>
        <w:t xml:space="preserve"> </w:t>
      </w:r>
      <w:r>
        <w:rPr>
          <w:lang w:val="en-IE"/>
        </w:rPr>
        <w:t xml:space="preserve">Better Regulation Guidelines, TOOL #58. TYPOLOGY OF COSTS AND </w:t>
      </w:r>
      <w:r>
        <w:rPr>
          <w:lang w:val="en-IE"/>
        </w:rPr>
        <w:t>BENEFITS</w:t>
      </w:r>
    </w:p>
  </w:footnote>
  <w:footnote w:id="148">
    <w:p w:rsidR="00B60846" w:rsidRDefault="008069FF">
      <w:pPr>
        <w:pStyle w:val="FootnoteText"/>
      </w:pPr>
      <w:r>
        <w:rPr>
          <w:rStyle w:val="FootnoteReference"/>
        </w:rPr>
        <w:footnoteRef/>
      </w:r>
      <w:r>
        <w:t xml:space="preserve"> Ecorys et al. (2020) Support to the evaluation of Regulation (EU) No 347/2013 on guidelines for trans-European energy infrastructure, Draft final report, p. 122</w:t>
      </w:r>
    </w:p>
  </w:footnote>
  <w:footnote w:id="149">
    <w:p w:rsidR="00B60846" w:rsidRDefault="008069FF">
      <w:pPr>
        <w:pStyle w:val="FootnoteText"/>
      </w:pPr>
      <w:r>
        <w:rPr>
          <w:rStyle w:val="FootnoteReference"/>
        </w:rPr>
        <w:footnoteRef/>
      </w:r>
      <w:r>
        <w:t>Cyprus and Malta are not modelled in EEMM.</w:t>
      </w:r>
    </w:p>
  </w:footnote>
  <w:footnote w:id="150">
    <w:p w:rsidR="00B60846" w:rsidRDefault="008069FF">
      <w:pPr>
        <w:pStyle w:val="FootnoteText"/>
        <w:rPr>
          <w:rStyle w:val="Hyperlink"/>
        </w:rPr>
      </w:pPr>
      <w:r>
        <w:rPr>
          <w:rStyle w:val="FootnoteReference"/>
        </w:rPr>
        <w:footnoteRef/>
      </w:r>
      <w:r>
        <w:t xml:space="preserve"> </w:t>
      </w:r>
      <w:hyperlink r:id="rId47" w:history="1">
        <w:r>
          <w:rPr>
            <w:rStyle w:val="Hyperlink"/>
          </w:rPr>
          <w:t>https://www.consilium.europa.eu/media/38507/st07207-re01-en19.pdf</w:t>
        </w:r>
      </w:hyperlink>
    </w:p>
    <w:p w:rsidR="00B60846" w:rsidRDefault="008069FF">
      <w:pPr>
        <w:pStyle w:val="FootnoteText"/>
      </w:pPr>
      <w:hyperlink r:id="rId48" w:history="1">
        <w:r>
          <w:rPr>
            <w:rStyle w:val="Hyperlink"/>
          </w:rPr>
          <w:t>http://www.europarl.europa.eu/doceo/document/TA-8-2019-0420_EN.</w:t>
        </w:r>
        <w:r>
          <w:rPr>
            <w:rStyle w:val="Hyperlink"/>
          </w:rPr>
          <w:t>pdf</w:t>
        </w:r>
      </w:hyperlink>
      <w:r>
        <w:t xml:space="preserve"> </w:t>
      </w:r>
    </w:p>
  </w:footnote>
  <w:footnote w:id="151">
    <w:p w:rsidR="00B60846" w:rsidRDefault="008069FF">
      <w:pPr>
        <w:pStyle w:val="FootnoteText"/>
      </w:pPr>
      <w:r>
        <w:rPr>
          <w:rStyle w:val="FootnoteReference"/>
        </w:rPr>
        <w:footnoteRef/>
      </w:r>
      <w:r>
        <w:t xml:space="preserve"> Milieu et al. 2016. Analysis of the manuals of procedures for the permit granting process applicable to projects of common interest prepared under Art.9 Regulation No 347/2013</w:t>
      </w:r>
    </w:p>
  </w:footnote>
  <w:footnote w:id="152">
    <w:p w:rsidR="00B60846" w:rsidRDefault="008069FF">
      <w:pPr>
        <w:pStyle w:val="FootnoteText"/>
      </w:pPr>
      <w:r>
        <w:rPr>
          <w:rStyle w:val="FootnoteReference"/>
        </w:rPr>
        <w:footnoteRef/>
      </w:r>
      <w:r>
        <w:t xml:space="preserve"> Websites can be accessed through the PCI Interactive map, available at </w:t>
      </w:r>
      <w:hyperlink r:id="rId49" w:history="1">
        <w:r>
          <w:rPr>
            <w:rStyle w:val="Hyperlink"/>
          </w:rPr>
          <w:t>https://ec.europa.eu/energy/infrastructure/transparency_platform/map-viewer/main.html</w:t>
        </w:r>
      </w:hyperlink>
      <w:r>
        <w:t xml:space="preserve"> </w:t>
      </w:r>
    </w:p>
  </w:footnote>
  <w:footnote w:id="153">
    <w:p w:rsidR="00B60846" w:rsidRDefault="008069FF">
      <w:pPr>
        <w:pStyle w:val="FootnoteText"/>
      </w:pPr>
      <w:r>
        <w:rPr>
          <w:rStyle w:val="FootnoteReference"/>
          <w:rFonts w:eastAsiaTheme="majorEastAsia"/>
        </w:rPr>
        <w:footnoteRef/>
      </w:r>
      <w:r>
        <w:t xml:space="preserve"> ACER (2018), Third Edition of the Agency's Summary Report on Cros</w:t>
      </w:r>
      <w:r>
        <w:t>s-Border Cost Allocation Decisions - Status update as of March 2018.</w:t>
      </w:r>
    </w:p>
  </w:footnote>
  <w:footnote w:id="154">
    <w:p w:rsidR="00B60846" w:rsidRDefault="008069FF">
      <w:pPr>
        <w:pStyle w:val="FootnoteText"/>
        <w:rPr>
          <w:lang w:val="en-IE"/>
        </w:rPr>
      </w:pPr>
      <w:r>
        <w:rPr>
          <w:rStyle w:val="FootnoteReference"/>
        </w:rPr>
        <w:footnoteRef/>
      </w:r>
      <w:r>
        <w:t xml:space="preserve"> </w:t>
      </w:r>
      <w:r>
        <w:rPr>
          <w:lang w:val="en-IE"/>
        </w:rPr>
        <w:t>Consolidated data is not available for 2016-2019</w:t>
      </w:r>
    </w:p>
  </w:footnote>
  <w:footnote w:id="155">
    <w:p w:rsidR="00B60846" w:rsidRDefault="008069FF">
      <w:pPr>
        <w:pStyle w:val="FootnoteText"/>
      </w:pPr>
      <w:r>
        <w:rPr>
          <w:rStyle w:val="FootnoteReference"/>
        </w:rPr>
        <w:footnoteRef/>
      </w:r>
      <w:r>
        <w:t xml:space="preserve"> INEA (2020). Connecting Europe Facility Energy. Supported Actions – May 2020</w:t>
      </w:r>
    </w:p>
  </w:footnote>
  <w:footnote w:id="156">
    <w:p w:rsidR="00B60846" w:rsidRDefault="008069FF">
      <w:pPr>
        <w:spacing w:before="120" w:after="120"/>
        <w:rPr>
          <w:sz w:val="20"/>
        </w:rPr>
      </w:pPr>
      <w:r>
        <w:rPr>
          <w:rStyle w:val="FootnoteReference"/>
          <w:sz w:val="20"/>
        </w:rPr>
        <w:footnoteRef/>
      </w:r>
      <w:r>
        <w:rPr>
          <w:sz w:val="20"/>
        </w:rPr>
        <w:t xml:space="preserve"> For the calculation of sustainability benefits, the inf</w:t>
      </w:r>
      <w:r>
        <w:rPr>
          <w:sz w:val="20"/>
        </w:rPr>
        <w:t>ormation provided by candidate projects in their project fiches includes CO2 emissions and benefits deriving from fuel switch, used as input in the CBA methodology. However, the current underlying assumption in the CBA is that all gas projects would automa</w:t>
      </w:r>
      <w:r>
        <w:rPr>
          <w:sz w:val="20"/>
        </w:rPr>
        <w:t xml:space="preserve">tically show only positive benefits towards CO2 mitigation, with no negative impact (such as possible increase in CO2 emissions). </w:t>
      </w:r>
      <w:r>
        <w:rPr>
          <w:color w:val="000000"/>
          <w:sz w:val="20"/>
        </w:rPr>
        <w:t>By only using CO2 savings from fuel-switches from coal to gas without carrying out a detailed analysis of the different situat</w:t>
      </w:r>
      <w:r>
        <w:rPr>
          <w:color w:val="000000"/>
          <w:sz w:val="20"/>
        </w:rPr>
        <w:t>ions in the individual countries, other possible sustainability benefits remain invisible and unquantifiable, hampering the robustness of the results of the assessment of such benefits</w:t>
      </w:r>
      <w:r>
        <w:rPr>
          <w:sz w:val="20"/>
        </w:rPr>
        <w:t>. This was also acknowledged by the Agency for the Cooperation of Energy</w:t>
      </w:r>
      <w:r>
        <w:rPr>
          <w:sz w:val="20"/>
        </w:rPr>
        <w:t xml:space="preserve"> Regulators (ACER) in its Opinion No 19/2019 of the European Union of 25 September 2019 on the draft regional lists of proposed gas projects of common interest 2019. In this opinion, ACER notes that ‘</w:t>
      </w:r>
      <w:r>
        <w:rPr>
          <w:i/>
          <w:iCs/>
          <w:sz w:val="20"/>
        </w:rPr>
        <w:t xml:space="preserve">(28) the contribution of the PCI candidate projects to </w:t>
      </w:r>
      <w:r>
        <w:rPr>
          <w:i/>
          <w:iCs/>
          <w:sz w:val="20"/>
        </w:rPr>
        <w:t>sustainability in general and to meeting the climate change policy goals of the European Union in particular, is not quite clear</w:t>
      </w:r>
      <w:r>
        <w:rPr>
          <w:sz w:val="20"/>
        </w:rPr>
        <w:t xml:space="preserve">. </w:t>
      </w:r>
      <w:r>
        <w:rPr>
          <w:i/>
          <w:iCs/>
          <w:sz w:val="20"/>
        </w:rPr>
        <w:t>ACER believes that the preliminary assessment provided by ENTSOG, which assigned a positive sustainability benefit to each and</w:t>
      </w:r>
      <w:r>
        <w:rPr>
          <w:i/>
          <w:iCs/>
          <w:sz w:val="20"/>
        </w:rPr>
        <w:t xml:space="preserve"> every candidate project, is tenable only under the specific assumptions that gas will be a substitute of more polluting fuels in the European Union’s primary energy mix, and also that the total volume of consumed gas will be within a range that ensures th</w:t>
      </w:r>
      <w:r>
        <w:rPr>
          <w:i/>
          <w:iCs/>
          <w:sz w:val="20"/>
        </w:rPr>
        <w:t xml:space="preserve">at overall greenhouse gas emissions resulting from gas use will stay below the European Union’s policy targets. </w:t>
      </w:r>
      <w:r>
        <w:rPr>
          <w:sz w:val="20"/>
        </w:rPr>
        <w:t xml:space="preserve">Therefore, the lack of detailed data and consistency, did not allow to properly calculate the sustainability benefits. </w:t>
      </w:r>
    </w:p>
    <w:p w:rsidR="00B60846" w:rsidRDefault="00B60846">
      <w:pPr>
        <w:pStyle w:val="FootnoteText"/>
      </w:pPr>
    </w:p>
  </w:footnote>
  <w:footnote w:id="157">
    <w:p w:rsidR="00B60846" w:rsidRDefault="008069FF">
      <w:pPr>
        <w:pStyle w:val="FootnoteText"/>
      </w:pPr>
      <w:r>
        <w:rPr>
          <w:rStyle w:val="FootnoteReference"/>
        </w:rPr>
        <w:footnoteRef/>
      </w:r>
      <w:r>
        <w:t xml:space="preserve"> </w:t>
      </w:r>
      <w:r>
        <w:tab/>
        <w:t xml:space="preserve">ACER (2016). </w:t>
      </w:r>
      <w:r>
        <w:t>Consolidated report on the progress of electricity and gas projects of common interest for the year 2015.</w:t>
      </w:r>
    </w:p>
  </w:footnote>
  <w:footnote w:id="158">
    <w:p w:rsidR="00B60846" w:rsidRDefault="008069FF">
      <w:pPr>
        <w:pStyle w:val="FootnoteText"/>
      </w:pPr>
      <w:r>
        <w:rPr>
          <w:rStyle w:val="FootnoteReference"/>
        </w:rPr>
        <w:footnoteRef/>
      </w:r>
      <w:r>
        <w:t xml:space="preserve"> </w:t>
      </w:r>
      <w:r>
        <w:tab/>
        <w:t xml:space="preserve">Sample size for integrated scheme is too small to provide a robust indication of the duration (ACER 2016). </w:t>
      </w:r>
    </w:p>
  </w:footnote>
  <w:footnote w:id="159">
    <w:p w:rsidR="00B60846" w:rsidRDefault="008069FF">
      <w:pPr>
        <w:pStyle w:val="FootnoteText"/>
      </w:pPr>
      <w:r>
        <w:rPr>
          <w:rStyle w:val="FootnoteReference"/>
        </w:rPr>
        <w:footnoteRef/>
      </w:r>
      <w:r>
        <w:t xml:space="preserve"> ACER (2018), Third Edition of the Age</w:t>
      </w:r>
      <w:r>
        <w:t>ncy's Summary Report on Cross-Border Cost Allocation Decisions - Status update as of March 2018.</w:t>
      </w:r>
    </w:p>
  </w:footnote>
  <w:footnote w:id="160">
    <w:p w:rsidR="00B60846" w:rsidRDefault="008069FF">
      <w:pPr>
        <w:pStyle w:val="FootnoteText"/>
      </w:pPr>
      <w:r>
        <w:rPr>
          <w:rStyle w:val="FootnoteReference"/>
        </w:rPr>
        <w:footnoteRef/>
      </w:r>
      <w:r>
        <w:t xml:space="preserve"> Also confirmed by Roland Berger (2016). Cost-Effective Financing Structures for Mature Projects of Common Interest (PCIs) in Energy and Trinomics et al. (201</w:t>
      </w:r>
      <w:r>
        <w:t>8)</w:t>
      </w:r>
    </w:p>
    <w:p w:rsidR="00B60846" w:rsidRDefault="00B60846">
      <w:pPr>
        <w:pStyle w:val="FootnoteText"/>
      </w:pPr>
    </w:p>
  </w:footnote>
  <w:footnote w:id="161">
    <w:p w:rsidR="00B60846" w:rsidRDefault="008069FF">
      <w:pPr>
        <w:pStyle w:val="FootnoteText"/>
        <w:rPr>
          <w:lang w:val="en-IE"/>
        </w:rPr>
      </w:pPr>
      <w:r>
        <w:rPr>
          <w:rStyle w:val="FootnoteReference"/>
        </w:rPr>
        <w:footnoteRef/>
      </w:r>
      <w:r>
        <w:t xml:space="preserve"> Roland Berger (2016). Cost-Effective Financing Structures for Mature Projects of Common Interest (PCIs) in Energy.</w:t>
      </w:r>
    </w:p>
  </w:footnote>
  <w:footnote w:id="162">
    <w:p w:rsidR="00B60846" w:rsidRDefault="008069FF">
      <w:pPr>
        <w:pStyle w:val="FootnoteText"/>
        <w:rPr>
          <w:lang w:val="en-IE"/>
        </w:rPr>
      </w:pPr>
      <w:r>
        <w:rPr>
          <w:rStyle w:val="FootnoteReference"/>
        </w:rPr>
        <w:footnoteRef/>
      </w:r>
      <w:r>
        <w:t xml:space="preserve"> ACER reports indicate that two requests for such incentives have been made for electricity and four for gas PCIs. In four cases overa</w:t>
      </w:r>
      <w:r>
        <w:t>ll (one electricity, three gas), risk-based incentives have been granted</w:t>
      </w:r>
    </w:p>
  </w:footnote>
  <w:footnote w:id="163">
    <w:p w:rsidR="00B60846" w:rsidRDefault="008069FF">
      <w:pPr>
        <w:pStyle w:val="FootnoteText"/>
      </w:pPr>
      <w:r>
        <w:rPr>
          <w:rStyle w:val="FootnoteReference"/>
        </w:rPr>
        <w:footnoteRef/>
      </w:r>
      <w:r>
        <w:t xml:space="preserve"> </w:t>
      </w:r>
      <w:hyperlink r:id="rId50" w:history="1">
        <w:r>
          <w:rPr>
            <w:rStyle w:val="Hyperlink"/>
          </w:rPr>
          <w:t>https://ec.europa.eu/environment/eia/pdf/PCI_guidance.pdf</w:t>
        </w:r>
      </w:hyperlink>
      <w:r>
        <w:t xml:space="preserve"> </w:t>
      </w:r>
    </w:p>
  </w:footnote>
  <w:footnote w:id="164">
    <w:p w:rsidR="00B60846" w:rsidRDefault="008069FF">
      <w:pPr>
        <w:pStyle w:val="FootnoteText"/>
      </w:pPr>
      <w:r>
        <w:rPr>
          <w:rStyle w:val="FootnoteReference"/>
        </w:rPr>
        <w:footnoteRef/>
      </w:r>
      <w:r>
        <w:t xml:space="preserve"> </w:t>
      </w:r>
    </w:p>
    <w:p w:rsidR="00B60846" w:rsidRDefault="008069FF">
      <w:pPr>
        <w:pStyle w:val="FootnoteText"/>
        <w:rPr>
          <w:lang w:val="en-US"/>
        </w:rPr>
      </w:pPr>
      <w:r>
        <w:rPr>
          <w:lang w:val="en-US"/>
        </w:rPr>
        <w:t>Electricity 4</w:t>
      </w:r>
      <w:r>
        <w:rPr>
          <w:vertAlign w:val="superscript"/>
          <w:lang w:val="en-US"/>
        </w:rPr>
        <w:t>th</w:t>
      </w:r>
      <w:r>
        <w:rPr>
          <w:lang w:val="en-US"/>
        </w:rPr>
        <w:t xml:space="preserve"> PCI assessment methodology: </w:t>
      </w:r>
      <w:hyperlink r:id="rId51" w:history="1">
        <w:r>
          <w:rPr>
            <w:rStyle w:val="Hyperlink"/>
            <w:lang w:val="en-US"/>
          </w:rPr>
          <w:t>https://circabc.europa.eu/ui/group/3ba59f7e-2e01-46d0-9683-a72b39b6decf/library/c1b40471-8605-45</w:t>
        </w:r>
        <w:r>
          <w:rPr>
            <w:rStyle w:val="Hyperlink"/>
            <w:lang w:val="en-US"/>
          </w:rPr>
          <w:t>c3-8540-04451ed31094?p=1&amp;n=10&amp;sort=modified_DESC</w:t>
        </w:r>
      </w:hyperlink>
    </w:p>
    <w:p w:rsidR="00B60846" w:rsidRDefault="00B60846">
      <w:pPr>
        <w:pStyle w:val="FootnoteText"/>
        <w:rPr>
          <w:lang w:val="en-US"/>
        </w:rPr>
      </w:pPr>
    </w:p>
    <w:p w:rsidR="00B60846" w:rsidRDefault="008069FF">
      <w:pPr>
        <w:pStyle w:val="FootnoteText"/>
        <w:rPr>
          <w:lang w:val="en-US"/>
        </w:rPr>
      </w:pPr>
      <w:r>
        <w:rPr>
          <w:lang w:val="en-US"/>
        </w:rPr>
        <w:t>Gas 4</w:t>
      </w:r>
      <w:r>
        <w:rPr>
          <w:vertAlign w:val="superscript"/>
          <w:lang w:val="en-US"/>
        </w:rPr>
        <w:t>th</w:t>
      </w:r>
      <w:r>
        <w:rPr>
          <w:lang w:val="en-US"/>
        </w:rPr>
        <w:t xml:space="preserve"> PCI assessment methodology: </w:t>
      </w:r>
      <w:hyperlink r:id="rId52" w:history="1">
        <w:r>
          <w:rPr>
            <w:rStyle w:val="Hyperlink"/>
            <w:lang w:val="en-US"/>
          </w:rPr>
          <w:t>https://c</w:t>
        </w:r>
        <w:r>
          <w:rPr>
            <w:rStyle w:val="Hyperlink"/>
            <w:lang w:val="en-US"/>
          </w:rPr>
          <w:t>ircabc.europa.eu/ui/group/3ba59f7e-2e01-46d0-9683-a72b39b6decf/library/563f3273-e6a7-4d2f-b157-76a6514cf4ee?p=1&amp;n=10&amp;sort=modified_DESC</w:t>
        </w:r>
      </w:hyperlink>
      <w:r>
        <w:rPr>
          <w:lang w:val="en-US"/>
        </w:rPr>
        <w:t xml:space="preserve"> </w:t>
      </w:r>
    </w:p>
  </w:footnote>
  <w:footnote w:id="165">
    <w:p w:rsidR="00B60846" w:rsidRDefault="008069FF">
      <w:pPr>
        <w:pStyle w:val="FootnoteText"/>
      </w:pPr>
      <w:r>
        <w:rPr>
          <w:rStyle w:val="FootnoteReference"/>
        </w:rPr>
        <w:footnoteRef/>
      </w:r>
      <w:r>
        <w:t xml:space="preserve"> According to Article 2(2) of the TEN-E Regulation, the comprehensive decision is defined as follows: </w:t>
      </w:r>
      <w:r>
        <w:rPr>
          <w:i/>
          <w:iCs/>
        </w:rPr>
        <w:t xml:space="preserve">the decision or </w:t>
      </w:r>
      <w:r>
        <w:rPr>
          <w:i/>
          <w:iCs/>
        </w:rPr>
        <w:t xml:space="preserve">set of decisions taken by a Member State authority or authorities not including courts or tribunals, that determines whether or not a project promoter is to be granted authorisation to build the energy infrastructure to realise a project without prejudice </w:t>
      </w:r>
      <w:r>
        <w:rPr>
          <w:i/>
          <w:iCs/>
        </w:rPr>
        <w:t>to any decision taken in the context of an administrative appeal procedure.</w:t>
      </w:r>
    </w:p>
  </w:footnote>
  <w:footnote w:id="166">
    <w:p w:rsidR="00B60846" w:rsidRDefault="008069FF">
      <w:pPr>
        <w:pStyle w:val="FootnoteText"/>
      </w:pPr>
      <w:r>
        <w:rPr>
          <w:rStyle w:val="FootnoteReference"/>
        </w:rPr>
        <w:footnoteRef/>
      </w:r>
      <w:r>
        <w:t xml:space="preserve"> Ecorys et al. (2019), Do current regulatory frameworks in the EU support innovation and security of supply in electricity and gas infrastructure?</w:t>
      </w:r>
    </w:p>
  </w:footnote>
  <w:footnote w:id="167">
    <w:p w:rsidR="00B60846" w:rsidRDefault="008069FF">
      <w:pPr>
        <w:pStyle w:val="FootnoteText"/>
      </w:pPr>
      <w:r>
        <w:rPr>
          <w:rStyle w:val="FootnoteReference"/>
        </w:rPr>
        <w:footnoteRef/>
      </w:r>
      <w:r>
        <w:t xml:space="preserve"> Scope et al. (2020) Innovative</w:t>
      </w:r>
      <w:r>
        <w:t xml:space="preserve"> actions and strategies to boost public awareness, trust and acceptance of trans-European energy infrastructure projects. Draft Revised Interim Report. Provided by DG ENER.</w:t>
      </w:r>
    </w:p>
  </w:footnote>
  <w:footnote w:id="168">
    <w:p w:rsidR="00B60846" w:rsidRDefault="008069FF">
      <w:pPr>
        <w:pStyle w:val="FootnoteText"/>
      </w:pPr>
      <w:r>
        <w:rPr>
          <w:rStyle w:val="FootnoteReference"/>
        </w:rPr>
        <w:footnoteRef/>
      </w:r>
      <w:r>
        <w:t xml:space="preserve"> Trinomics (2018). Evaluation of the TEN-E Regulation and Assessing the Impacts of</w:t>
      </w:r>
      <w:r>
        <w:t xml:space="preserve"> Alternative Policy Scenarios. Final Report.</w:t>
      </w:r>
    </w:p>
  </w:footnote>
  <w:footnote w:id="169">
    <w:p w:rsidR="00B60846" w:rsidRDefault="008069FF">
      <w:pPr>
        <w:pStyle w:val="FootnoteText"/>
      </w:pPr>
      <w:r>
        <w:rPr>
          <w:rStyle w:val="FootnoteReference"/>
        </w:rPr>
        <w:footnoteRef/>
      </w:r>
      <w:r>
        <w:t xml:space="preserve"> https://ec.europa.eu/energy/sites/ener/files/documents/3rd_report_on_public_acceptance_b5.pdf</w:t>
      </w:r>
    </w:p>
  </w:footnote>
  <w:footnote w:id="170">
    <w:p w:rsidR="00B60846" w:rsidRDefault="008069FF">
      <w:pPr>
        <w:pStyle w:val="FootnoteText"/>
      </w:pPr>
      <w:r>
        <w:rPr>
          <w:rStyle w:val="FootnoteReference"/>
        </w:rPr>
        <w:footnoteRef/>
      </w:r>
      <w:r>
        <w:t xml:space="preserve"> Clarify the procedure to be followed for submitting the investment request and requirements, maturity, “concerned</w:t>
      </w:r>
      <w:r>
        <w:t xml:space="preserve"> NRA”, “significant net positive impact”, “The national regulatory authorities may decide to allocate only part of the costs, or may decide to allocate costs among a package of several projects of common interest.”; “relevant NRA”, the content and minimum </w:t>
      </w:r>
      <w:r>
        <w:t>information that the CBCA decision needs to contain.</w:t>
      </w:r>
    </w:p>
  </w:footnote>
  <w:footnote w:id="171">
    <w:p w:rsidR="00B60846" w:rsidRDefault="008069FF">
      <w:pPr>
        <w:pStyle w:val="FootnoteText"/>
      </w:pPr>
      <w:r>
        <w:rPr>
          <w:rStyle w:val="FootnoteReference"/>
        </w:rPr>
        <w:footnoteRef/>
      </w:r>
      <w:r>
        <w:t xml:space="preserve"> The CBCA enables the timely implementation of PCIs and hence avoids delays in project implementation. The benefits of a PCI are therefore realised earlier. </w:t>
      </w:r>
    </w:p>
  </w:footnote>
  <w:footnote w:id="172">
    <w:p w:rsidR="00B60846" w:rsidRDefault="008069FF">
      <w:pPr>
        <w:pStyle w:val="FootnoteText"/>
      </w:pPr>
      <w:r>
        <w:rPr>
          <w:rStyle w:val="FootnoteReference"/>
        </w:rPr>
        <w:footnoteRef/>
      </w:r>
      <w:r>
        <w:t xml:space="preserve"> TEN-E Evaluation Report, page 116</w:t>
      </w:r>
    </w:p>
  </w:footnote>
  <w:footnote w:id="173">
    <w:p w:rsidR="00B60846" w:rsidRDefault="008069FF">
      <w:pPr>
        <w:pStyle w:val="FootnoteText"/>
      </w:pPr>
      <w:r>
        <w:rPr>
          <w:rStyle w:val="FootnoteReference"/>
        </w:rPr>
        <w:footnoteRef/>
      </w:r>
      <w:r>
        <w:t xml:space="preserve"> The CEF Regulation provides that: “First, the market should have the priority to invest. Second, if investments are not made by the market, regulatory solutions should be explored, if necessary the relevant regulatory framework should be adjusted, and the</w:t>
      </w:r>
      <w:r>
        <w:t xml:space="preserve"> correct application of the relevant regulatory framework should be ensured. Third, where the first two steps are not sufficient to deliver the necessary investment in projects of common interest, Union financial assistance could be granted if the project </w:t>
      </w:r>
      <w:r>
        <w:t>of common interest fulfils the applicable eligibility criteria”</w:t>
      </w:r>
    </w:p>
  </w:footnote>
  <w:footnote w:id="174">
    <w:p w:rsidR="00B60846" w:rsidRDefault="008069FF">
      <w:pPr>
        <w:pStyle w:val="FootnoteText"/>
      </w:pPr>
      <w:r>
        <w:rPr>
          <w:rStyle w:val="FootnoteReference"/>
        </w:rPr>
        <w:footnoteRef/>
      </w:r>
      <w:r>
        <w:t xml:space="preserve"> This option corresponds to the input of ACER to the stakeholder consultation.</w:t>
      </w:r>
    </w:p>
  </w:footnote>
  <w:footnote w:id="175">
    <w:p w:rsidR="00B60846" w:rsidRDefault="008069FF">
      <w:pPr>
        <w:pStyle w:val="FootnoteText"/>
      </w:pPr>
      <w:r>
        <w:rPr>
          <w:rStyle w:val="FootnoteReference"/>
        </w:rPr>
        <w:footnoteRef/>
      </w:r>
      <w:r>
        <w:t xml:space="preserve"> Including their obligation to maintain a constantly updated website with all necessary data.</w:t>
      </w:r>
    </w:p>
  </w:footnote>
  <w:footnote w:id="176">
    <w:p w:rsidR="00B60846" w:rsidRDefault="008069FF">
      <w:pPr>
        <w:pStyle w:val="FootnoteText"/>
        <w:rPr>
          <w:lang w:val="pt-PT"/>
        </w:rPr>
      </w:pPr>
      <w:r>
        <w:rPr>
          <w:rStyle w:val="FootnoteReference"/>
        </w:rPr>
        <w:footnoteRef/>
      </w:r>
      <w:r>
        <w:rPr>
          <w:lang w:val="pt-PT"/>
        </w:rPr>
        <w:t xml:space="preserve"> ENTSO-E : </w:t>
      </w:r>
      <w:hyperlink r:id="rId53" w:history="1">
        <w:r>
          <w:rPr>
            <w:rStyle w:val="Hyperlink"/>
            <w:lang w:val="pt-PT"/>
          </w:rPr>
          <w:t>https://tyndp.entsoe.eu/promoters-corner</w:t>
        </w:r>
      </w:hyperlink>
      <w:r>
        <w:rPr>
          <w:lang w:val="pt-PT"/>
        </w:rPr>
        <w:t xml:space="preserve"> </w:t>
      </w:r>
    </w:p>
    <w:p w:rsidR="00B60846" w:rsidRDefault="008069FF">
      <w:pPr>
        <w:pStyle w:val="FootnoteText"/>
        <w:jc w:val="left"/>
        <w:rPr>
          <w:lang w:val="de-DE"/>
        </w:rPr>
      </w:pPr>
      <w:r>
        <w:rPr>
          <w:lang w:val="de-DE"/>
        </w:rPr>
        <w:t xml:space="preserve">ENTSOG: </w:t>
      </w:r>
      <w:hyperlink r:id="rId54" w:history="1">
        <w:r>
          <w:rPr>
            <w:rStyle w:val="Hyperlink"/>
            <w:lang w:val="de-DE"/>
          </w:rPr>
          <w:t>https://www.entsog.eu/site</w:t>
        </w:r>
        <w:r>
          <w:rPr>
            <w:rStyle w:val="Hyperlink"/>
            <w:lang w:val="de-DE"/>
          </w:rPr>
          <w:t>s/default/files/2019-05/TYNDP%202020_Practical_Implementation_Document_20190502_0.pdf</w:t>
        </w:r>
      </w:hyperlink>
      <w:r>
        <w:rPr>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9FF" w:rsidRPr="008069FF" w:rsidRDefault="008069FF" w:rsidP="008069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9FF" w:rsidRPr="008069FF" w:rsidRDefault="008069FF" w:rsidP="008069FF">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9FF" w:rsidRPr="008069FF" w:rsidRDefault="008069FF" w:rsidP="008069FF">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846" w:rsidRDefault="00B608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DB4045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5E404D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E210DD"/>
    <w:multiLevelType w:val="hybridMultilevel"/>
    <w:tmpl w:val="324C05AC"/>
    <w:lvl w:ilvl="0" w:tplc="947A968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04462"/>
    <w:multiLevelType w:val="hybridMultilevel"/>
    <w:tmpl w:val="6136B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507F6"/>
    <w:multiLevelType w:val="hybridMultilevel"/>
    <w:tmpl w:val="2B8278D4"/>
    <w:lvl w:ilvl="0" w:tplc="50BCCCB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CB448C"/>
    <w:multiLevelType w:val="hybridMultilevel"/>
    <w:tmpl w:val="DA8CB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C0465"/>
    <w:multiLevelType w:val="hybridMultilevel"/>
    <w:tmpl w:val="89D06EC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8426E"/>
    <w:multiLevelType w:val="hybridMultilevel"/>
    <w:tmpl w:val="83F49644"/>
    <w:lvl w:ilvl="0" w:tplc="5E5699B2">
      <w:start w:val="1"/>
      <w:numFmt w:val="bullet"/>
      <w:pStyle w:val="Bulletpoint1"/>
      <w:lvlText w:val=""/>
      <w:lvlJc w:val="left"/>
      <w:pPr>
        <w:ind w:left="717" w:hanging="360"/>
      </w:pPr>
      <w:rPr>
        <w:rFonts w:ascii="Symbol" w:hAnsi="Symbol" w:hint="default"/>
        <w:color w:val="00AEF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13A1C"/>
    <w:multiLevelType w:val="hybridMultilevel"/>
    <w:tmpl w:val="F04A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9C01D5"/>
    <w:multiLevelType w:val="hybridMultilevel"/>
    <w:tmpl w:val="88C8E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D6CDD"/>
    <w:multiLevelType w:val="multilevel"/>
    <w:tmpl w:val="440ABDD0"/>
    <w:lvl w:ilvl="0">
      <w:start w:val="1"/>
      <w:numFmt w:val="bullet"/>
      <w:lvlText w:val=""/>
      <w:lvlJc w:val="left"/>
      <w:pPr>
        <w:tabs>
          <w:tab w:val="num" w:pos="960"/>
        </w:tabs>
        <w:ind w:left="960" w:hanging="480"/>
      </w:pPr>
      <w:rPr>
        <w:rFonts w:ascii="Symbol" w:hAnsi="Symbol" w:hint="default"/>
      </w:rPr>
    </w:lvl>
    <w:lvl w:ilvl="1">
      <w:start w:val="1"/>
      <w:numFmt w:val="decimal"/>
      <w:lvlText w:val="%1.%2."/>
      <w:lvlJc w:val="left"/>
      <w:pPr>
        <w:tabs>
          <w:tab w:val="num" w:pos="1680"/>
        </w:tabs>
        <w:ind w:left="1680" w:hanging="720"/>
      </w:pPr>
    </w:lvl>
    <w:lvl w:ilvl="2">
      <w:start w:val="1"/>
      <w:numFmt w:val="decimal"/>
      <w:lvlText w:val="%1.%2.%3."/>
      <w:lvlJc w:val="left"/>
      <w:pPr>
        <w:tabs>
          <w:tab w:val="num" w:pos="2400"/>
        </w:tabs>
        <w:ind w:left="2400" w:hanging="720"/>
      </w:pPr>
    </w:lvl>
    <w:lvl w:ilvl="3">
      <w:start w:val="1"/>
      <w:numFmt w:val="bullet"/>
      <w:lvlText w:val=""/>
      <w:lvlJc w:val="left"/>
      <w:pPr>
        <w:tabs>
          <w:tab w:val="num" w:pos="2400"/>
        </w:tabs>
        <w:ind w:left="2400" w:hanging="720"/>
      </w:pPr>
      <w:rPr>
        <w:rFonts w:ascii="Symbol" w:hAnsi="Symbol" w:hint="default"/>
      </w:rPr>
    </w:lvl>
    <w:lvl w:ilvl="4">
      <w:start w:val="1"/>
      <w:numFmt w:val="lowerLetter"/>
      <w:lvlText w:val="(%5)"/>
      <w:lvlJc w:val="left"/>
      <w:pPr>
        <w:tabs>
          <w:tab w:val="num" w:pos="2280"/>
        </w:tabs>
        <w:ind w:left="2280" w:hanging="360"/>
      </w:pPr>
    </w:lvl>
    <w:lvl w:ilvl="5">
      <w:start w:val="1"/>
      <w:numFmt w:val="lowerRoman"/>
      <w:lvlText w:val="(%6)"/>
      <w:lvlJc w:val="left"/>
      <w:pPr>
        <w:tabs>
          <w:tab w:val="num" w:pos="2640"/>
        </w:tabs>
        <w:ind w:left="2640" w:hanging="360"/>
      </w:pPr>
    </w:lvl>
    <w:lvl w:ilvl="6">
      <w:start w:val="1"/>
      <w:numFmt w:val="decimal"/>
      <w:lvlText w:val="%7."/>
      <w:lvlJc w:val="left"/>
      <w:pPr>
        <w:tabs>
          <w:tab w:val="num" w:pos="3000"/>
        </w:tabs>
        <w:ind w:left="3000" w:hanging="360"/>
      </w:pPr>
    </w:lvl>
    <w:lvl w:ilvl="7">
      <w:start w:val="1"/>
      <w:numFmt w:val="lowerLetter"/>
      <w:lvlText w:val="%8."/>
      <w:lvlJc w:val="left"/>
      <w:pPr>
        <w:tabs>
          <w:tab w:val="num" w:pos="3360"/>
        </w:tabs>
        <w:ind w:left="3360" w:hanging="360"/>
      </w:pPr>
    </w:lvl>
    <w:lvl w:ilvl="8">
      <w:start w:val="1"/>
      <w:numFmt w:val="lowerRoman"/>
      <w:lvlText w:val="%9."/>
      <w:lvlJc w:val="left"/>
      <w:pPr>
        <w:tabs>
          <w:tab w:val="num" w:pos="3720"/>
        </w:tabs>
        <w:ind w:left="3720" w:hanging="360"/>
      </w:pPr>
    </w:lvl>
  </w:abstractNum>
  <w:abstractNum w:abstractNumId="12" w15:restartNumberingAfterBreak="0">
    <w:nsid w:val="19810E97"/>
    <w:multiLevelType w:val="hybridMultilevel"/>
    <w:tmpl w:val="1EFCF0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BD91A46"/>
    <w:multiLevelType w:val="hybridMultilevel"/>
    <w:tmpl w:val="45ECE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8C28B5"/>
    <w:multiLevelType w:val="hybridMultilevel"/>
    <w:tmpl w:val="9AF65F2C"/>
    <w:lvl w:ilvl="0" w:tplc="08090001">
      <w:start w:val="1"/>
      <w:numFmt w:val="bullet"/>
      <w:lvlText w:val=""/>
      <w:lvlJc w:val="left"/>
      <w:pPr>
        <w:ind w:left="720" w:hanging="360"/>
      </w:pPr>
      <w:rPr>
        <w:rFonts w:ascii="Symbol" w:hAnsi="Symbol" w:hint="default"/>
      </w:rPr>
    </w:lvl>
    <w:lvl w:ilvl="1" w:tplc="A91E83CE">
      <w:start w:val="31"/>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A4A60"/>
    <w:multiLevelType w:val="hybridMultilevel"/>
    <w:tmpl w:val="90048664"/>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17">
      <w:start w:val="1"/>
      <w:numFmt w:val="lowerLetter"/>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B8F4B94"/>
    <w:multiLevelType w:val="hybridMultilevel"/>
    <w:tmpl w:val="3ED4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71947"/>
    <w:multiLevelType w:val="hybridMultilevel"/>
    <w:tmpl w:val="C50E4872"/>
    <w:lvl w:ilvl="0" w:tplc="947A968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A44E0"/>
    <w:multiLevelType w:val="hybridMultilevel"/>
    <w:tmpl w:val="27960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615F7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A7C6FE2"/>
    <w:multiLevelType w:val="hybridMultilevel"/>
    <w:tmpl w:val="5DD090B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526D5C"/>
    <w:multiLevelType w:val="hybridMultilevel"/>
    <w:tmpl w:val="E0688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7F2FF9"/>
    <w:multiLevelType w:val="hybridMultilevel"/>
    <w:tmpl w:val="40AC7F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4" w15:restartNumberingAfterBreak="0">
    <w:nsid w:val="41175B51"/>
    <w:multiLevelType w:val="hybridMultilevel"/>
    <w:tmpl w:val="90048664"/>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17">
      <w:start w:val="1"/>
      <w:numFmt w:val="lowerLetter"/>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21A1DA8"/>
    <w:multiLevelType w:val="hybridMultilevel"/>
    <w:tmpl w:val="BC28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3C2EBC"/>
    <w:multiLevelType w:val="multilevel"/>
    <w:tmpl w:val="333866AC"/>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77F1C55"/>
    <w:multiLevelType w:val="hybridMultilevel"/>
    <w:tmpl w:val="36EC4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6811E9"/>
    <w:multiLevelType w:val="hybridMultilevel"/>
    <w:tmpl w:val="8DE6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B70ECA"/>
    <w:multiLevelType w:val="hybridMultilevel"/>
    <w:tmpl w:val="19C26D0C"/>
    <w:lvl w:ilvl="0" w:tplc="947A9686">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4AE6115"/>
    <w:multiLevelType w:val="hybridMultilevel"/>
    <w:tmpl w:val="713A3BA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53D3EAE"/>
    <w:multiLevelType w:val="hybridMultilevel"/>
    <w:tmpl w:val="F6082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8C6E76"/>
    <w:multiLevelType w:val="hybridMultilevel"/>
    <w:tmpl w:val="D786CE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B725CE"/>
    <w:multiLevelType w:val="hybridMultilevel"/>
    <w:tmpl w:val="3AAE9B7A"/>
    <w:lvl w:ilvl="0" w:tplc="08090001">
      <w:start w:val="1"/>
      <w:numFmt w:val="bullet"/>
      <w:lvlText w:val=""/>
      <w:lvlJc w:val="left"/>
      <w:pPr>
        <w:ind w:left="2295" w:hanging="2295"/>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70612F"/>
    <w:multiLevelType w:val="hybridMultilevel"/>
    <w:tmpl w:val="045E0D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D7A6A23"/>
    <w:multiLevelType w:val="hybridMultilevel"/>
    <w:tmpl w:val="09F8B4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E261C48"/>
    <w:multiLevelType w:val="hybridMultilevel"/>
    <w:tmpl w:val="CD7E04DE"/>
    <w:lvl w:ilvl="0" w:tplc="ED846B0A">
      <w:start w:val="1"/>
      <w:numFmt w:val="decimal"/>
      <w:lvlText w:val="%1."/>
      <w:lvlJc w:val="left"/>
      <w:pPr>
        <w:ind w:left="842" w:hanging="360"/>
      </w:pPr>
      <w:rPr>
        <w:rFonts w:hint="default"/>
      </w:rPr>
    </w:lvl>
    <w:lvl w:ilvl="1" w:tplc="18090019" w:tentative="1">
      <w:start w:val="1"/>
      <w:numFmt w:val="lowerLetter"/>
      <w:lvlText w:val="%2."/>
      <w:lvlJc w:val="left"/>
      <w:pPr>
        <w:ind w:left="1562" w:hanging="360"/>
      </w:pPr>
    </w:lvl>
    <w:lvl w:ilvl="2" w:tplc="1809001B" w:tentative="1">
      <w:start w:val="1"/>
      <w:numFmt w:val="lowerRoman"/>
      <w:lvlText w:val="%3."/>
      <w:lvlJc w:val="right"/>
      <w:pPr>
        <w:ind w:left="2282" w:hanging="180"/>
      </w:pPr>
    </w:lvl>
    <w:lvl w:ilvl="3" w:tplc="1809000F" w:tentative="1">
      <w:start w:val="1"/>
      <w:numFmt w:val="decimal"/>
      <w:lvlText w:val="%4."/>
      <w:lvlJc w:val="left"/>
      <w:pPr>
        <w:ind w:left="3002" w:hanging="360"/>
      </w:pPr>
    </w:lvl>
    <w:lvl w:ilvl="4" w:tplc="18090019" w:tentative="1">
      <w:start w:val="1"/>
      <w:numFmt w:val="lowerLetter"/>
      <w:lvlText w:val="%5."/>
      <w:lvlJc w:val="left"/>
      <w:pPr>
        <w:ind w:left="3722" w:hanging="360"/>
      </w:pPr>
    </w:lvl>
    <w:lvl w:ilvl="5" w:tplc="1809001B" w:tentative="1">
      <w:start w:val="1"/>
      <w:numFmt w:val="lowerRoman"/>
      <w:lvlText w:val="%6."/>
      <w:lvlJc w:val="right"/>
      <w:pPr>
        <w:ind w:left="4442" w:hanging="180"/>
      </w:pPr>
    </w:lvl>
    <w:lvl w:ilvl="6" w:tplc="1809000F" w:tentative="1">
      <w:start w:val="1"/>
      <w:numFmt w:val="decimal"/>
      <w:lvlText w:val="%7."/>
      <w:lvlJc w:val="left"/>
      <w:pPr>
        <w:ind w:left="5162" w:hanging="360"/>
      </w:pPr>
    </w:lvl>
    <w:lvl w:ilvl="7" w:tplc="18090019" w:tentative="1">
      <w:start w:val="1"/>
      <w:numFmt w:val="lowerLetter"/>
      <w:lvlText w:val="%8."/>
      <w:lvlJc w:val="left"/>
      <w:pPr>
        <w:ind w:left="5882" w:hanging="360"/>
      </w:pPr>
    </w:lvl>
    <w:lvl w:ilvl="8" w:tplc="1809001B" w:tentative="1">
      <w:start w:val="1"/>
      <w:numFmt w:val="lowerRoman"/>
      <w:lvlText w:val="%9."/>
      <w:lvlJc w:val="right"/>
      <w:pPr>
        <w:ind w:left="6602" w:hanging="180"/>
      </w:pPr>
    </w:lvl>
  </w:abstractNum>
  <w:abstractNum w:abstractNumId="37" w15:restartNumberingAfterBreak="0">
    <w:nsid w:val="5E6B799C"/>
    <w:multiLevelType w:val="hybridMultilevel"/>
    <w:tmpl w:val="3388703E"/>
    <w:lvl w:ilvl="0" w:tplc="947A968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9" w15:restartNumberingAfterBreak="0">
    <w:nsid w:val="621D3D04"/>
    <w:multiLevelType w:val="hybridMultilevel"/>
    <w:tmpl w:val="F8B6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9923D8"/>
    <w:multiLevelType w:val="hybridMultilevel"/>
    <w:tmpl w:val="E80477CA"/>
    <w:lvl w:ilvl="0" w:tplc="4C4A0A92">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3866EC"/>
    <w:multiLevelType w:val="hybridMultilevel"/>
    <w:tmpl w:val="85069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DF4EDB"/>
    <w:multiLevelType w:val="multilevel"/>
    <w:tmpl w:val="52D2BD66"/>
    <w:lvl w:ilvl="0">
      <w:start w:val="1"/>
      <w:numFmt w:val="bullet"/>
      <w:pStyle w:val="list-bullet-color"/>
      <w:lvlText w:val=""/>
      <w:lvlJc w:val="left"/>
      <w:pPr>
        <w:ind w:left="284" w:hanging="284"/>
      </w:pPr>
      <w:rPr>
        <w:rFonts w:ascii="Symbol" w:hAnsi="Symbol" w:hint="default"/>
        <w:color w:val="006DB6"/>
        <w:sz w:val="16"/>
        <w:szCs w:val="1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43" w15:restartNumberingAfterBreak="0">
    <w:nsid w:val="68997023"/>
    <w:multiLevelType w:val="hybridMultilevel"/>
    <w:tmpl w:val="67DE0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28002A"/>
    <w:multiLevelType w:val="hybridMultilevel"/>
    <w:tmpl w:val="24B49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5B061D"/>
    <w:multiLevelType w:val="hybridMultilevel"/>
    <w:tmpl w:val="67A6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C12E9F"/>
    <w:multiLevelType w:val="hybridMultilevel"/>
    <w:tmpl w:val="705E6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CE72AD"/>
    <w:multiLevelType w:val="multilevel"/>
    <w:tmpl w:val="1464A40A"/>
    <w:name w:val="list-bullet-color"/>
    <w:lvl w:ilvl="0">
      <w:start w:val="1"/>
      <w:numFmt w:val="bullet"/>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48" w15:restartNumberingAfterBreak="0">
    <w:nsid w:val="76B6674D"/>
    <w:multiLevelType w:val="hybridMultilevel"/>
    <w:tmpl w:val="8CFE7B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837AD2"/>
    <w:multiLevelType w:val="hybridMultilevel"/>
    <w:tmpl w:val="307E9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E33BF5"/>
    <w:multiLevelType w:val="hybridMultilevel"/>
    <w:tmpl w:val="38C6911E"/>
    <w:lvl w:ilvl="0" w:tplc="2000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BE26A72"/>
    <w:multiLevelType w:val="hybridMultilevel"/>
    <w:tmpl w:val="B5F89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485095"/>
    <w:multiLevelType w:val="hybridMultilevel"/>
    <w:tmpl w:val="7A524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11"/>
  </w:num>
  <w:num w:numId="4">
    <w:abstractNumId w:val="7"/>
  </w:num>
  <w:num w:numId="5">
    <w:abstractNumId w:val="50"/>
  </w:num>
  <w:num w:numId="6">
    <w:abstractNumId w:val="20"/>
  </w:num>
  <w:num w:numId="7">
    <w:abstractNumId w:val="42"/>
  </w:num>
  <w:num w:numId="8">
    <w:abstractNumId w:val="35"/>
  </w:num>
  <w:num w:numId="9">
    <w:abstractNumId w:val="45"/>
  </w:num>
  <w:num w:numId="10">
    <w:abstractNumId w:val="46"/>
  </w:num>
  <w:num w:numId="11">
    <w:abstractNumId w:val="41"/>
  </w:num>
  <w:num w:numId="12">
    <w:abstractNumId w:val="34"/>
  </w:num>
  <w:num w:numId="13">
    <w:abstractNumId w:val="30"/>
  </w:num>
  <w:num w:numId="14">
    <w:abstractNumId w:val="15"/>
  </w:num>
  <w:num w:numId="15">
    <w:abstractNumId w:val="28"/>
  </w:num>
  <w:num w:numId="16">
    <w:abstractNumId w:val="6"/>
  </w:num>
  <w:num w:numId="17">
    <w:abstractNumId w:val="14"/>
  </w:num>
  <w:num w:numId="18">
    <w:abstractNumId w:val="26"/>
    <w:lvlOverride w:ilvl="0">
      <w:startOverride w:val="1"/>
    </w:lvlOverride>
  </w:num>
  <w:num w:numId="19">
    <w:abstractNumId w:val="32"/>
  </w:num>
  <w:num w:numId="20">
    <w:abstractNumId w:val="19"/>
  </w:num>
  <w:num w:numId="21">
    <w:abstractNumId w:val="12"/>
  </w:num>
  <w:num w:numId="22">
    <w:abstractNumId w:val="39"/>
  </w:num>
  <w:num w:numId="23">
    <w:abstractNumId w:val="43"/>
  </w:num>
  <w:num w:numId="24">
    <w:abstractNumId w:val="49"/>
  </w:num>
  <w:num w:numId="25">
    <w:abstractNumId w:val="10"/>
  </w:num>
  <w:num w:numId="26">
    <w:abstractNumId w:val="33"/>
  </w:num>
  <w:num w:numId="27">
    <w:abstractNumId w:val="22"/>
  </w:num>
  <w:num w:numId="28">
    <w:abstractNumId w:val="48"/>
  </w:num>
  <w:num w:numId="29">
    <w:abstractNumId w:val="8"/>
  </w:num>
  <w:num w:numId="30">
    <w:abstractNumId w:val="24"/>
  </w:num>
  <w:num w:numId="31">
    <w:abstractNumId w:val="52"/>
  </w:num>
  <w:num w:numId="32">
    <w:abstractNumId w:val="9"/>
  </w:num>
  <w:num w:numId="33">
    <w:abstractNumId w:val="13"/>
  </w:num>
  <w:num w:numId="34">
    <w:abstractNumId w:val="25"/>
  </w:num>
  <w:num w:numId="35">
    <w:abstractNumId w:val="27"/>
  </w:num>
  <w:num w:numId="36">
    <w:abstractNumId w:val="3"/>
  </w:num>
  <w:num w:numId="37">
    <w:abstractNumId w:val="5"/>
  </w:num>
  <w:num w:numId="38">
    <w:abstractNumId w:val="40"/>
  </w:num>
  <w:num w:numId="39">
    <w:abstractNumId w:val="16"/>
  </w:num>
  <w:num w:numId="40">
    <w:abstractNumId w:val="29"/>
  </w:num>
  <w:num w:numId="41">
    <w:abstractNumId w:val="36"/>
  </w:num>
  <w:num w:numId="42">
    <w:abstractNumId w:val="31"/>
  </w:num>
  <w:num w:numId="43">
    <w:abstractNumId w:val="21"/>
  </w:num>
  <w:num w:numId="44">
    <w:abstractNumId w:val="44"/>
  </w:num>
  <w:num w:numId="45">
    <w:abstractNumId w:val="51"/>
  </w:num>
  <w:num w:numId="46">
    <w:abstractNumId w:val="18"/>
  </w:num>
  <w:num w:numId="47">
    <w:abstractNumId w:val="2"/>
  </w:num>
  <w:num w:numId="48">
    <w:abstractNumId w:val="17"/>
  </w:num>
  <w:num w:numId="49">
    <w:abstractNumId w:val="37"/>
  </w:num>
  <w:num w:numId="50">
    <w:abstractNumId w:val="19"/>
  </w:num>
  <w:num w:numId="51">
    <w:abstractNumId w:val="0"/>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num>
  <w:num w:numId="54">
    <w:abstractNumId w:val="4"/>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document SWD(2020) 346 final of 15.12.2020_x000b_Parts of the text revised as summarised in Annex I, point b)._x000b_The text shall read as follows:"/>
    <w:docVar w:name="LW_COVERPAGE_EXISTS" w:val="True"/>
    <w:docVar w:name="LW_COVERPAGE_GUID" w:val="B91AD4FD-A285-4AEC-9647-EF69B787A7B9"/>
    <w:docVar w:name="LW_COVERPAGE_TYPE" w:val="1"/>
    <w:docVar w:name="LW_CROSSREFERENCE" w:val="{COM(2020) 824 final} - {SEC(2020) 431 final} - {SWD(2020) 347 final}"/>
    <w:docVar w:name="LW_DocType" w:val="NORMAL"/>
    <w:docVar w:name="LW_EMISSION" w:val="22.1.2021"/>
    <w:docVar w:name="LW_EMISSION_ISODATE" w:val="2021-01-22"/>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 "/>
    <w:docVar w:name="LW_PART_NBR" w:val="1"/>
    <w:docVar w:name="LW_PART_NBR_TOTAL" w:val="1"/>
    <w:docVar w:name="LW_REF.INST.NEW" w:val="SWD"/>
    <w:docVar w:name="LW_REF.INST.NEW_ADOPTED" w:val="final/2"/>
    <w:docVar w:name="LW_REF.INST.NEW_TEXT" w:val="(2020) 3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on guidelines for trans-European energy infrastructure and repealing Regulation (EU) No 347/2013"/>
  </w:docVars>
  <w:rsids>
    <w:rsidRoot w:val="00B60846"/>
    <w:rsid w:val="008069FF"/>
    <w:rsid w:val="00B60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5549176-1D06-457D-8314-D1434F7D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2302"/>
      </w:tabs>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50"/>
      </w:numPr>
      <w:spacing w:before="240"/>
      <w:outlineLvl w:val="0"/>
    </w:pPr>
    <w:rPr>
      <w:b/>
      <w:smallCaps/>
    </w:rPr>
  </w:style>
  <w:style w:type="paragraph" w:styleId="Heading2">
    <w:name w:val="heading 2"/>
    <w:basedOn w:val="Normal"/>
    <w:next w:val="Text2"/>
    <w:link w:val="Heading2Char"/>
    <w:qFormat/>
    <w:pPr>
      <w:keepNext/>
      <w:numPr>
        <w:ilvl w:val="1"/>
        <w:numId w:val="50"/>
      </w:numPr>
      <w:jc w:val="left"/>
      <w:outlineLvl w:val="1"/>
    </w:pPr>
    <w:rPr>
      <w:b/>
    </w:rPr>
  </w:style>
  <w:style w:type="paragraph" w:styleId="Heading3">
    <w:name w:val="heading 3"/>
    <w:basedOn w:val="Normal"/>
    <w:next w:val="Normal"/>
    <w:link w:val="Heading3Char"/>
    <w:qFormat/>
    <w:pPr>
      <w:keepNext/>
      <w:numPr>
        <w:ilvl w:val="2"/>
        <w:numId w:val="50"/>
      </w:numPr>
      <w:tabs>
        <w:tab w:val="clear" w:pos="2302"/>
      </w:tabs>
      <w:outlineLvl w:val="2"/>
    </w:pPr>
    <w:rPr>
      <w:i/>
    </w:rPr>
  </w:style>
  <w:style w:type="paragraph" w:styleId="Heading4">
    <w:name w:val="heading 4"/>
    <w:basedOn w:val="Normal"/>
    <w:next w:val="Normal"/>
    <w:link w:val="Heading4Char"/>
    <w:qFormat/>
    <w:pPr>
      <w:keepNext/>
      <w:numPr>
        <w:ilvl w:val="3"/>
        <w:numId w:val="50"/>
      </w:numPr>
      <w:outlineLvl w:val="3"/>
    </w:pPr>
  </w:style>
  <w:style w:type="paragraph" w:styleId="Heading5">
    <w:name w:val="heading 5"/>
    <w:basedOn w:val="Normal"/>
    <w:next w:val="Normal"/>
    <w:link w:val="Heading5Char"/>
    <w:uiPriority w:val="9"/>
    <w:semiHidden/>
    <w:unhideWhenUsed/>
    <w:qFormat/>
    <w:pPr>
      <w:keepNext/>
      <w:keepLines/>
      <w:numPr>
        <w:ilvl w:val="4"/>
        <w:numId w:val="5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numPr>
        <w:ilvl w:val="5"/>
        <w:numId w:val="5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5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styleId="Header">
    <w:name w:val="header"/>
    <w:basedOn w:val="Normal"/>
    <w:link w:val="HeaderChar"/>
    <w:uiPriority w:val="99"/>
    <w:unhideWhenUsed/>
    <w:pPr>
      <w:tabs>
        <w:tab w:val="center" w:pos="4535"/>
        <w:tab w:val="right" w:pos="9071"/>
      </w:tabs>
      <w:spacing w:after="120"/>
    </w:p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lear" w:pos="2302"/>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lear" w:pos="2302"/>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ind w:left="482"/>
    </w:pPr>
  </w:style>
  <w:style w:type="paragraph" w:customStyle="1" w:styleId="Text2">
    <w:name w:val="Text 2"/>
    <w:basedOn w:val="Normal"/>
    <w:pPr>
      <w:ind w:left="1202"/>
    </w:pPr>
  </w:style>
  <w:style w:type="paragraph" w:styleId="ListBullet">
    <w:name w:val="List Bullet"/>
    <w:basedOn w:val="Normal"/>
    <w:uiPriority w:val="99"/>
    <w:pPr>
      <w:numPr>
        <w:numId w:val="1"/>
      </w:numPr>
    </w:pPr>
  </w:style>
  <w:style w:type="paragraph" w:customStyle="1" w:styleId="ListDash1">
    <w:name w:val="List Dash 1"/>
    <w:basedOn w:val="Text1"/>
    <w:pPr>
      <w:numPr>
        <w:numId w:val="2"/>
      </w:numPr>
    </w:pPr>
  </w:style>
  <w:style w:type="table" w:styleId="TableGrid">
    <w:name w:val="Table Grid"/>
    <w:aliases w:val="Document Table,CV1"/>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jc w:val="center"/>
    </w:pPr>
    <w:rPr>
      <w:b/>
      <w:sz w:val="32"/>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ind w:left="482" w:right="720" w:hanging="482"/>
    </w:pPr>
    <w:rPr>
      <w:caps/>
      <w:sz w:val="20"/>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Heading">
    <w:name w:val="TOC Heading"/>
    <w:basedOn w:val="Normal"/>
    <w:next w:val="Normal"/>
    <w:uiPriority w:val="39"/>
    <w:qFormat/>
    <w:pPr>
      <w:keepNext/>
      <w:spacing w:before="240"/>
      <w:jc w:val="center"/>
    </w:pPr>
    <w:rPr>
      <w:b/>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spacing w:after="120"/>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tabs>
        <w:tab w:val="clear" w:pos="2302"/>
      </w:tabs>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tabs>
        <w:tab w:val="clear" w:pos="2302"/>
      </w:tabs>
      <w:spacing w:before="360" w:after="0"/>
      <w:ind w:left="113" w:right="113"/>
      <w:jc w:val="center"/>
    </w:pPr>
    <w:rPr>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style>
  <w:style w:type="paragraph" w:customStyle="1" w:styleId="SecurityMarking">
    <w:name w:val="SecurityMarking"/>
    <w:basedOn w:val="Normal"/>
    <w:pPr>
      <w:tabs>
        <w:tab w:val="clear" w:pos="2302"/>
      </w:tabs>
      <w:spacing w:after="0" w:line="276" w:lineRule="auto"/>
      <w:ind w:left="5103"/>
      <w:jc w:val="left"/>
    </w:pPr>
    <w:rPr>
      <w:rFonts w:eastAsiaTheme="minorHAnsi"/>
      <w:sz w:val="28"/>
      <w:szCs w:val="22"/>
    </w:rPr>
  </w:style>
  <w:style w:type="paragraph" w:customStyle="1" w:styleId="DateMarking">
    <w:name w:val="DateMarking"/>
    <w:basedOn w:val="Normal"/>
    <w:pPr>
      <w:tabs>
        <w:tab w:val="clear" w:pos="2302"/>
      </w:tabs>
      <w:spacing w:after="0" w:line="276" w:lineRule="auto"/>
      <w:ind w:left="5103"/>
      <w:jc w:val="left"/>
    </w:pPr>
    <w:rPr>
      <w:rFonts w:eastAsiaTheme="minorHAnsi"/>
      <w:i/>
      <w:sz w:val="28"/>
      <w:szCs w:val="22"/>
    </w:rPr>
  </w:style>
  <w:style w:type="paragraph" w:customStyle="1" w:styleId="ReleasableTo">
    <w:name w:val="ReleasableTo"/>
    <w:basedOn w:val="Normal"/>
    <w:pPr>
      <w:tabs>
        <w:tab w:val="clear" w:pos="2302"/>
      </w:tabs>
      <w:spacing w:after="0" w:line="276" w:lineRule="auto"/>
      <w:ind w:left="5103"/>
      <w:jc w:val="left"/>
    </w:pPr>
    <w:rPr>
      <w:rFonts w:eastAsiaTheme="minorHAnsi"/>
      <w:i/>
      <w:sz w:val="28"/>
      <w:szCs w:val="22"/>
    </w:rPr>
  </w:style>
  <w:style w:type="paragraph" w:customStyle="1" w:styleId="HeaderSensitivityRight">
    <w:name w:val="Header Sensitivity Right"/>
    <w:basedOn w:val="Normal"/>
    <w:pPr>
      <w:tabs>
        <w:tab w:val="clear" w:pos="2302"/>
      </w:tabs>
      <w:spacing w:after="120"/>
      <w:jc w:val="right"/>
    </w:pPr>
    <w:rPr>
      <w:sz w:val="28"/>
    </w:rPr>
  </w:style>
  <w:style w:type="paragraph" w:styleId="ListParagraph">
    <w:name w:val="List Paragraph"/>
    <w:aliases w:val="1st elvel bullet green,List Paragraph compact,Normal bullet 2,Paragraphe de liste 2,Reference list,Bullet list,Numbered List,List Paragraph1,1st level - Bullet List Paragraph,Lettre d'introduction,Paragraph,Bullet EY,List Paragraph11"/>
    <w:basedOn w:val="Normal"/>
    <w:link w:val="ListParagraphChar"/>
    <w:uiPriority w:val="34"/>
    <w:qFormat/>
    <w:pPr>
      <w:ind w:left="720"/>
      <w:contextualSpacing/>
    </w:pPr>
  </w:style>
  <w:style w:type="paragraph" w:styleId="TOC3">
    <w:name w:val="toc 3"/>
    <w:basedOn w:val="Normal"/>
    <w:next w:val="Normal"/>
    <w:autoRedefine/>
    <w:uiPriority w:val="39"/>
    <w:unhideWhenUsed/>
    <w:pPr>
      <w:spacing w:after="100"/>
      <w:ind w:left="480"/>
    </w:pPr>
  </w:style>
  <w:style w:type="paragraph" w:styleId="TOC4">
    <w:name w:val="toc 4"/>
    <w:basedOn w:val="Normal"/>
    <w:next w:val="Normal"/>
    <w:autoRedefine/>
    <w:uiPriority w:val="39"/>
    <w:unhideWhenUsed/>
    <w:pPr>
      <w:spacing w:after="100"/>
      <w:ind w:left="720"/>
    </w:pPr>
  </w:style>
  <w:style w:type="character" w:customStyle="1" w:styleId="ListParagraphChar">
    <w:name w:val="List Paragraph Char"/>
    <w:aliases w:val="1st elvel bullet green Char,List Paragraph compact Char,Normal bullet 2 Char,Paragraphe de liste 2 Char,Reference list Char,Bullet list Char,Numbered List Char,List Paragraph1 Char,1st level - Bullet List Paragraph Char"/>
    <w:basedOn w:val="DefaultParagraphFont"/>
    <w:link w:val="ListParagraph"/>
    <w:uiPriority w:val="34"/>
    <w:qFormat/>
    <w:rPr>
      <w:rFonts w:ascii="Times New Roman" w:hAnsi="Times New Roman" w:cs="Times New Roman"/>
      <w:sz w:val="24"/>
      <w:szCs w:val="24"/>
    </w:rPr>
  </w:style>
  <w:style w:type="paragraph" w:styleId="FootnoteText">
    <w:name w:val="footnote text"/>
    <w:aliases w:val="Testo nota a piè di pagina_Rientro,stile 1,Footnote1,Footnote2,Footnote3,Footnote4,Footnote5,Footnote6,Footnote7,Footnote8,Footnote9,Footnote10,Footnote11,Footnote21,Footnote31,Footnote41,Footnote51,ft,Footnote61,Schriftart: 9 pt, Ch,fn,Ch"/>
    <w:basedOn w:val="Normal"/>
    <w:link w:val="FootnoteTextChar"/>
    <w:uiPriority w:val="99"/>
    <w:unhideWhenUsed/>
    <w:qFormat/>
    <w:pPr>
      <w:spacing w:after="0"/>
    </w:pPr>
    <w:rPr>
      <w:sz w:val="20"/>
    </w:rPr>
  </w:style>
  <w:style w:type="character" w:customStyle="1" w:styleId="FootnoteTextChar">
    <w:name w:val="Footnote Text Char"/>
    <w:aliases w:val="Testo nota a piè di pagina_Rientro Char,stile 1 Char,Footnote1 Char,Footnote2 Char,Footnote3 Char,Footnote4 Char,Footnote5 Char,Footnote6 Char,Footnote7 Char,Footnote8 Char,Footnote9 Char,Footnote10 Char,Footnote11 Char,ft Char"/>
    <w:basedOn w:val="DefaultParagraphFont"/>
    <w:link w:val="FootnoteText"/>
    <w:uiPriority w:val="99"/>
    <w:qFormat/>
    <w:rPr>
      <w:rFonts w:ascii="Times New Roman" w:hAnsi="Times New Roman" w:cs="Times New Roman"/>
      <w:sz w:val="20"/>
      <w:szCs w:val="20"/>
    </w:rPr>
  </w:style>
  <w:style w:type="character" w:styleId="FootnoteReference">
    <w:name w:val="footnote reference"/>
    <w:aliases w:val="number,SUPERS,Footnote Reference Superscript,-E Fuﬂnotenzeichen,-E Fuûnotenzeichen,-E Fußnotenzeichen,EN Footnote Reference,Footnote text,Odwołanie przypisu,Times 10 Point,Exposant 3 Point,Footnote symbol,Ref,Footnote reference number"/>
    <w:basedOn w:val="DefaultParagraphFont"/>
    <w:link w:val="FootnotesymbolCharCharChar"/>
    <w:uiPriority w:val="99"/>
    <w:qFormat/>
    <w:rPr>
      <w:rFonts w:cs="Times New Roman"/>
      <w:vertAlign w:val="superscript"/>
    </w:rPr>
  </w:style>
  <w:style w:type="table" w:customStyle="1" w:styleId="TableGrid2">
    <w:name w:val="Table Grid2"/>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msonormal0">
    <w:name w:val="msonormal"/>
    <w:basedOn w:val="Normal"/>
    <w:pPr>
      <w:spacing w:before="100" w:beforeAutospacing="1" w:after="100" w:afterAutospacing="1"/>
      <w:jc w:val="left"/>
    </w:pPr>
    <w:rPr>
      <w:lang w:val="hu-HU" w:eastAsia="hu-HU"/>
    </w:rPr>
  </w:style>
  <w:style w:type="paragraph" w:styleId="NormalIndent">
    <w:name w:val="Normal Indent"/>
    <w:basedOn w:val="Normal"/>
    <w:uiPriority w:val="99"/>
    <w:semiHidden/>
    <w:unhideWhenUsed/>
    <w:pPr>
      <w:ind w:left="708"/>
    </w:pPr>
  </w:style>
  <w:style w:type="character" w:customStyle="1" w:styleId="FootnoteTextChar1">
    <w:name w:val="Footnote Text Char1"/>
    <w:aliases w:val="Testo nota a piè di pagina_Rientro Char1,stile 1 Char1,Footnote1 Char1,Footnote2 Char1,Footnote3 Char1,Footnote4 Char1,Footnote5 Char1,Footnote6 Char1,Footnote7 Char1,Footnote8 Char1,Footnote9 Char1,Footnote10 Char1,Footnote11 Char1"/>
    <w:basedOn w:val="DefaultParagraphFont"/>
    <w:semiHidden/>
    <w:rPr>
      <w:rFonts w:ascii="Times New Roman" w:hAnsi="Times New Roman" w:cs="Times New Roman"/>
      <w:sz w:val="20"/>
      <w:szCs w:val="20"/>
    </w:rPr>
  </w:style>
  <w:style w:type="paragraph" w:styleId="Caption">
    <w:name w:val="caption"/>
    <w:aliases w:val="Figure Caption + Avant : 14 pt,Motif : Transparente (Gris - 15 %),Figure Caption,Char Char, Char Char,TF,Tabelkop,Caption-tables,Table legend,Tab_Überschrift,Figure reference,Caption1 Char Char Char Char Char Char Char Char,Char,Char Car,figures"/>
    <w:basedOn w:val="Normal"/>
    <w:next w:val="Normal"/>
    <w:link w:val="CaptionChar"/>
    <w:uiPriority w:val="35"/>
    <w:unhideWhenUsed/>
    <w:qFormat/>
    <w:pPr>
      <w:keepNext/>
      <w:spacing w:before="120" w:after="120"/>
      <w:jc w:val="center"/>
    </w:pPr>
    <w:rPr>
      <w:b/>
      <w:sz w:val="20"/>
      <w:szCs w:val="16"/>
    </w:rPr>
  </w:style>
  <w:style w:type="character" w:customStyle="1" w:styleId="Bulletpoint1Char">
    <w:name w:val="Bullet point1 Char"/>
    <w:basedOn w:val="DefaultParagraphFont"/>
    <w:link w:val="Bulletpoint1"/>
    <w:locked/>
    <w:rPr>
      <w:rFonts w:ascii="Verdana" w:eastAsia="Times New Roman" w:hAnsi="Verdana" w:cs="Times New Roman"/>
      <w:sz w:val="20"/>
      <w:szCs w:val="20"/>
    </w:rPr>
  </w:style>
  <w:style w:type="paragraph" w:customStyle="1" w:styleId="Bulletpoint1">
    <w:name w:val="Bullet point1"/>
    <w:basedOn w:val="NormalIndent"/>
    <w:link w:val="Bulletpoint1Char"/>
    <w:qFormat/>
    <w:pPr>
      <w:numPr>
        <w:numId w:val="4"/>
      </w:numPr>
      <w:spacing w:after="120"/>
      <w:ind w:left="714" w:hanging="357"/>
    </w:pPr>
    <w:rPr>
      <w:rFonts w:ascii="Verdana" w:hAnsi="Verdana"/>
      <w:sz w:val="20"/>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Exposant 3 Point Char Char Char"/>
    <w:basedOn w:val="Normal"/>
    <w:link w:val="FootnoteReference"/>
    <w:uiPriority w:val="99"/>
    <w:pPr>
      <w:spacing w:after="160" w:line="240" w:lineRule="exact"/>
      <w:jc w:val="left"/>
    </w:pPr>
    <w:rPr>
      <w:rFonts w:asciiTheme="minorHAnsi" w:hAnsiTheme="minorHAnsi"/>
      <w:sz w:val="22"/>
      <w:szCs w:val="22"/>
      <w:vertAlign w:val="superscript"/>
    </w:rPr>
  </w:style>
  <w:style w:type="table" w:customStyle="1" w:styleId="Default">
    <w:name w:val="Default"/>
    <w:basedOn w:val="TableNormal"/>
    <w:uiPriority w:val="99"/>
    <w:pPr>
      <w:spacing w:after="0" w:line="240" w:lineRule="auto"/>
    </w:pPr>
    <w:rPr>
      <w:rFonts w:ascii="Times New Roman" w:eastAsia="Times New Roman" w:hAnsi="Times New Roman" w:cs="Times New Roman"/>
      <w:sz w:val="24"/>
      <w:szCs w:val="20"/>
      <w:lang w:val="nl-BE" w:eastAsia="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pPr>
        <w:jc w:val="center"/>
      </w:pPr>
      <w:rPr>
        <w:b/>
        <w:color w:val="FFFFFF" w:themeColor="background1"/>
      </w:rPr>
      <w:tblPr/>
      <w:tcPr>
        <w:shd w:val="clear" w:color="auto" w:fill="1F497D" w:themeFill="text2"/>
        <w:vAlign w:val="center"/>
      </w:tcPr>
    </w:tblStylePr>
  </w:style>
  <w:style w:type="paragraph" w:styleId="NormalWeb">
    <w:name w:val="Normal (Web)"/>
    <w:basedOn w:val="Normal"/>
    <w:uiPriority w:val="99"/>
    <w:unhideWhenUsed/>
    <w:pPr>
      <w:spacing w:before="100" w:beforeAutospacing="1" w:after="100" w:afterAutospacing="1"/>
      <w:jc w:val="left"/>
    </w:pPr>
    <w:rPr>
      <w:lang w:val="en-US"/>
    </w:rPr>
  </w:style>
  <w:style w:type="character" w:styleId="SubtleEmphasis">
    <w:name w:val="Subtle Emphasis"/>
    <w:uiPriority w:val="19"/>
    <w:qFormat/>
    <w:rPr>
      <w:b/>
      <w:i/>
    </w:rPr>
  </w:style>
  <w:style w:type="table" w:customStyle="1" w:styleId="TableGrid21">
    <w:name w:val="Table Grid2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rFonts w:eastAsiaTheme="minorHAnsi"/>
      <w:i/>
      <w:iCs/>
      <w:color w:val="000000"/>
      <w:szCs w:val="24"/>
    </w:rPr>
  </w:style>
  <w:style w:type="character" w:customStyle="1" w:styleId="SubtitleChar">
    <w:name w:val="Subtitle Char"/>
    <w:basedOn w:val="DefaultParagraphFont"/>
    <w:link w:val="Subtitle"/>
    <w:uiPriority w:val="11"/>
    <w:rPr>
      <w:rFonts w:ascii="Times New Roman" w:hAnsi="Times New Roman" w:cs="Times New Roman"/>
      <w:i/>
      <w:iCs/>
      <w:color w:val="000000"/>
      <w:sz w:val="24"/>
      <w:szCs w:val="24"/>
    </w:rPr>
  </w:style>
  <w:style w:type="paragraph" w:styleId="NoSpacing">
    <w:name w:val="No Spacing"/>
    <w:uiPriority w:val="1"/>
    <w:qFormat/>
    <w:pPr>
      <w:tabs>
        <w:tab w:val="left" w:pos="2302"/>
      </w:tabs>
      <w:spacing w:after="0" w:line="240" w:lineRule="auto"/>
      <w:jc w:val="both"/>
    </w:pPr>
    <w:rPr>
      <w:rFonts w:ascii="Times New Roman" w:eastAsia="Times New Roman" w:hAnsi="Times New Roman" w:cs="Times New Roman"/>
      <w:sz w:val="24"/>
      <w:szCs w:val="20"/>
    </w:rPr>
  </w:style>
  <w:style w:type="paragraph" w:customStyle="1" w:styleId="DefaultText">
    <w:name w:val="Default Text"/>
    <w:basedOn w:val="Normal"/>
    <w:link w:val="DefaultTextChar"/>
    <w:qFormat/>
    <w:pPr>
      <w:tabs>
        <w:tab w:val="clear" w:pos="2302"/>
      </w:tabs>
      <w:spacing w:after="0" w:line="280" w:lineRule="atLeast"/>
      <w:jc w:val="left"/>
    </w:pPr>
    <w:rPr>
      <w:rFonts w:eastAsia="Arial"/>
      <w:szCs w:val="24"/>
      <w:lang w:eastAsia="nl-NL"/>
    </w:rPr>
  </w:style>
  <w:style w:type="paragraph" w:customStyle="1" w:styleId="list-bullet-color">
    <w:name w:val="list-bullet-color"/>
    <w:basedOn w:val="DefaultText"/>
    <w:link w:val="list-bullet-colorChar"/>
    <w:qFormat/>
    <w:pPr>
      <w:numPr>
        <w:numId w:val="7"/>
      </w:numPr>
    </w:pPr>
  </w:style>
  <w:style w:type="character" w:customStyle="1" w:styleId="DefaultTextChar">
    <w:name w:val="Default Text Char"/>
    <w:basedOn w:val="DefaultParagraphFont"/>
    <w:link w:val="DefaultText"/>
    <w:qFormat/>
    <w:rPr>
      <w:rFonts w:ascii="Times New Roman" w:eastAsia="Arial" w:hAnsi="Times New Roman" w:cs="Times New Roman"/>
      <w:sz w:val="24"/>
      <w:szCs w:val="24"/>
      <w:lang w:eastAsia="nl-NL"/>
    </w:rPr>
  </w:style>
  <w:style w:type="character" w:customStyle="1" w:styleId="list-bullet-colorChar">
    <w:name w:val="list-bullet-color Char"/>
    <w:basedOn w:val="DefaultTextChar"/>
    <w:link w:val="list-bullet-color"/>
    <w:rPr>
      <w:rFonts w:ascii="Times New Roman" w:eastAsia="Arial" w:hAnsi="Times New Roman" w:cs="Times New Roman"/>
      <w:sz w:val="24"/>
      <w:szCs w:val="24"/>
      <w:lang w:eastAsia="nl-NL"/>
    </w:rPr>
  </w:style>
  <w:style w:type="paragraph" w:customStyle="1" w:styleId="bronvermelding">
    <w:name w:val="bronvermelding"/>
    <w:basedOn w:val="DefaultText"/>
    <w:next w:val="DefaultText"/>
    <w:uiPriority w:val="99"/>
    <w:pPr>
      <w:spacing w:line="200" w:lineRule="atLeast"/>
    </w:pPr>
    <w:rPr>
      <w:sz w:val="14"/>
    </w:rPr>
  </w:style>
  <w:style w:type="character" w:customStyle="1" w:styleId="CaptionChar">
    <w:name w:val="Caption Char"/>
    <w:aliases w:val="Figure Caption + Avant : 14 pt Char,Motif : Transparente (Gris - 15 %) Char,Figure Caption Char,Char Char Char, Char Char Char,TF Char,Tabelkop Char,Caption-tables Char,Table legend Char,Tab_Überschrift Char,Figure reference Char,Char Char1"/>
    <w:link w:val="Caption"/>
    <w:qFormat/>
    <w:rPr>
      <w:rFonts w:ascii="Times New Roman" w:eastAsia="Times New Roman" w:hAnsi="Times New Roman" w:cs="Times New Roman"/>
      <w:b/>
      <w:sz w:val="20"/>
      <w:szCs w:val="16"/>
    </w:r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link w:val="table-textChar"/>
    <w:rPr>
      <w:rFonts w:eastAsia="Times New Roman"/>
      <w:sz w:val="16"/>
    </w:rPr>
  </w:style>
  <w:style w:type="character" w:customStyle="1" w:styleId="table-textChar">
    <w:name w:val="table-text Char"/>
    <w:link w:val="table-text"/>
    <w:rPr>
      <w:rFonts w:ascii="Arial" w:eastAsia="Times New Roman" w:hAnsi="Arial" w:cs="Times New Roman"/>
      <w:sz w:val="16"/>
      <w:szCs w:val="24"/>
      <w:lang w:eastAsia="nl-NL"/>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sz w:val="24"/>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4"/>
      <w:szCs w:val="20"/>
    </w:rPr>
  </w:style>
  <w:style w:type="paragraph" w:customStyle="1" w:styleId="no-heading-blue-4">
    <w:name w:val="no-heading-blue-4"/>
    <w:basedOn w:val="DefaultText"/>
    <w:next w:val="DefaultText"/>
    <w:pPr>
      <w:keepNext/>
      <w:keepLines/>
      <w:outlineLvl w:val="3"/>
    </w:pPr>
    <w:rPr>
      <w:i/>
      <w:color w:val="006DB6"/>
    </w:rPr>
  </w:style>
  <w:style w:type="table" w:customStyle="1" w:styleId="table-style-donkerblauw-100-none">
    <w:name w:val="table-style-donkerblauw-100-no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3C64"/>
        <w:left w:val="single" w:sz="6" w:space="0" w:color="003C64"/>
        <w:bottom w:val="single" w:sz="6" w:space="0" w:color="003C64"/>
        <w:right w:val="single" w:sz="6" w:space="0" w:color="003C64"/>
        <w:insideV w:val="single" w:sz="6" w:space="0" w:color="003C64"/>
      </w:tblBorders>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Grid1">
    <w:name w:val="Table Grid1"/>
    <w:basedOn w:val="TableNormal"/>
    <w:next w:val="TableGrid"/>
    <w:uiPriority w:val="39"/>
    <w:pPr>
      <w:spacing w:after="0" w:line="240" w:lineRule="auto"/>
    </w:pPr>
    <w:rPr>
      <w:rFonts w:ascii="Times New Roman" w:eastAsia="Times New Roman" w:hAnsi="Times New Roman" w:cs="Times New Roman"/>
      <w:sz w:val="24"/>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pPr>
      <w:tabs>
        <w:tab w:val="clear" w:pos="2302"/>
      </w:tabs>
      <w:spacing w:line="360" w:lineRule="auto"/>
      <w:ind w:left="476" w:hanging="476"/>
    </w:pPr>
  </w:style>
  <w:style w:type="paragraph" w:customStyle="1" w:styleId="LegalNumPar2">
    <w:name w:val="LegalNumPar2"/>
    <w:basedOn w:val="Normal"/>
    <w:pPr>
      <w:tabs>
        <w:tab w:val="clear" w:pos="2302"/>
      </w:tabs>
      <w:spacing w:line="360" w:lineRule="auto"/>
      <w:ind w:left="953" w:hanging="477"/>
    </w:pPr>
  </w:style>
  <w:style w:type="paragraph" w:customStyle="1" w:styleId="LegalNumPar3">
    <w:name w:val="LegalNumPar3"/>
    <w:basedOn w:val="Normal"/>
    <w:pPr>
      <w:tabs>
        <w:tab w:val="clear" w:pos="2302"/>
      </w:tabs>
      <w:spacing w:line="360" w:lineRule="auto"/>
      <w:ind w:left="1429" w:hanging="476"/>
    </w:pPr>
  </w:style>
  <w:style w:type="character" w:customStyle="1" w:styleId="eop">
    <w:name w:val="eop"/>
    <w:basedOn w:val="DefaultParagraphFont"/>
  </w:style>
  <w:style w:type="character" w:customStyle="1" w:styleId="textrun">
    <w:name w:val="textrun"/>
    <w:basedOn w:val="DefaultParagraphFont"/>
  </w:style>
  <w:style w:type="character" w:customStyle="1" w:styleId="normaltextrun">
    <w:name w:val="normaltextrun"/>
    <w:basedOn w:val="DefaultParagraphFont"/>
  </w:style>
  <w:style w:type="paragraph" w:customStyle="1" w:styleId="Nota">
    <w:name w:val="Nota"/>
    <w:aliases w:val="Char1,(NECG) Footnote Reference,fr,Appel note de bas de p,o,Style 6,Signature Ch, Char1"/>
    <w:basedOn w:val="Normal"/>
    <w:uiPriority w:val="99"/>
    <w:pPr>
      <w:tabs>
        <w:tab w:val="clear" w:pos="2302"/>
      </w:tabs>
      <w:spacing w:after="160" w:line="240" w:lineRule="exact"/>
    </w:pPr>
    <w:rPr>
      <w:vertAlign w:val="superscript"/>
      <w:lang w:eastAsia="fr-BE"/>
    </w:rPr>
  </w:style>
  <w:style w:type="paragraph" w:styleId="TOC5">
    <w:name w:val="toc 5"/>
    <w:basedOn w:val="Normal"/>
    <w:next w:val="Normal"/>
    <w:autoRedefine/>
    <w:uiPriority w:val="39"/>
    <w:unhideWhenUsed/>
    <w:pPr>
      <w:tabs>
        <w:tab w:val="clear" w:pos="2302"/>
      </w:tabs>
      <w:spacing w:after="100" w:line="259"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tabs>
        <w:tab w:val="clear" w:pos="2302"/>
      </w:tabs>
      <w:spacing w:after="100" w:line="259"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tabs>
        <w:tab w:val="clear" w:pos="2302"/>
      </w:tabs>
      <w:spacing w:after="100" w:line="259"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tabs>
        <w:tab w:val="clear" w:pos="2302"/>
      </w:tabs>
      <w:spacing w:after="100" w:line="259"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tabs>
        <w:tab w:val="clear" w:pos="2302"/>
      </w:tabs>
      <w:spacing w:after="100" w:line="259" w:lineRule="auto"/>
      <w:ind w:left="1760"/>
      <w:jc w:val="left"/>
    </w:pPr>
    <w:rPr>
      <w:rFonts w:asciiTheme="minorHAnsi" w:eastAsiaTheme="minorEastAsia" w:hAnsiTheme="minorHAnsi" w:cstheme="minorBidi"/>
      <w:sz w:val="22"/>
      <w:szCs w:val="22"/>
      <w:lang w:eastAsia="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table" w:customStyle="1" w:styleId="TableGrid211">
    <w:name w:val="Table Grid21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link w:val="SourceChar"/>
    <w:qFormat/>
    <w:pPr>
      <w:tabs>
        <w:tab w:val="clear" w:pos="2302"/>
      </w:tabs>
      <w:spacing w:after="120" w:line="264" w:lineRule="auto"/>
      <w:jc w:val="right"/>
    </w:pPr>
    <w:rPr>
      <w:rFonts w:asciiTheme="minorHAnsi" w:hAnsiTheme="minorHAnsi" w:cstheme="minorHAnsi"/>
      <w:i/>
      <w:noProof/>
      <w:color w:val="000000" w:themeColor="text1"/>
      <w:sz w:val="20"/>
      <w:szCs w:val="18"/>
      <w:lang w:val="fr-BE" w:eastAsia="en-GB"/>
    </w:rPr>
  </w:style>
  <w:style w:type="paragraph" w:customStyle="1" w:styleId="Notes">
    <w:name w:val="Notes"/>
    <w:basedOn w:val="Caption"/>
    <w:link w:val="NotesChar"/>
    <w:qFormat/>
    <w:pPr>
      <w:tabs>
        <w:tab w:val="clear" w:pos="2302"/>
      </w:tabs>
      <w:spacing w:before="0" w:after="0" w:line="264" w:lineRule="auto"/>
      <w:jc w:val="both"/>
    </w:pPr>
    <w:rPr>
      <w:rFonts w:asciiTheme="minorHAnsi" w:hAnsiTheme="minorHAnsi" w:cstheme="minorHAnsi"/>
      <w:b w:val="0"/>
      <w:i/>
      <w:iCs/>
      <w:noProof/>
      <w:color w:val="000000" w:themeColor="text1"/>
      <w:szCs w:val="20"/>
      <w:lang w:val="en-US" w:eastAsia="en-GB"/>
    </w:rPr>
  </w:style>
  <w:style w:type="character" w:customStyle="1" w:styleId="SourceChar">
    <w:name w:val="Source Char"/>
    <w:basedOn w:val="DefaultParagraphFont"/>
    <w:link w:val="Source"/>
    <w:rPr>
      <w:rFonts w:eastAsia="Times New Roman" w:cstheme="minorHAnsi"/>
      <w:i/>
      <w:noProof/>
      <w:color w:val="000000" w:themeColor="text1"/>
      <w:sz w:val="20"/>
      <w:szCs w:val="18"/>
      <w:lang w:val="fr-BE" w:eastAsia="en-GB"/>
    </w:rPr>
  </w:style>
  <w:style w:type="character" w:customStyle="1" w:styleId="NotesChar">
    <w:name w:val="Notes Char"/>
    <w:basedOn w:val="DefaultParagraphFont"/>
    <w:link w:val="Notes"/>
    <w:rPr>
      <w:rFonts w:eastAsia="Times New Roman" w:cstheme="minorHAnsi"/>
      <w:i/>
      <w:iCs/>
      <w:noProof/>
      <w:color w:val="000000" w:themeColor="text1"/>
      <w:sz w:val="20"/>
      <w:szCs w:val="20"/>
      <w:lang w:val="en-US" w:eastAsia="en-GB"/>
    </w:rPr>
  </w:style>
  <w:style w:type="character" w:customStyle="1" w:styleId="ecl-u-type-capitalize">
    <w:name w:val="ecl-u-type-capitalize"/>
    <w:basedOn w:val="DefaultParagraphFont"/>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
    <w:name w:val="st"/>
    <w:basedOn w:val="DefaultParagraphFont"/>
  </w:style>
  <w:style w:type="table" w:customStyle="1" w:styleId="table-style-blauw-100-outline1">
    <w:name w:val="table-style-blauw-100-outline1"/>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none1">
    <w:name w:val="table-style-blauw-100-none1"/>
    <w:basedOn w:val="table-style-blauw-100-outline"/>
    <w:tblPr>
      <w:tblInd w:w="0" w:type="nil"/>
    </w:tblPr>
    <w:tblStylePr w:type="firstRow">
      <w:pPr>
        <w:keepNext/>
        <w:keepLines/>
        <w:widowControl/>
        <w:suppressLineNumbers w:val="0"/>
        <w:wordWrap/>
      </w:pPr>
      <w:rPr>
        <w:rFonts w:ascii="Arial" w:hAnsi="Arial" w:cs="Arial" w:hint="default"/>
        <w:b/>
        <w:i w:val="0"/>
        <w:color w:val="FFFFFF"/>
        <w:sz w:val="16"/>
        <w:szCs w:val="16"/>
      </w:rPr>
      <w:tblPr/>
      <w:tcPr>
        <w:tcBorders>
          <w:top w:val="nil"/>
          <w:left w:val="nil"/>
          <w:bottom w:val="nil"/>
          <w:right w:val="nil"/>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Briefinglist1">
    <w:name w:val="Briefing list 1"/>
    <w:basedOn w:val="Normal"/>
    <w:link w:val="Briefinglist1Char"/>
    <w:pPr>
      <w:keepLines/>
      <w:numPr>
        <w:numId w:val="29"/>
      </w:numPr>
      <w:tabs>
        <w:tab w:val="clear" w:pos="2302"/>
      </w:tabs>
      <w:spacing w:after="120"/>
    </w:pPr>
    <w:rPr>
      <w:rFonts w:ascii="Arial" w:hAnsi="Arial"/>
      <w:sz w:val="22"/>
      <w:szCs w:val="24"/>
      <w:lang w:eastAsia="en-GB"/>
    </w:rPr>
  </w:style>
  <w:style w:type="character" w:customStyle="1" w:styleId="Briefinglist1Char">
    <w:name w:val="Briefing list 1 Char"/>
    <w:basedOn w:val="DefaultParagraphFont"/>
    <w:link w:val="Briefinglist1"/>
    <w:rPr>
      <w:rFonts w:ascii="Arial" w:eastAsia="Times New Roman" w:hAnsi="Arial" w:cs="Times New Roman"/>
      <w:szCs w:val="24"/>
      <w:lang w:eastAsia="en-GB"/>
    </w:rPr>
  </w:style>
  <w:style w:type="paragraph" w:customStyle="1" w:styleId="Normal1">
    <w:name w:val="Normal1"/>
    <w:basedOn w:val="Normal"/>
    <w:pPr>
      <w:tabs>
        <w:tab w:val="clear" w:pos="2302"/>
      </w:tabs>
      <w:spacing w:before="100" w:beforeAutospacing="1" w:after="100" w:afterAutospacing="1"/>
      <w:jc w:val="left"/>
    </w:pPr>
    <w:rPr>
      <w:szCs w:val="24"/>
      <w:lang w:val="en-US"/>
    </w:rPr>
  </w:style>
  <w:style w:type="character" w:customStyle="1" w:styleId="footnotereference0">
    <w:name w:val="footnotereference"/>
    <w:basedOn w:val="DefaultParagraphFont"/>
  </w:style>
  <w:style w:type="paragraph" w:styleId="ListBullet4">
    <w:name w:val="List Bullet 4"/>
    <w:basedOn w:val="Normal"/>
    <w:uiPriority w:val="99"/>
    <w:semiHidden/>
    <w:unhideWhenUsed/>
    <w:pPr>
      <w:numPr>
        <w:numId w:val="51"/>
      </w:numPr>
      <w:contextualSpacing/>
    </w:pPr>
  </w:style>
  <w:style w:type="table" w:customStyle="1" w:styleId="CV14">
    <w:name w:val="CV14"/>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blauw-100-outline11">
    <w:name w:val="table-style-blauw-100-outline11"/>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none11">
    <w:name w:val="table-style-blauw-100-none11"/>
    <w:basedOn w:val="table-style-blauw-100-outline"/>
    <w:tblPr>
      <w:tblInd w:w="0" w:type="nil"/>
    </w:tblPr>
    <w:tblStylePr w:type="firstRow">
      <w:pPr>
        <w:keepNext/>
        <w:keepLines/>
        <w:widowControl/>
        <w:suppressLineNumbers w:val="0"/>
        <w:wordWrap/>
      </w:pPr>
      <w:rPr>
        <w:rFonts w:ascii="Arial" w:hAnsi="Arial" w:cs="Arial" w:hint="default"/>
        <w:b/>
        <w:i w:val="0"/>
        <w:color w:val="FFFFFF"/>
        <w:sz w:val="16"/>
        <w:szCs w:val="16"/>
      </w:rPr>
      <w:tblPr/>
      <w:tcPr>
        <w:tcBorders>
          <w:top w:val="nil"/>
          <w:left w:val="nil"/>
          <w:bottom w:val="nil"/>
          <w:right w:val="nil"/>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outline2">
    <w:name w:val="table-style-blauw-100-outline2"/>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styleId="BodyText">
    <w:name w:val="Body Text"/>
    <w:basedOn w:val="Normal"/>
    <w:link w:val="BodyTextChar"/>
    <w:uiPriority w:val="1"/>
    <w:unhideWhenUsed/>
    <w:qFormat/>
    <w:pPr>
      <w:widowControl w:val="0"/>
      <w:tabs>
        <w:tab w:val="clear" w:pos="2302"/>
      </w:tabs>
      <w:autoSpaceDE w:val="0"/>
      <w:autoSpaceDN w:val="0"/>
      <w:spacing w:after="0"/>
      <w:jc w:val="left"/>
    </w:pPr>
    <w:rPr>
      <w:rFonts w:ascii="Verdana" w:eastAsia="Verdana" w:hAnsi="Verdana" w:cs="Verdana"/>
      <w:sz w:val="20"/>
      <w:lang w:eastAsia="en-GB" w:bidi="en-GB"/>
    </w:rPr>
  </w:style>
  <w:style w:type="character" w:customStyle="1" w:styleId="BodyTextChar">
    <w:name w:val="Body Text Char"/>
    <w:basedOn w:val="DefaultParagraphFont"/>
    <w:link w:val="BodyText"/>
    <w:uiPriority w:val="1"/>
    <w:rPr>
      <w:rFonts w:ascii="Verdana" w:eastAsia="Verdana" w:hAnsi="Verdana" w:cs="Verdana"/>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7715">
      <w:bodyDiv w:val="1"/>
      <w:marLeft w:val="0"/>
      <w:marRight w:val="0"/>
      <w:marTop w:val="0"/>
      <w:marBottom w:val="0"/>
      <w:divBdr>
        <w:top w:val="none" w:sz="0" w:space="0" w:color="auto"/>
        <w:left w:val="none" w:sz="0" w:space="0" w:color="auto"/>
        <w:bottom w:val="none" w:sz="0" w:space="0" w:color="auto"/>
        <w:right w:val="none" w:sz="0" w:space="0" w:color="auto"/>
      </w:divBdr>
      <w:divsChild>
        <w:div w:id="9260237">
          <w:marLeft w:val="1368"/>
          <w:marRight w:val="0"/>
          <w:marTop w:val="133"/>
          <w:marBottom w:val="0"/>
          <w:divBdr>
            <w:top w:val="none" w:sz="0" w:space="0" w:color="auto"/>
            <w:left w:val="none" w:sz="0" w:space="0" w:color="auto"/>
            <w:bottom w:val="none" w:sz="0" w:space="0" w:color="auto"/>
            <w:right w:val="none" w:sz="0" w:space="0" w:color="auto"/>
          </w:divBdr>
        </w:div>
        <w:div w:id="1793593783">
          <w:marLeft w:val="1368"/>
          <w:marRight w:val="0"/>
          <w:marTop w:val="133"/>
          <w:marBottom w:val="0"/>
          <w:divBdr>
            <w:top w:val="none" w:sz="0" w:space="0" w:color="auto"/>
            <w:left w:val="none" w:sz="0" w:space="0" w:color="auto"/>
            <w:bottom w:val="none" w:sz="0" w:space="0" w:color="auto"/>
            <w:right w:val="none" w:sz="0" w:space="0" w:color="auto"/>
          </w:divBdr>
        </w:div>
        <w:div w:id="1803571524">
          <w:marLeft w:val="720"/>
          <w:marRight w:val="0"/>
          <w:marTop w:val="267"/>
          <w:marBottom w:val="0"/>
          <w:divBdr>
            <w:top w:val="none" w:sz="0" w:space="0" w:color="auto"/>
            <w:left w:val="none" w:sz="0" w:space="0" w:color="auto"/>
            <w:bottom w:val="none" w:sz="0" w:space="0" w:color="auto"/>
            <w:right w:val="none" w:sz="0" w:space="0" w:color="auto"/>
          </w:divBdr>
        </w:div>
      </w:divsChild>
    </w:div>
    <w:div w:id="117577224">
      <w:bodyDiv w:val="1"/>
      <w:marLeft w:val="0"/>
      <w:marRight w:val="0"/>
      <w:marTop w:val="0"/>
      <w:marBottom w:val="0"/>
      <w:divBdr>
        <w:top w:val="none" w:sz="0" w:space="0" w:color="auto"/>
        <w:left w:val="none" w:sz="0" w:space="0" w:color="auto"/>
        <w:bottom w:val="none" w:sz="0" w:space="0" w:color="auto"/>
        <w:right w:val="none" w:sz="0" w:space="0" w:color="auto"/>
      </w:divBdr>
    </w:div>
    <w:div w:id="136194254">
      <w:bodyDiv w:val="1"/>
      <w:marLeft w:val="0"/>
      <w:marRight w:val="0"/>
      <w:marTop w:val="0"/>
      <w:marBottom w:val="0"/>
      <w:divBdr>
        <w:top w:val="none" w:sz="0" w:space="0" w:color="auto"/>
        <w:left w:val="none" w:sz="0" w:space="0" w:color="auto"/>
        <w:bottom w:val="none" w:sz="0" w:space="0" w:color="auto"/>
        <w:right w:val="none" w:sz="0" w:space="0" w:color="auto"/>
      </w:divBdr>
    </w:div>
    <w:div w:id="266273930">
      <w:bodyDiv w:val="1"/>
      <w:marLeft w:val="0"/>
      <w:marRight w:val="0"/>
      <w:marTop w:val="0"/>
      <w:marBottom w:val="0"/>
      <w:divBdr>
        <w:top w:val="none" w:sz="0" w:space="0" w:color="auto"/>
        <w:left w:val="none" w:sz="0" w:space="0" w:color="auto"/>
        <w:bottom w:val="none" w:sz="0" w:space="0" w:color="auto"/>
        <w:right w:val="none" w:sz="0" w:space="0" w:color="auto"/>
      </w:divBdr>
    </w:div>
    <w:div w:id="308634317">
      <w:bodyDiv w:val="1"/>
      <w:marLeft w:val="0"/>
      <w:marRight w:val="0"/>
      <w:marTop w:val="0"/>
      <w:marBottom w:val="0"/>
      <w:divBdr>
        <w:top w:val="none" w:sz="0" w:space="0" w:color="auto"/>
        <w:left w:val="none" w:sz="0" w:space="0" w:color="auto"/>
        <w:bottom w:val="none" w:sz="0" w:space="0" w:color="auto"/>
        <w:right w:val="none" w:sz="0" w:space="0" w:color="auto"/>
      </w:divBdr>
    </w:div>
    <w:div w:id="328097786">
      <w:bodyDiv w:val="1"/>
      <w:marLeft w:val="0"/>
      <w:marRight w:val="0"/>
      <w:marTop w:val="0"/>
      <w:marBottom w:val="0"/>
      <w:divBdr>
        <w:top w:val="none" w:sz="0" w:space="0" w:color="auto"/>
        <w:left w:val="none" w:sz="0" w:space="0" w:color="auto"/>
        <w:bottom w:val="none" w:sz="0" w:space="0" w:color="auto"/>
        <w:right w:val="none" w:sz="0" w:space="0" w:color="auto"/>
      </w:divBdr>
      <w:divsChild>
        <w:div w:id="1392921859">
          <w:marLeft w:val="763"/>
          <w:marRight w:val="0"/>
          <w:marTop w:val="100"/>
          <w:marBottom w:val="0"/>
          <w:divBdr>
            <w:top w:val="none" w:sz="0" w:space="0" w:color="auto"/>
            <w:left w:val="none" w:sz="0" w:space="0" w:color="auto"/>
            <w:bottom w:val="none" w:sz="0" w:space="0" w:color="auto"/>
            <w:right w:val="none" w:sz="0" w:space="0" w:color="auto"/>
          </w:divBdr>
        </w:div>
      </w:divsChild>
    </w:div>
    <w:div w:id="533081059">
      <w:bodyDiv w:val="1"/>
      <w:marLeft w:val="0"/>
      <w:marRight w:val="0"/>
      <w:marTop w:val="0"/>
      <w:marBottom w:val="0"/>
      <w:divBdr>
        <w:top w:val="none" w:sz="0" w:space="0" w:color="auto"/>
        <w:left w:val="none" w:sz="0" w:space="0" w:color="auto"/>
        <w:bottom w:val="none" w:sz="0" w:space="0" w:color="auto"/>
        <w:right w:val="none" w:sz="0" w:space="0" w:color="auto"/>
      </w:divBdr>
      <w:divsChild>
        <w:div w:id="730348425">
          <w:marLeft w:val="446"/>
          <w:marRight w:val="0"/>
          <w:marTop w:val="0"/>
          <w:marBottom w:val="0"/>
          <w:divBdr>
            <w:top w:val="none" w:sz="0" w:space="0" w:color="auto"/>
            <w:left w:val="none" w:sz="0" w:space="0" w:color="auto"/>
            <w:bottom w:val="none" w:sz="0" w:space="0" w:color="auto"/>
            <w:right w:val="none" w:sz="0" w:space="0" w:color="auto"/>
          </w:divBdr>
        </w:div>
        <w:div w:id="1307319168">
          <w:marLeft w:val="446"/>
          <w:marRight w:val="0"/>
          <w:marTop w:val="0"/>
          <w:marBottom w:val="0"/>
          <w:divBdr>
            <w:top w:val="none" w:sz="0" w:space="0" w:color="auto"/>
            <w:left w:val="none" w:sz="0" w:space="0" w:color="auto"/>
            <w:bottom w:val="none" w:sz="0" w:space="0" w:color="auto"/>
            <w:right w:val="none" w:sz="0" w:space="0" w:color="auto"/>
          </w:divBdr>
        </w:div>
      </w:divsChild>
    </w:div>
    <w:div w:id="561911316">
      <w:bodyDiv w:val="1"/>
      <w:marLeft w:val="0"/>
      <w:marRight w:val="0"/>
      <w:marTop w:val="0"/>
      <w:marBottom w:val="0"/>
      <w:divBdr>
        <w:top w:val="none" w:sz="0" w:space="0" w:color="auto"/>
        <w:left w:val="none" w:sz="0" w:space="0" w:color="auto"/>
        <w:bottom w:val="none" w:sz="0" w:space="0" w:color="auto"/>
        <w:right w:val="none" w:sz="0" w:space="0" w:color="auto"/>
      </w:divBdr>
    </w:div>
    <w:div w:id="567766756">
      <w:bodyDiv w:val="1"/>
      <w:marLeft w:val="0"/>
      <w:marRight w:val="0"/>
      <w:marTop w:val="0"/>
      <w:marBottom w:val="0"/>
      <w:divBdr>
        <w:top w:val="none" w:sz="0" w:space="0" w:color="auto"/>
        <w:left w:val="none" w:sz="0" w:space="0" w:color="auto"/>
        <w:bottom w:val="none" w:sz="0" w:space="0" w:color="auto"/>
        <w:right w:val="none" w:sz="0" w:space="0" w:color="auto"/>
      </w:divBdr>
    </w:div>
    <w:div w:id="610822940">
      <w:bodyDiv w:val="1"/>
      <w:marLeft w:val="0"/>
      <w:marRight w:val="0"/>
      <w:marTop w:val="0"/>
      <w:marBottom w:val="0"/>
      <w:divBdr>
        <w:top w:val="none" w:sz="0" w:space="0" w:color="auto"/>
        <w:left w:val="none" w:sz="0" w:space="0" w:color="auto"/>
        <w:bottom w:val="none" w:sz="0" w:space="0" w:color="auto"/>
        <w:right w:val="none" w:sz="0" w:space="0" w:color="auto"/>
      </w:divBdr>
    </w:div>
    <w:div w:id="617831140">
      <w:bodyDiv w:val="1"/>
      <w:marLeft w:val="0"/>
      <w:marRight w:val="0"/>
      <w:marTop w:val="0"/>
      <w:marBottom w:val="0"/>
      <w:divBdr>
        <w:top w:val="none" w:sz="0" w:space="0" w:color="auto"/>
        <w:left w:val="none" w:sz="0" w:space="0" w:color="auto"/>
        <w:bottom w:val="none" w:sz="0" w:space="0" w:color="auto"/>
        <w:right w:val="none" w:sz="0" w:space="0" w:color="auto"/>
      </w:divBdr>
    </w:div>
    <w:div w:id="626276992">
      <w:bodyDiv w:val="1"/>
      <w:marLeft w:val="0"/>
      <w:marRight w:val="0"/>
      <w:marTop w:val="0"/>
      <w:marBottom w:val="0"/>
      <w:divBdr>
        <w:top w:val="none" w:sz="0" w:space="0" w:color="auto"/>
        <w:left w:val="none" w:sz="0" w:space="0" w:color="auto"/>
        <w:bottom w:val="none" w:sz="0" w:space="0" w:color="auto"/>
        <w:right w:val="none" w:sz="0" w:space="0" w:color="auto"/>
      </w:divBdr>
    </w:div>
    <w:div w:id="628827523">
      <w:bodyDiv w:val="1"/>
      <w:marLeft w:val="0"/>
      <w:marRight w:val="0"/>
      <w:marTop w:val="0"/>
      <w:marBottom w:val="0"/>
      <w:divBdr>
        <w:top w:val="none" w:sz="0" w:space="0" w:color="auto"/>
        <w:left w:val="none" w:sz="0" w:space="0" w:color="auto"/>
        <w:bottom w:val="none" w:sz="0" w:space="0" w:color="auto"/>
        <w:right w:val="none" w:sz="0" w:space="0" w:color="auto"/>
      </w:divBdr>
    </w:div>
    <w:div w:id="645092944">
      <w:bodyDiv w:val="1"/>
      <w:marLeft w:val="0"/>
      <w:marRight w:val="0"/>
      <w:marTop w:val="0"/>
      <w:marBottom w:val="0"/>
      <w:divBdr>
        <w:top w:val="none" w:sz="0" w:space="0" w:color="auto"/>
        <w:left w:val="none" w:sz="0" w:space="0" w:color="auto"/>
        <w:bottom w:val="none" w:sz="0" w:space="0" w:color="auto"/>
        <w:right w:val="none" w:sz="0" w:space="0" w:color="auto"/>
      </w:divBdr>
    </w:div>
    <w:div w:id="796685921">
      <w:bodyDiv w:val="1"/>
      <w:marLeft w:val="0"/>
      <w:marRight w:val="0"/>
      <w:marTop w:val="0"/>
      <w:marBottom w:val="0"/>
      <w:divBdr>
        <w:top w:val="none" w:sz="0" w:space="0" w:color="auto"/>
        <w:left w:val="none" w:sz="0" w:space="0" w:color="auto"/>
        <w:bottom w:val="none" w:sz="0" w:space="0" w:color="auto"/>
        <w:right w:val="none" w:sz="0" w:space="0" w:color="auto"/>
      </w:divBdr>
    </w:div>
    <w:div w:id="827290204">
      <w:bodyDiv w:val="1"/>
      <w:marLeft w:val="0"/>
      <w:marRight w:val="0"/>
      <w:marTop w:val="0"/>
      <w:marBottom w:val="0"/>
      <w:divBdr>
        <w:top w:val="none" w:sz="0" w:space="0" w:color="auto"/>
        <w:left w:val="none" w:sz="0" w:space="0" w:color="auto"/>
        <w:bottom w:val="none" w:sz="0" w:space="0" w:color="auto"/>
        <w:right w:val="none" w:sz="0" w:space="0" w:color="auto"/>
      </w:divBdr>
    </w:div>
    <w:div w:id="895123267">
      <w:bodyDiv w:val="1"/>
      <w:marLeft w:val="0"/>
      <w:marRight w:val="0"/>
      <w:marTop w:val="0"/>
      <w:marBottom w:val="0"/>
      <w:divBdr>
        <w:top w:val="none" w:sz="0" w:space="0" w:color="auto"/>
        <w:left w:val="none" w:sz="0" w:space="0" w:color="auto"/>
        <w:bottom w:val="none" w:sz="0" w:space="0" w:color="auto"/>
        <w:right w:val="none" w:sz="0" w:space="0" w:color="auto"/>
      </w:divBdr>
    </w:div>
    <w:div w:id="965310253">
      <w:bodyDiv w:val="1"/>
      <w:marLeft w:val="0"/>
      <w:marRight w:val="0"/>
      <w:marTop w:val="0"/>
      <w:marBottom w:val="0"/>
      <w:divBdr>
        <w:top w:val="none" w:sz="0" w:space="0" w:color="auto"/>
        <w:left w:val="none" w:sz="0" w:space="0" w:color="auto"/>
        <w:bottom w:val="none" w:sz="0" w:space="0" w:color="auto"/>
        <w:right w:val="none" w:sz="0" w:space="0" w:color="auto"/>
      </w:divBdr>
    </w:div>
    <w:div w:id="974604639">
      <w:bodyDiv w:val="1"/>
      <w:marLeft w:val="0"/>
      <w:marRight w:val="0"/>
      <w:marTop w:val="0"/>
      <w:marBottom w:val="0"/>
      <w:divBdr>
        <w:top w:val="none" w:sz="0" w:space="0" w:color="auto"/>
        <w:left w:val="none" w:sz="0" w:space="0" w:color="auto"/>
        <w:bottom w:val="none" w:sz="0" w:space="0" w:color="auto"/>
        <w:right w:val="none" w:sz="0" w:space="0" w:color="auto"/>
      </w:divBdr>
    </w:div>
    <w:div w:id="984970614">
      <w:bodyDiv w:val="1"/>
      <w:marLeft w:val="0"/>
      <w:marRight w:val="0"/>
      <w:marTop w:val="0"/>
      <w:marBottom w:val="0"/>
      <w:divBdr>
        <w:top w:val="none" w:sz="0" w:space="0" w:color="auto"/>
        <w:left w:val="none" w:sz="0" w:space="0" w:color="auto"/>
        <w:bottom w:val="none" w:sz="0" w:space="0" w:color="auto"/>
        <w:right w:val="none" w:sz="0" w:space="0" w:color="auto"/>
      </w:divBdr>
    </w:div>
    <w:div w:id="1018046513">
      <w:bodyDiv w:val="1"/>
      <w:marLeft w:val="0"/>
      <w:marRight w:val="0"/>
      <w:marTop w:val="0"/>
      <w:marBottom w:val="0"/>
      <w:divBdr>
        <w:top w:val="none" w:sz="0" w:space="0" w:color="auto"/>
        <w:left w:val="none" w:sz="0" w:space="0" w:color="auto"/>
        <w:bottom w:val="none" w:sz="0" w:space="0" w:color="auto"/>
        <w:right w:val="none" w:sz="0" w:space="0" w:color="auto"/>
      </w:divBdr>
      <w:divsChild>
        <w:div w:id="177282513">
          <w:marLeft w:val="0"/>
          <w:marRight w:val="0"/>
          <w:marTop w:val="0"/>
          <w:marBottom w:val="0"/>
          <w:divBdr>
            <w:top w:val="none" w:sz="0" w:space="0" w:color="auto"/>
            <w:left w:val="none" w:sz="0" w:space="0" w:color="auto"/>
            <w:bottom w:val="none" w:sz="0" w:space="0" w:color="auto"/>
            <w:right w:val="none" w:sz="0" w:space="0" w:color="auto"/>
          </w:divBdr>
        </w:div>
        <w:div w:id="1812093120">
          <w:marLeft w:val="0"/>
          <w:marRight w:val="0"/>
          <w:marTop w:val="0"/>
          <w:marBottom w:val="0"/>
          <w:divBdr>
            <w:top w:val="none" w:sz="0" w:space="0" w:color="auto"/>
            <w:left w:val="none" w:sz="0" w:space="0" w:color="auto"/>
            <w:bottom w:val="none" w:sz="0" w:space="0" w:color="auto"/>
            <w:right w:val="none" w:sz="0" w:space="0" w:color="auto"/>
          </w:divBdr>
        </w:div>
        <w:div w:id="1550652755">
          <w:marLeft w:val="0"/>
          <w:marRight w:val="0"/>
          <w:marTop w:val="0"/>
          <w:marBottom w:val="0"/>
          <w:divBdr>
            <w:top w:val="none" w:sz="0" w:space="0" w:color="auto"/>
            <w:left w:val="none" w:sz="0" w:space="0" w:color="auto"/>
            <w:bottom w:val="none" w:sz="0" w:space="0" w:color="auto"/>
            <w:right w:val="none" w:sz="0" w:space="0" w:color="auto"/>
          </w:divBdr>
        </w:div>
        <w:div w:id="799038629">
          <w:marLeft w:val="0"/>
          <w:marRight w:val="0"/>
          <w:marTop w:val="0"/>
          <w:marBottom w:val="0"/>
          <w:divBdr>
            <w:top w:val="none" w:sz="0" w:space="0" w:color="auto"/>
            <w:left w:val="none" w:sz="0" w:space="0" w:color="auto"/>
            <w:bottom w:val="none" w:sz="0" w:space="0" w:color="auto"/>
            <w:right w:val="none" w:sz="0" w:space="0" w:color="auto"/>
          </w:divBdr>
        </w:div>
        <w:div w:id="949043902">
          <w:marLeft w:val="0"/>
          <w:marRight w:val="0"/>
          <w:marTop w:val="0"/>
          <w:marBottom w:val="0"/>
          <w:divBdr>
            <w:top w:val="none" w:sz="0" w:space="0" w:color="auto"/>
            <w:left w:val="none" w:sz="0" w:space="0" w:color="auto"/>
            <w:bottom w:val="none" w:sz="0" w:space="0" w:color="auto"/>
            <w:right w:val="none" w:sz="0" w:space="0" w:color="auto"/>
          </w:divBdr>
        </w:div>
        <w:div w:id="164830802">
          <w:marLeft w:val="0"/>
          <w:marRight w:val="0"/>
          <w:marTop w:val="0"/>
          <w:marBottom w:val="0"/>
          <w:divBdr>
            <w:top w:val="none" w:sz="0" w:space="0" w:color="auto"/>
            <w:left w:val="none" w:sz="0" w:space="0" w:color="auto"/>
            <w:bottom w:val="none" w:sz="0" w:space="0" w:color="auto"/>
            <w:right w:val="none" w:sz="0" w:space="0" w:color="auto"/>
          </w:divBdr>
        </w:div>
        <w:div w:id="1302730518">
          <w:marLeft w:val="0"/>
          <w:marRight w:val="0"/>
          <w:marTop w:val="0"/>
          <w:marBottom w:val="0"/>
          <w:divBdr>
            <w:top w:val="none" w:sz="0" w:space="0" w:color="auto"/>
            <w:left w:val="none" w:sz="0" w:space="0" w:color="auto"/>
            <w:bottom w:val="none" w:sz="0" w:space="0" w:color="auto"/>
            <w:right w:val="none" w:sz="0" w:space="0" w:color="auto"/>
          </w:divBdr>
        </w:div>
        <w:div w:id="985544946">
          <w:marLeft w:val="0"/>
          <w:marRight w:val="0"/>
          <w:marTop w:val="0"/>
          <w:marBottom w:val="0"/>
          <w:divBdr>
            <w:top w:val="none" w:sz="0" w:space="0" w:color="auto"/>
            <w:left w:val="none" w:sz="0" w:space="0" w:color="auto"/>
            <w:bottom w:val="none" w:sz="0" w:space="0" w:color="auto"/>
            <w:right w:val="none" w:sz="0" w:space="0" w:color="auto"/>
          </w:divBdr>
        </w:div>
      </w:divsChild>
    </w:div>
    <w:div w:id="1102336126">
      <w:bodyDiv w:val="1"/>
      <w:marLeft w:val="0"/>
      <w:marRight w:val="0"/>
      <w:marTop w:val="0"/>
      <w:marBottom w:val="0"/>
      <w:divBdr>
        <w:top w:val="none" w:sz="0" w:space="0" w:color="auto"/>
        <w:left w:val="none" w:sz="0" w:space="0" w:color="auto"/>
        <w:bottom w:val="none" w:sz="0" w:space="0" w:color="auto"/>
        <w:right w:val="none" w:sz="0" w:space="0" w:color="auto"/>
      </w:divBdr>
    </w:div>
    <w:div w:id="1136532581">
      <w:bodyDiv w:val="1"/>
      <w:marLeft w:val="0"/>
      <w:marRight w:val="0"/>
      <w:marTop w:val="0"/>
      <w:marBottom w:val="0"/>
      <w:divBdr>
        <w:top w:val="none" w:sz="0" w:space="0" w:color="auto"/>
        <w:left w:val="none" w:sz="0" w:space="0" w:color="auto"/>
        <w:bottom w:val="none" w:sz="0" w:space="0" w:color="auto"/>
        <w:right w:val="none" w:sz="0" w:space="0" w:color="auto"/>
      </w:divBdr>
    </w:div>
    <w:div w:id="1246955743">
      <w:bodyDiv w:val="1"/>
      <w:marLeft w:val="0"/>
      <w:marRight w:val="0"/>
      <w:marTop w:val="0"/>
      <w:marBottom w:val="0"/>
      <w:divBdr>
        <w:top w:val="none" w:sz="0" w:space="0" w:color="auto"/>
        <w:left w:val="none" w:sz="0" w:space="0" w:color="auto"/>
        <w:bottom w:val="none" w:sz="0" w:space="0" w:color="auto"/>
        <w:right w:val="none" w:sz="0" w:space="0" w:color="auto"/>
      </w:divBdr>
      <w:divsChild>
        <w:div w:id="814683207">
          <w:marLeft w:val="0"/>
          <w:marRight w:val="75"/>
          <w:marTop w:val="0"/>
          <w:marBottom w:val="0"/>
          <w:divBdr>
            <w:top w:val="none" w:sz="0" w:space="0" w:color="auto"/>
            <w:left w:val="none" w:sz="0" w:space="0" w:color="auto"/>
            <w:bottom w:val="none" w:sz="0" w:space="0" w:color="auto"/>
            <w:right w:val="none" w:sz="0" w:space="0" w:color="auto"/>
          </w:divBdr>
        </w:div>
        <w:div w:id="1484354790">
          <w:marLeft w:val="0"/>
          <w:marRight w:val="75"/>
          <w:marTop w:val="0"/>
          <w:marBottom w:val="0"/>
          <w:divBdr>
            <w:top w:val="none" w:sz="0" w:space="0" w:color="auto"/>
            <w:left w:val="none" w:sz="0" w:space="0" w:color="auto"/>
            <w:bottom w:val="none" w:sz="0" w:space="0" w:color="auto"/>
            <w:right w:val="none" w:sz="0" w:space="0" w:color="auto"/>
          </w:divBdr>
        </w:div>
        <w:div w:id="2095322422">
          <w:marLeft w:val="0"/>
          <w:marRight w:val="75"/>
          <w:marTop w:val="0"/>
          <w:marBottom w:val="0"/>
          <w:divBdr>
            <w:top w:val="none" w:sz="0" w:space="0" w:color="auto"/>
            <w:left w:val="none" w:sz="0" w:space="0" w:color="auto"/>
            <w:bottom w:val="none" w:sz="0" w:space="0" w:color="auto"/>
            <w:right w:val="none" w:sz="0" w:space="0" w:color="auto"/>
          </w:divBdr>
        </w:div>
      </w:divsChild>
    </w:div>
    <w:div w:id="1257980979">
      <w:bodyDiv w:val="1"/>
      <w:marLeft w:val="0"/>
      <w:marRight w:val="0"/>
      <w:marTop w:val="0"/>
      <w:marBottom w:val="0"/>
      <w:divBdr>
        <w:top w:val="none" w:sz="0" w:space="0" w:color="auto"/>
        <w:left w:val="none" w:sz="0" w:space="0" w:color="auto"/>
        <w:bottom w:val="none" w:sz="0" w:space="0" w:color="auto"/>
        <w:right w:val="none" w:sz="0" w:space="0" w:color="auto"/>
      </w:divBdr>
    </w:div>
    <w:div w:id="1261992693">
      <w:bodyDiv w:val="1"/>
      <w:marLeft w:val="0"/>
      <w:marRight w:val="0"/>
      <w:marTop w:val="0"/>
      <w:marBottom w:val="0"/>
      <w:divBdr>
        <w:top w:val="none" w:sz="0" w:space="0" w:color="auto"/>
        <w:left w:val="none" w:sz="0" w:space="0" w:color="auto"/>
        <w:bottom w:val="none" w:sz="0" w:space="0" w:color="auto"/>
        <w:right w:val="none" w:sz="0" w:space="0" w:color="auto"/>
      </w:divBdr>
    </w:div>
    <w:div w:id="1304196986">
      <w:bodyDiv w:val="1"/>
      <w:marLeft w:val="0"/>
      <w:marRight w:val="0"/>
      <w:marTop w:val="0"/>
      <w:marBottom w:val="0"/>
      <w:divBdr>
        <w:top w:val="none" w:sz="0" w:space="0" w:color="auto"/>
        <w:left w:val="none" w:sz="0" w:space="0" w:color="auto"/>
        <w:bottom w:val="none" w:sz="0" w:space="0" w:color="auto"/>
        <w:right w:val="none" w:sz="0" w:space="0" w:color="auto"/>
      </w:divBdr>
    </w:div>
    <w:div w:id="1314529417">
      <w:bodyDiv w:val="1"/>
      <w:marLeft w:val="0"/>
      <w:marRight w:val="0"/>
      <w:marTop w:val="0"/>
      <w:marBottom w:val="0"/>
      <w:divBdr>
        <w:top w:val="none" w:sz="0" w:space="0" w:color="auto"/>
        <w:left w:val="none" w:sz="0" w:space="0" w:color="auto"/>
        <w:bottom w:val="none" w:sz="0" w:space="0" w:color="auto"/>
        <w:right w:val="none" w:sz="0" w:space="0" w:color="auto"/>
      </w:divBdr>
    </w:div>
    <w:div w:id="1319772172">
      <w:bodyDiv w:val="1"/>
      <w:marLeft w:val="0"/>
      <w:marRight w:val="0"/>
      <w:marTop w:val="0"/>
      <w:marBottom w:val="0"/>
      <w:divBdr>
        <w:top w:val="none" w:sz="0" w:space="0" w:color="auto"/>
        <w:left w:val="none" w:sz="0" w:space="0" w:color="auto"/>
        <w:bottom w:val="none" w:sz="0" w:space="0" w:color="auto"/>
        <w:right w:val="none" w:sz="0" w:space="0" w:color="auto"/>
      </w:divBdr>
    </w:div>
    <w:div w:id="1432166698">
      <w:bodyDiv w:val="1"/>
      <w:marLeft w:val="0"/>
      <w:marRight w:val="0"/>
      <w:marTop w:val="0"/>
      <w:marBottom w:val="0"/>
      <w:divBdr>
        <w:top w:val="none" w:sz="0" w:space="0" w:color="auto"/>
        <w:left w:val="none" w:sz="0" w:space="0" w:color="auto"/>
        <w:bottom w:val="none" w:sz="0" w:space="0" w:color="auto"/>
        <w:right w:val="none" w:sz="0" w:space="0" w:color="auto"/>
      </w:divBdr>
      <w:divsChild>
        <w:div w:id="401217996">
          <w:marLeft w:val="763"/>
          <w:marRight w:val="0"/>
          <w:marTop w:val="100"/>
          <w:marBottom w:val="0"/>
          <w:divBdr>
            <w:top w:val="none" w:sz="0" w:space="0" w:color="auto"/>
            <w:left w:val="none" w:sz="0" w:space="0" w:color="auto"/>
            <w:bottom w:val="none" w:sz="0" w:space="0" w:color="auto"/>
            <w:right w:val="none" w:sz="0" w:space="0" w:color="auto"/>
          </w:divBdr>
        </w:div>
        <w:div w:id="1477650891">
          <w:marLeft w:val="763"/>
          <w:marRight w:val="0"/>
          <w:marTop w:val="100"/>
          <w:marBottom w:val="0"/>
          <w:divBdr>
            <w:top w:val="none" w:sz="0" w:space="0" w:color="auto"/>
            <w:left w:val="none" w:sz="0" w:space="0" w:color="auto"/>
            <w:bottom w:val="none" w:sz="0" w:space="0" w:color="auto"/>
            <w:right w:val="none" w:sz="0" w:space="0" w:color="auto"/>
          </w:divBdr>
        </w:div>
      </w:divsChild>
    </w:div>
    <w:div w:id="1483933797">
      <w:bodyDiv w:val="1"/>
      <w:marLeft w:val="0"/>
      <w:marRight w:val="0"/>
      <w:marTop w:val="0"/>
      <w:marBottom w:val="0"/>
      <w:divBdr>
        <w:top w:val="none" w:sz="0" w:space="0" w:color="auto"/>
        <w:left w:val="none" w:sz="0" w:space="0" w:color="auto"/>
        <w:bottom w:val="none" w:sz="0" w:space="0" w:color="auto"/>
        <w:right w:val="none" w:sz="0" w:space="0" w:color="auto"/>
      </w:divBdr>
    </w:div>
    <w:div w:id="1496189365">
      <w:bodyDiv w:val="1"/>
      <w:marLeft w:val="0"/>
      <w:marRight w:val="0"/>
      <w:marTop w:val="0"/>
      <w:marBottom w:val="0"/>
      <w:divBdr>
        <w:top w:val="none" w:sz="0" w:space="0" w:color="auto"/>
        <w:left w:val="none" w:sz="0" w:space="0" w:color="auto"/>
        <w:bottom w:val="none" w:sz="0" w:space="0" w:color="auto"/>
        <w:right w:val="none" w:sz="0" w:space="0" w:color="auto"/>
      </w:divBdr>
    </w:div>
    <w:div w:id="1586304227">
      <w:bodyDiv w:val="1"/>
      <w:marLeft w:val="0"/>
      <w:marRight w:val="0"/>
      <w:marTop w:val="0"/>
      <w:marBottom w:val="0"/>
      <w:divBdr>
        <w:top w:val="none" w:sz="0" w:space="0" w:color="auto"/>
        <w:left w:val="none" w:sz="0" w:space="0" w:color="auto"/>
        <w:bottom w:val="none" w:sz="0" w:space="0" w:color="auto"/>
        <w:right w:val="none" w:sz="0" w:space="0" w:color="auto"/>
      </w:divBdr>
    </w:div>
    <w:div w:id="1668244472">
      <w:bodyDiv w:val="1"/>
      <w:marLeft w:val="0"/>
      <w:marRight w:val="0"/>
      <w:marTop w:val="0"/>
      <w:marBottom w:val="0"/>
      <w:divBdr>
        <w:top w:val="none" w:sz="0" w:space="0" w:color="auto"/>
        <w:left w:val="none" w:sz="0" w:space="0" w:color="auto"/>
        <w:bottom w:val="none" w:sz="0" w:space="0" w:color="auto"/>
        <w:right w:val="none" w:sz="0" w:space="0" w:color="auto"/>
      </w:divBdr>
    </w:div>
    <w:div w:id="1730764103">
      <w:bodyDiv w:val="1"/>
      <w:marLeft w:val="0"/>
      <w:marRight w:val="0"/>
      <w:marTop w:val="0"/>
      <w:marBottom w:val="0"/>
      <w:divBdr>
        <w:top w:val="none" w:sz="0" w:space="0" w:color="auto"/>
        <w:left w:val="none" w:sz="0" w:space="0" w:color="auto"/>
        <w:bottom w:val="none" w:sz="0" w:space="0" w:color="auto"/>
        <w:right w:val="none" w:sz="0" w:space="0" w:color="auto"/>
      </w:divBdr>
    </w:div>
    <w:div w:id="1744645192">
      <w:bodyDiv w:val="1"/>
      <w:marLeft w:val="0"/>
      <w:marRight w:val="0"/>
      <w:marTop w:val="0"/>
      <w:marBottom w:val="0"/>
      <w:divBdr>
        <w:top w:val="none" w:sz="0" w:space="0" w:color="auto"/>
        <w:left w:val="none" w:sz="0" w:space="0" w:color="auto"/>
        <w:bottom w:val="none" w:sz="0" w:space="0" w:color="auto"/>
        <w:right w:val="none" w:sz="0" w:space="0" w:color="auto"/>
      </w:divBdr>
    </w:div>
    <w:div w:id="1772361216">
      <w:bodyDiv w:val="1"/>
      <w:marLeft w:val="0"/>
      <w:marRight w:val="0"/>
      <w:marTop w:val="0"/>
      <w:marBottom w:val="0"/>
      <w:divBdr>
        <w:top w:val="none" w:sz="0" w:space="0" w:color="auto"/>
        <w:left w:val="none" w:sz="0" w:space="0" w:color="auto"/>
        <w:bottom w:val="none" w:sz="0" w:space="0" w:color="auto"/>
        <w:right w:val="none" w:sz="0" w:space="0" w:color="auto"/>
      </w:divBdr>
    </w:div>
    <w:div w:id="1792745197">
      <w:bodyDiv w:val="1"/>
      <w:marLeft w:val="0"/>
      <w:marRight w:val="0"/>
      <w:marTop w:val="0"/>
      <w:marBottom w:val="0"/>
      <w:divBdr>
        <w:top w:val="none" w:sz="0" w:space="0" w:color="auto"/>
        <w:left w:val="none" w:sz="0" w:space="0" w:color="auto"/>
        <w:bottom w:val="none" w:sz="0" w:space="0" w:color="auto"/>
        <w:right w:val="none" w:sz="0" w:space="0" w:color="auto"/>
      </w:divBdr>
    </w:div>
    <w:div w:id="1808039620">
      <w:bodyDiv w:val="1"/>
      <w:marLeft w:val="0"/>
      <w:marRight w:val="0"/>
      <w:marTop w:val="0"/>
      <w:marBottom w:val="0"/>
      <w:divBdr>
        <w:top w:val="none" w:sz="0" w:space="0" w:color="auto"/>
        <w:left w:val="none" w:sz="0" w:space="0" w:color="auto"/>
        <w:bottom w:val="none" w:sz="0" w:space="0" w:color="auto"/>
        <w:right w:val="none" w:sz="0" w:space="0" w:color="auto"/>
      </w:divBdr>
    </w:div>
    <w:div w:id="1832329081">
      <w:bodyDiv w:val="1"/>
      <w:marLeft w:val="0"/>
      <w:marRight w:val="0"/>
      <w:marTop w:val="0"/>
      <w:marBottom w:val="0"/>
      <w:divBdr>
        <w:top w:val="none" w:sz="0" w:space="0" w:color="auto"/>
        <w:left w:val="none" w:sz="0" w:space="0" w:color="auto"/>
        <w:bottom w:val="none" w:sz="0" w:space="0" w:color="auto"/>
        <w:right w:val="none" w:sz="0" w:space="0" w:color="auto"/>
      </w:divBdr>
    </w:div>
    <w:div w:id="1835610994">
      <w:bodyDiv w:val="1"/>
      <w:marLeft w:val="0"/>
      <w:marRight w:val="0"/>
      <w:marTop w:val="0"/>
      <w:marBottom w:val="0"/>
      <w:divBdr>
        <w:top w:val="none" w:sz="0" w:space="0" w:color="auto"/>
        <w:left w:val="none" w:sz="0" w:space="0" w:color="auto"/>
        <w:bottom w:val="none" w:sz="0" w:space="0" w:color="auto"/>
        <w:right w:val="none" w:sz="0" w:space="0" w:color="auto"/>
      </w:divBdr>
    </w:div>
    <w:div w:id="1985965327">
      <w:bodyDiv w:val="1"/>
      <w:marLeft w:val="0"/>
      <w:marRight w:val="0"/>
      <w:marTop w:val="0"/>
      <w:marBottom w:val="0"/>
      <w:divBdr>
        <w:top w:val="none" w:sz="0" w:space="0" w:color="auto"/>
        <w:left w:val="none" w:sz="0" w:space="0" w:color="auto"/>
        <w:bottom w:val="none" w:sz="0" w:space="0" w:color="auto"/>
        <w:right w:val="none" w:sz="0" w:space="0" w:color="auto"/>
      </w:divBdr>
      <w:divsChild>
        <w:div w:id="966621133">
          <w:marLeft w:val="0"/>
          <w:marRight w:val="0"/>
          <w:marTop w:val="0"/>
          <w:marBottom w:val="0"/>
          <w:divBdr>
            <w:top w:val="none" w:sz="0" w:space="0" w:color="auto"/>
            <w:left w:val="none" w:sz="0" w:space="0" w:color="auto"/>
            <w:bottom w:val="none" w:sz="0" w:space="0" w:color="auto"/>
            <w:right w:val="none" w:sz="0" w:space="0" w:color="auto"/>
          </w:divBdr>
        </w:div>
        <w:div w:id="834565848">
          <w:marLeft w:val="0"/>
          <w:marRight w:val="0"/>
          <w:marTop w:val="0"/>
          <w:marBottom w:val="0"/>
          <w:divBdr>
            <w:top w:val="none" w:sz="0" w:space="0" w:color="auto"/>
            <w:left w:val="none" w:sz="0" w:space="0" w:color="auto"/>
            <w:bottom w:val="none" w:sz="0" w:space="0" w:color="auto"/>
            <w:right w:val="none" w:sz="0" w:space="0" w:color="auto"/>
          </w:divBdr>
        </w:div>
        <w:div w:id="1747995096">
          <w:marLeft w:val="0"/>
          <w:marRight w:val="0"/>
          <w:marTop w:val="0"/>
          <w:marBottom w:val="0"/>
          <w:divBdr>
            <w:top w:val="none" w:sz="0" w:space="0" w:color="auto"/>
            <w:left w:val="none" w:sz="0" w:space="0" w:color="auto"/>
            <w:bottom w:val="none" w:sz="0" w:space="0" w:color="auto"/>
            <w:right w:val="none" w:sz="0" w:space="0" w:color="auto"/>
          </w:divBdr>
        </w:div>
        <w:div w:id="307169606">
          <w:marLeft w:val="0"/>
          <w:marRight w:val="0"/>
          <w:marTop w:val="0"/>
          <w:marBottom w:val="0"/>
          <w:divBdr>
            <w:top w:val="none" w:sz="0" w:space="0" w:color="auto"/>
            <w:left w:val="none" w:sz="0" w:space="0" w:color="auto"/>
            <w:bottom w:val="none" w:sz="0" w:space="0" w:color="auto"/>
            <w:right w:val="none" w:sz="0" w:space="0" w:color="auto"/>
          </w:divBdr>
        </w:div>
        <w:div w:id="1399135038">
          <w:marLeft w:val="0"/>
          <w:marRight w:val="0"/>
          <w:marTop w:val="0"/>
          <w:marBottom w:val="0"/>
          <w:divBdr>
            <w:top w:val="none" w:sz="0" w:space="0" w:color="auto"/>
            <w:left w:val="none" w:sz="0" w:space="0" w:color="auto"/>
            <w:bottom w:val="none" w:sz="0" w:space="0" w:color="auto"/>
            <w:right w:val="none" w:sz="0" w:space="0" w:color="auto"/>
          </w:divBdr>
        </w:div>
        <w:div w:id="917906136">
          <w:marLeft w:val="0"/>
          <w:marRight w:val="0"/>
          <w:marTop w:val="0"/>
          <w:marBottom w:val="0"/>
          <w:divBdr>
            <w:top w:val="none" w:sz="0" w:space="0" w:color="auto"/>
            <w:left w:val="none" w:sz="0" w:space="0" w:color="auto"/>
            <w:bottom w:val="none" w:sz="0" w:space="0" w:color="auto"/>
            <w:right w:val="none" w:sz="0" w:space="0" w:color="auto"/>
          </w:divBdr>
        </w:div>
        <w:div w:id="1409769065">
          <w:marLeft w:val="0"/>
          <w:marRight w:val="0"/>
          <w:marTop w:val="0"/>
          <w:marBottom w:val="0"/>
          <w:divBdr>
            <w:top w:val="none" w:sz="0" w:space="0" w:color="auto"/>
            <w:left w:val="none" w:sz="0" w:space="0" w:color="auto"/>
            <w:bottom w:val="none" w:sz="0" w:space="0" w:color="auto"/>
            <w:right w:val="none" w:sz="0" w:space="0" w:color="auto"/>
          </w:divBdr>
        </w:div>
      </w:divsChild>
    </w:div>
    <w:div w:id="2026011572">
      <w:bodyDiv w:val="1"/>
      <w:marLeft w:val="0"/>
      <w:marRight w:val="0"/>
      <w:marTop w:val="0"/>
      <w:marBottom w:val="0"/>
      <w:divBdr>
        <w:top w:val="none" w:sz="0" w:space="0" w:color="auto"/>
        <w:left w:val="none" w:sz="0" w:space="0" w:color="auto"/>
        <w:bottom w:val="none" w:sz="0" w:space="0" w:color="auto"/>
        <w:right w:val="none" w:sz="0" w:space="0" w:color="auto"/>
      </w:divBdr>
    </w:div>
    <w:div w:id="2034643748">
      <w:bodyDiv w:val="1"/>
      <w:marLeft w:val="0"/>
      <w:marRight w:val="0"/>
      <w:marTop w:val="0"/>
      <w:marBottom w:val="0"/>
      <w:divBdr>
        <w:top w:val="none" w:sz="0" w:space="0" w:color="auto"/>
        <w:left w:val="none" w:sz="0" w:space="0" w:color="auto"/>
        <w:bottom w:val="none" w:sz="0" w:space="0" w:color="auto"/>
        <w:right w:val="none" w:sz="0" w:space="0" w:color="auto"/>
      </w:divBdr>
    </w:div>
    <w:div w:id="2071688766">
      <w:bodyDiv w:val="1"/>
      <w:marLeft w:val="0"/>
      <w:marRight w:val="0"/>
      <w:marTop w:val="0"/>
      <w:marBottom w:val="0"/>
      <w:divBdr>
        <w:top w:val="none" w:sz="0" w:space="0" w:color="auto"/>
        <w:left w:val="none" w:sz="0" w:space="0" w:color="auto"/>
        <w:bottom w:val="none" w:sz="0" w:space="0" w:color="auto"/>
        <w:right w:val="none" w:sz="0" w:space="0" w:color="auto"/>
      </w:divBdr>
    </w:div>
    <w:div w:id="211170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header" Target="header6.xml"/><Relationship Id="rId39" Type="http://schemas.openxmlformats.org/officeDocument/2006/relationships/chart" Target="charts/chart3.xml"/><Relationship Id="rId21" Type="http://schemas.openxmlformats.org/officeDocument/2006/relationships/image" Target="media/image3.png"/><Relationship Id="rId34" Type="http://schemas.openxmlformats.org/officeDocument/2006/relationships/header" Target="header9.xml"/><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image" Target="media/image7.png"/><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ur-lex.europa.eu/legal-content/EN/TXT/?qid=1600339518571&amp;uri=COM%3A2020%3A564%3AFIN" TargetMode="External"/><Relationship Id="rId29" Type="http://schemas.openxmlformats.org/officeDocument/2006/relationships/image" Target="media/image4.png"/><Relationship Id="rId41" Type="http://schemas.openxmlformats.org/officeDocument/2006/relationships/chart" Target="charts/chart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hyperlink" Target="https://ec.europa.eu/energy/sites/ener/files/technical_document_4th_pci_list.pdf" TargetMode="External"/><Relationship Id="rId53"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chart" Target="charts/chart2.xml"/><Relationship Id="rId36" Type="http://schemas.openxmlformats.org/officeDocument/2006/relationships/image" Target="media/image5.emf"/><Relationship Id="rId49"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8.xml"/><Relationship Id="rId44" Type="http://schemas.openxmlformats.org/officeDocument/2006/relationships/hyperlink" Target="https://ec.europa.eu/energy/infrastructure/transparency_platform/map-viewer/main.html" TargetMode="Externa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image" Target="media/image10.emf"/><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agent.Roland%20Berger%20GmbH&amp;language=en&amp;facet.collection=EUPub" TargetMode="External"/><Relationship Id="rId18"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agent.Ea%20Energy%20Analyses&amp;language=en&amp;facet.collection=EUPub" TargetMode="External"/><Relationship Id="rId26" Type="http://schemas.openxmlformats.org/officeDocument/2006/relationships/hyperlink" Target="https://ec.europa.eu/energy/sites/ener/files/documents/swd2017_61_document_travail_service_part1_v6.pdf" TargetMode="External"/><Relationship Id="rId39" Type="http://schemas.openxmlformats.org/officeDocument/2006/relationships/hyperlink" Target="https://unit-converter.gasunie.nl/" TargetMode="External"/><Relationship Id="rId3" Type="http://schemas.openxmlformats.org/officeDocument/2006/relationships/hyperlink" Target="https://www.consilium.europa.eu/media/38507/st07207-re01-en19.pdf" TargetMode="External"/><Relationship Id="rId21" Type="http://schemas.openxmlformats.org/officeDocument/2006/relationships/hyperlink" Target="https://op.europa.eu/en/publication-detail/-/publication/a6eba083-932e-11ea-aac4-01aa75ed71a1" TargetMode="External"/><Relationship Id="rId34" Type="http://schemas.openxmlformats.org/officeDocument/2006/relationships/hyperlink" Target="https://www.gasunie.nl/en/expertise/hydrogen/hydrogen-projects" TargetMode="External"/><Relationship Id="rId42" Type="http://schemas.openxmlformats.org/officeDocument/2006/relationships/hyperlink" Target="https://eepublicdownloads.azureedge.net/clean-documents/Publications/Position%20papers%20and%20reports/20190517_RGI_ENTSOE_working_paper_better_projects.pdf" TargetMode="External"/><Relationship Id="rId47" Type="http://schemas.openxmlformats.org/officeDocument/2006/relationships/hyperlink" Target="https://www.consilium.europa.eu/media/38507/st07207-re01-en19.pdf" TargetMode="External"/><Relationship Id="rId50" Type="http://schemas.openxmlformats.org/officeDocument/2006/relationships/hyperlink" Target="https://ec.europa.eu/environment/eia/pdf/PCI_guidance.pdf" TargetMode="External"/><Relationship Id="rId7" Type="http://schemas.openxmlformats.org/officeDocument/2006/relationships/hyperlink" Target="https://tyndp.entsoe.eu/about-the-tyndp/" TargetMode="External"/><Relationship Id="rId12" Type="http://schemas.openxmlformats.org/officeDocument/2006/relationships/hyperlink" Target="https://www.acer.europa.eu/Official_documents/Acts_of_the_Agency/Publication/Consolidated%20Report%20on%20the%20progress%20of%20electricity%20and%20gas%20Projects%20of%20Common%20Interest%20%282020%29.pdf" TargetMode="External"/><Relationship Id="rId17"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amp;language=en&amp;facet.collection=EUPub" TargetMode="External"/><Relationship Id="rId25" Type="http://schemas.openxmlformats.org/officeDocument/2006/relationships/hyperlink" Target="https://www.iea.org/reports/energy-storage" TargetMode="External"/><Relationship Id="rId33" Type="http://schemas.openxmlformats.org/officeDocument/2006/relationships/hyperlink" Target="http://www.get-h2.de/en/initiativeandvision/" TargetMode="External"/><Relationship Id="rId38" Type="http://schemas.openxmlformats.org/officeDocument/2006/relationships/hyperlink" Target="https://gasforclimate2050.eu/sdm_downloads/european-hydrogen-backbone" TargetMode="External"/><Relationship Id="rId46" Type="http://schemas.openxmlformats.org/officeDocument/2006/relationships/hyperlink" Target="https://eepublicdownloads.azureedge.net/clean-documents/Publications/Position%20papers%20and%20reports/20190517_RGI_ENTSOE_working_paper_better_projects.pdf" TargetMode="External"/><Relationship Id="rId2" Type="http://schemas.openxmlformats.org/officeDocument/2006/relationships/hyperlink" Target="https://ec.europa.eu/transport/themes/infrastructure/ten-t/review_en" TargetMode="External"/><Relationship Id="rId16"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ENER&amp;language=en&amp;facet.collection=EUPub" TargetMode="External"/><Relationship Id="rId20" Type="http://schemas.openxmlformats.org/officeDocument/2006/relationships/hyperlink" Target="https://op.europa.eu/en/publication-detail/-/publication/9590cdee-cd30-11e9-992f-01aa75ed71a1/language-en/format-PDF/source-search" TargetMode="External"/><Relationship Id="rId29" Type="http://schemas.openxmlformats.org/officeDocument/2006/relationships/hyperlink" Target="https://ec.europa.eu/energy/sites/ener/files/documents/quo_vadis_report_16feb18.pdf" TargetMode="External"/><Relationship Id="rId41" Type="http://schemas.openxmlformats.org/officeDocument/2006/relationships/hyperlink" Target="https://www.etipocean.eu/" TargetMode="External"/><Relationship Id="rId54" Type="http://schemas.openxmlformats.org/officeDocument/2006/relationships/hyperlink" Target="https://www.entsog.eu/sites/default/files/2019-05/TYNDP%202020_Practical_Implementation_Document_20190502_0.pdf" TargetMode="External"/><Relationship Id="rId1" Type="http://schemas.openxmlformats.org/officeDocument/2006/relationships/hyperlink" Target="https://eur-lex.europa.eu/legal-content/EN/TXT/?uri=CELEX:52018DC0773" TargetMode="External"/><Relationship Id="rId6" Type="http://schemas.openxmlformats.org/officeDocument/2006/relationships/hyperlink" Target="https://op.europa.eu/en/publication-detail/-/publication/785f224b-93cd-11e9-9369-01aa75ed71a1" TargetMode="External"/><Relationship Id="rId11" Type="http://schemas.openxmlformats.org/officeDocument/2006/relationships/hyperlink" Target="https://ec.europa.eu/energy/studies/hybrid-projects-how-reduce-costs-and-space-offshore-developments_en?redir=1" TargetMode="External"/><Relationship Id="rId24" Type="http://schemas.openxmlformats.org/officeDocument/2006/relationships/hyperlink" Target="https://op.europa.eu/en/publication-detail/-/publication/a6eba083-932e-11ea-aac4-01aa75ed71a1" TargetMode="External"/><Relationship Id="rId32" Type="http://schemas.openxmlformats.org/officeDocument/2006/relationships/hyperlink" Target="https://gasforclimate2050.eu/sdm_downloads/european-hydrogen-backbone/" TargetMode="External"/><Relationship Id="rId37" Type="http://schemas.openxmlformats.org/officeDocument/2006/relationships/hyperlink" Target="https://gasforclimate2050.eu/sdm_downloads/european-hydrogen-backbone" TargetMode="External"/><Relationship Id="rId40" Type="http://schemas.openxmlformats.org/officeDocument/2006/relationships/hyperlink" Target="https://windeurope.org/wp-content/uploads/files/policy/position-papers/WindEurope-Industry-position-on-how-offshore-grids-should-develop.pdf" TargetMode="External"/><Relationship Id="rId45" Type="http://schemas.openxmlformats.org/officeDocument/2006/relationships/hyperlink" Target="https://eur-lex.europa.eu/resource.html?uri=cellar%3Af1ebd6bf-a0d3-11ea-9d2d-01aa75ed71a1.0006.02/DOC_1&amp;format=PDF" TargetMode="External"/><Relationship Id="rId53" Type="http://schemas.openxmlformats.org/officeDocument/2006/relationships/hyperlink" Target="https://tyndp.entsoe.eu/promoters-corner" TargetMode="External"/><Relationship Id="rId5" Type="http://schemas.openxmlformats.org/officeDocument/2006/relationships/hyperlink" Target="http://publications.europa.eu/resource/cellar/431bc842-437c-11e8-a9f4-01aa75ed71a1.0001.01/DOC_1" TargetMode="External"/><Relationship Id="rId15"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agent.COWI&amp;language=en&amp;facet.collection=EUPub" TargetMode="External"/><Relationship Id="rId23" Type="http://schemas.openxmlformats.org/officeDocument/2006/relationships/hyperlink" Target="https://cdn.eurelectric.org/media/3921/value-of-the-grid-final-2019-030-0406-01-e-h-D1C80F0B.pdf" TargetMode="External"/><Relationship Id="rId28" Type="http://schemas.openxmlformats.org/officeDocument/2006/relationships/hyperlink" Target="https://ec.europa.eu/clima/sites/clima/files/docs/pages/com_2018_733_analysis_in_support_en_0.pdf" TargetMode="External"/><Relationship Id="rId36" Type="http://schemas.openxmlformats.org/officeDocument/2006/relationships/hyperlink" Target="https://gasforclimate2050.eu/sdm_downloads/european-hydrogen-backbone/" TargetMode="External"/><Relationship Id="rId49" Type="http://schemas.openxmlformats.org/officeDocument/2006/relationships/hyperlink" Target="https://ec.europa.eu/energy/infrastructure/transparency_platform/map-viewer/main.html" TargetMode="External"/><Relationship Id="rId10" Type="http://schemas.openxmlformats.org/officeDocument/2006/relationships/hyperlink" Target="https://urldefense.com/v3/__https:/www.entsoe.eu/2020/05/29/entso-e-position-on-offshore-development/__;!!DOxrgLBm!RtW_DYrTdnrOGGZuuhoqN9EAI6T8wguiQHeSEv4TdJyMJtO3BjzPa4VsyelFMNbCWNEPcTEL$" TargetMode="External"/><Relationship Id="rId19"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agent.THEMA%20Consulting%20group&amp;language=en&amp;facet.collection=EUPub" TargetMode="External"/><Relationship Id="rId31" Type="http://schemas.openxmlformats.org/officeDocument/2006/relationships/hyperlink" Target="https://www.acer.europa.eu/Official_documents/Acts_of_the_Agency/Publication/ACER%20Monitoring%20update%20on%20incremental%20capacity%20projects%20and%20virtual%20interconnection%20points.2020.pdf" TargetMode="External"/><Relationship Id="rId44" Type="http://schemas.openxmlformats.org/officeDocument/2006/relationships/hyperlink" Target="https://www.entsog.eu/sites/default/files/2019-05/TYNDP%202020_Practical_Implementation_Document_20190502_0.pdf" TargetMode="External"/><Relationship Id="rId52" Type="http://schemas.openxmlformats.org/officeDocument/2006/relationships/hyperlink" Target="https://circabc.europa.eu/ui/group/3ba59f7e-2e01-46d0-9683-a72b39b6decf/library/563f3273-e6a7-4d2f-b157-76a6514cf4ee?p=1&amp;n=10&amp;sort=modified_DESC" TargetMode="External"/><Relationship Id="rId4" Type="http://schemas.openxmlformats.org/officeDocument/2006/relationships/hyperlink" Target="http://www.europarl.europa.eu/doceo/document/TA-8-2019-0420_EN.pdf" TargetMode="External"/><Relationship Id="rId9" Type="http://schemas.openxmlformats.org/officeDocument/2006/relationships/hyperlink" Target="https://eepublicdownloads.azureedge.net/tyndp-documents/TYNDP_2020_Joint_Scenario_Report_ENTSOG_ENTSOE_200629_Final.pdf" TargetMode="External"/><Relationship Id="rId14" Type="http://schemas.openxmlformats.org/officeDocument/2006/relationships/hyperlink" Target="https://op.europa.eu/en/publication-detail/-/publication/59165f6d-802e-11e9-9f05-01aa75ed71a1/language-en?WT.mc_id=Searchresult&amp;WT.ria_c=37085&amp;WT.ria_f=3608&amp;WT.ria_ev=search" TargetMode="External"/><Relationship Id="rId22" Type="http://schemas.openxmlformats.org/officeDocument/2006/relationships/hyperlink" Target="https://op.europa.eu/en/publication-detail/-/publication/906bea83-b6fe-11e8-99ee-01aa75ed71a1" TargetMode="External"/><Relationship Id="rId27" Type="http://schemas.openxmlformats.org/officeDocument/2006/relationships/hyperlink" Target="https://www.etip-snet.eu/wp-content/uploads/2018/11/ETIP-SNET-Position-Paper-on-Digitalisation-short-for-web.pdf" TargetMode="External"/><Relationship Id="rId30" Type="http://schemas.openxmlformats.org/officeDocument/2006/relationships/hyperlink" Target="https://www.acer.europa.eu/Official_documents/Acts_of_the_Agency/Publication/ACER%20Market%20Monitoring%20Report%202018%20-%20Gas%20Wholesale%20Markets%20Volume.pdf" TargetMode="External"/><Relationship Id="rId35" Type="http://schemas.openxmlformats.org/officeDocument/2006/relationships/hyperlink" Target="https://gasforclimate2050.eu/sdm_downloads/european-hydrogen-backbone" TargetMode="External"/><Relationship Id="rId43" Type="http://schemas.openxmlformats.org/officeDocument/2006/relationships/hyperlink" Target="https://tyndp.entsoe.eu/promoters-corner" TargetMode="External"/><Relationship Id="rId48" Type="http://schemas.openxmlformats.org/officeDocument/2006/relationships/hyperlink" Target="http://www.europarl.europa.eu/doceo/document/TA-8-2019-0420_EN.pdf" TargetMode="External"/><Relationship Id="rId8" Type="http://schemas.openxmlformats.org/officeDocument/2006/relationships/hyperlink" Target="https://www.entsog.eu/tyndp" TargetMode="External"/><Relationship Id="rId51" Type="http://schemas.openxmlformats.org/officeDocument/2006/relationships/hyperlink" Target="https://circabc.europa.eu/ui/group/3ba59f7e-2e01-46d0-9683-a72b39b6decf/library/c1b40471-8605-45c3-8540-04451ed31094?p=1&amp;n=10&amp;sort=modified_DES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https://ecorys-my.sharepoint.com/personal/daniel_nigohosyan_ecorys_com/Documents/Desktop/TEN-summary%20report/Raw%20data/extracted/Consolidated%20resul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c-rot-fs2.ecorys.local\W\NL5200%20Natural%20Resources\Projecten\NL5200-35195%20Support%20to%20evaluation%20of%20Regulation%20(EU)%20No%20347-2013\3%20Implementation\Portfolio%20analysis\Portfolio%20analysi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863842569129409"/>
          <c:y val="0.13199481735685201"/>
          <c:w val="0.81678654163199571"/>
          <c:h val="0.59685829372130572"/>
        </c:manualLayout>
      </c:layout>
      <c:barChart>
        <c:barDir val="bar"/>
        <c:grouping val="percentStacked"/>
        <c:varyColors val="0"/>
        <c:ser>
          <c:idx val="0"/>
          <c:order val="0"/>
          <c:tx>
            <c:strRef>
              <c:f>PA_Figures!$B$3</c:f>
              <c:strCache>
                <c:ptCount val="1"/>
                <c:pt idx="0">
                  <c:v>Electricity</c:v>
                </c:pt>
              </c:strCache>
            </c:strRef>
          </c:tx>
          <c:spPr>
            <a:solidFill>
              <a:srgbClr val="003C64"/>
            </a:solidFill>
          </c:spPr>
          <c:invertIfNegative val="0"/>
          <c:dLbls>
            <c:numFmt formatCode="#\ ?/?" sourceLinked="0"/>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PA_Figures!$A$4:$A$7</c:f>
              <c:strCache>
                <c:ptCount val="4"/>
                <c:pt idx="0">
                  <c:v>1st PCI list (2013) (n=248)</c:v>
                </c:pt>
                <c:pt idx="1">
                  <c:v>2nd PCI list (2015) (n=195)</c:v>
                </c:pt>
                <c:pt idx="2">
                  <c:v>3rd PCI list (2017) (n=169)</c:v>
                </c:pt>
                <c:pt idx="3">
                  <c:v>4th PCI list (2019) (n=149)</c:v>
                </c:pt>
              </c:strCache>
            </c:strRef>
          </c:cat>
          <c:val>
            <c:numRef>
              <c:f>PA_Figures!$B$4:$B$7</c:f>
              <c:numCache>
                <c:formatCode>General</c:formatCode>
                <c:ptCount val="4"/>
                <c:pt idx="0">
                  <c:v>131</c:v>
                </c:pt>
                <c:pt idx="1">
                  <c:v>108</c:v>
                </c:pt>
                <c:pt idx="2">
                  <c:v>102</c:v>
                </c:pt>
                <c:pt idx="3">
                  <c:v>100</c:v>
                </c:pt>
              </c:numCache>
            </c:numRef>
          </c:val>
          <c:extLst>
            <c:ext xmlns:c16="http://schemas.microsoft.com/office/drawing/2014/chart" uri="{C3380CC4-5D6E-409C-BE32-E72D297353CC}">
              <c16:uniqueId val="{00000000-3CDB-4D53-BEC7-EFA876938914}"/>
            </c:ext>
          </c:extLst>
        </c:ser>
        <c:ser>
          <c:idx val="1"/>
          <c:order val="1"/>
          <c:tx>
            <c:strRef>
              <c:f>PA_Figures!$C$3</c:f>
              <c:strCache>
                <c:ptCount val="1"/>
                <c:pt idx="0">
                  <c:v>Gas</c:v>
                </c:pt>
              </c:strCache>
            </c:strRef>
          </c:tx>
          <c:spPr>
            <a:solidFill>
              <a:srgbClr val="4D7793"/>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PA_Figures!$A$4:$A$7</c:f>
              <c:strCache>
                <c:ptCount val="4"/>
                <c:pt idx="0">
                  <c:v>1st PCI list (2013) (n=248)</c:v>
                </c:pt>
                <c:pt idx="1">
                  <c:v>2nd PCI list (2015) (n=195)</c:v>
                </c:pt>
                <c:pt idx="2">
                  <c:v>3rd PCI list (2017) (n=169)</c:v>
                </c:pt>
                <c:pt idx="3">
                  <c:v>4th PCI list (2019) (n=149)</c:v>
                </c:pt>
              </c:strCache>
            </c:strRef>
          </c:cat>
          <c:val>
            <c:numRef>
              <c:f>PA_Figures!$C$4:$C$7</c:f>
              <c:numCache>
                <c:formatCode>General</c:formatCode>
                <c:ptCount val="4"/>
                <c:pt idx="0">
                  <c:v>109</c:v>
                </c:pt>
                <c:pt idx="1">
                  <c:v>77</c:v>
                </c:pt>
                <c:pt idx="2">
                  <c:v>53</c:v>
                </c:pt>
                <c:pt idx="3">
                  <c:v>32</c:v>
                </c:pt>
              </c:numCache>
            </c:numRef>
          </c:val>
          <c:extLst>
            <c:ext xmlns:c16="http://schemas.microsoft.com/office/drawing/2014/chart" uri="{C3380CC4-5D6E-409C-BE32-E72D297353CC}">
              <c16:uniqueId val="{00000001-3CDB-4D53-BEC7-EFA876938914}"/>
            </c:ext>
          </c:extLst>
        </c:ser>
        <c:ser>
          <c:idx val="2"/>
          <c:order val="2"/>
          <c:tx>
            <c:strRef>
              <c:f>PA_Figures!$D$3</c:f>
              <c:strCache>
                <c:ptCount val="1"/>
                <c:pt idx="0">
                  <c:v>Oil</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PA_Figures!$A$4:$A$7</c:f>
              <c:strCache>
                <c:ptCount val="4"/>
                <c:pt idx="0">
                  <c:v>1st PCI list (2013) (n=248)</c:v>
                </c:pt>
                <c:pt idx="1">
                  <c:v>2nd PCI list (2015) (n=195)</c:v>
                </c:pt>
                <c:pt idx="2">
                  <c:v>3rd PCI list (2017) (n=169)</c:v>
                </c:pt>
                <c:pt idx="3">
                  <c:v>4th PCI list (2019) (n=149)</c:v>
                </c:pt>
              </c:strCache>
            </c:strRef>
          </c:cat>
          <c:val>
            <c:numRef>
              <c:f>PA_Figures!$D$4:$D$7</c:f>
              <c:numCache>
                <c:formatCode>General</c:formatCode>
                <c:ptCount val="4"/>
                <c:pt idx="0">
                  <c:v>6</c:v>
                </c:pt>
                <c:pt idx="1">
                  <c:v>7</c:v>
                </c:pt>
                <c:pt idx="2">
                  <c:v>6</c:v>
                </c:pt>
                <c:pt idx="3">
                  <c:v>6</c:v>
                </c:pt>
              </c:numCache>
            </c:numRef>
          </c:val>
          <c:extLst>
            <c:ext xmlns:c16="http://schemas.microsoft.com/office/drawing/2014/chart" uri="{C3380CC4-5D6E-409C-BE32-E72D297353CC}">
              <c16:uniqueId val="{00000002-3CDB-4D53-BEC7-EFA876938914}"/>
            </c:ext>
          </c:extLst>
        </c:ser>
        <c:ser>
          <c:idx val="3"/>
          <c:order val="3"/>
          <c:tx>
            <c:strRef>
              <c:f>PA_Figures!$E$3</c:f>
              <c:strCache>
                <c:ptCount val="1"/>
                <c:pt idx="0">
                  <c:v>CO2</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3CDB-4D53-BEC7-EFA876938914}"/>
                </c:ext>
              </c:extLst>
            </c:dLbl>
            <c:dLbl>
              <c:idx val="1"/>
              <c:delete val="1"/>
              <c:extLst>
                <c:ext xmlns:c15="http://schemas.microsoft.com/office/drawing/2012/chart" uri="{CE6537A1-D6FC-4f65-9D91-7224C49458BB}"/>
                <c:ext xmlns:c16="http://schemas.microsoft.com/office/drawing/2014/chart" uri="{C3380CC4-5D6E-409C-BE32-E72D297353CC}">
                  <c16:uniqueId val="{00000004-3CDB-4D53-BEC7-EFA87693891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PA_Figures!$A$4:$A$7</c:f>
              <c:strCache>
                <c:ptCount val="4"/>
                <c:pt idx="0">
                  <c:v>1st PCI list (2013) (n=248)</c:v>
                </c:pt>
                <c:pt idx="1">
                  <c:v>2nd PCI list (2015) (n=195)</c:v>
                </c:pt>
                <c:pt idx="2">
                  <c:v>3rd PCI list (2017) (n=169)</c:v>
                </c:pt>
                <c:pt idx="3">
                  <c:v>4th PCI list (2019) (n=149)</c:v>
                </c:pt>
              </c:strCache>
            </c:strRef>
          </c:cat>
          <c:val>
            <c:numRef>
              <c:f>PA_Figures!$E$4:$E$7</c:f>
              <c:numCache>
                <c:formatCode>General</c:formatCode>
                <c:ptCount val="4"/>
                <c:pt idx="0">
                  <c:v>0</c:v>
                </c:pt>
                <c:pt idx="1">
                  <c:v>0</c:v>
                </c:pt>
                <c:pt idx="2">
                  <c:v>4</c:v>
                </c:pt>
                <c:pt idx="3">
                  <c:v>5</c:v>
                </c:pt>
              </c:numCache>
            </c:numRef>
          </c:val>
          <c:extLst>
            <c:ext xmlns:c16="http://schemas.microsoft.com/office/drawing/2014/chart" uri="{C3380CC4-5D6E-409C-BE32-E72D297353CC}">
              <c16:uniqueId val="{00000005-3CDB-4D53-BEC7-EFA876938914}"/>
            </c:ext>
          </c:extLst>
        </c:ser>
        <c:ser>
          <c:idx val="4"/>
          <c:order val="4"/>
          <c:tx>
            <c:strRef>
              <c:f>PA_Figures!$F$3</c:f>
              <c:strCache>
                <c:ptCount val="1"/>
                <c:pt idx="0">
                  <c:v>Smart grids</c:v>
                </c:pt>
              </c:strCache>
            </c:strRef>
          </c:tx>
          <c:spPr>
            <a:solidFill>
              <a:srgbClr val="A5A5A5"/>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PA_Figures!$A$4:$A$7</c:f>
              <c:strCache>
                <c:ptCount val="4"/>
                <c:pt idx="0">
                  <c:v>1st PCI list (2013) (n=248)</c:v>
                </c:pt>
                <c:pt idx="1">
                  <c:v>2nd PCI list (2015) (n=195)</c:v>
                </c:pt>
                <c:pt idx="2">
                  <c:v>3rd PCI list (2017) (n=169)</c:v>
                </c:pt>
                <c:pt idx="3">
                  <c:v>4th PCI list (2019) (n=149)</c:v>
                </c:pt>
              </c:strCache>
            </c:strRef>
          </c:cat>
          <c:val>
            <c:numRef>
              <c:f>PA_Figures!$F$4:$F$7</c:f>
              <c:numCache>
                <c:formatCode>General</c:formatCode>
                <c:ptCount val="4"/>
                <c:pt idx="0">
                  <c:v>2</c:v>
                </c:pt>
                <c:pt idx="1">
                  <c:v>3</c:v>
                </c:pt>
                <c:pt idx="2">
                  <c:v>4</c:v>
                </c:pt>
                <c:pt idx="3">
                  <c:v>6</c:v>
                </c:pt>
              </c:numCache>
            </c:numRef>
          </c:val>
          <c:extLst>
            <c:ext xmlns:c16="http://schemas.microsoft.com/office/drawing/2014/chart" uri="{C3380CC4-5D6E-409C-BE32-E72D297353CC}">
              <c16:uniqueId val="{00000006-3CDB-4D53-BEC7-EFA876938914}"/>
            </c:ext>
          </c:extLst>
        </c:ser>
        <c:dLbls>
          <c:dLblPos val="ctr"/>
          <c:showLegendKey val="0"/>
          <c:showVal val="1"/>
          <c:showCatName val="0"/>
          <c:showSerName val="0"/>
          <c:showPercent val="0"/>
          <c:showBubbleSize val="0"/>
        </c:dLbls>
        <c:gapWidth val="50"/>
        <c:overlap val="100"/>
        <c:axId val="48786048"/>
        <c:axId val="48796032"/>
      </c:barChart>
      <c:catAx>
        <c:axId val="48786048"/>
        <c:scaling>
          <c:orientation val="maxMin"/>
        </c:scaling>
        <c:delete val="0"/>
        <c:axPos val="l"/>
        <c:numFmt formatCode="General" sourceLinked="1"/>
        <c:majorTickMark val="out"/>
        <c:minorTickMark val="none"/>
        <c:tickLblPos val="nextTo"/>
        <c:crossAx val="48796032"/>
        <c:crosses val="autoZero"/>
        <c:auto val="1"/>
        <c:lblAlgn val="ctr"/>
        <c:lblOffset val="100"/>
        <c:noMultiLvlLbl val="0"/>
      </c:catAx>
      <c:valAx>
        <c:axId val="48796032"/>
        <c:scaling>
          <c:orientation val="minMax"/>
        </c:scaling>
        <c:delete val="0"/>
        <c:axPos val="b"/>
        <c:majorGridlines>
          <c:spPr>
            <a:ln>
              <a:prstDash val="sysDot"/>
            </a:ln>
          </c:spPr>
        </c:majorGridlines>
        <c:numFmt formatCode="0%" sourceLinked="1"/>
        <c:majorTickMark val="out"/>
        <c:minorTickMark val="none"/>
        <c:tickLblPos val="nextTo"/>
        <c:crossAx val="48786048"/>
        <c:crosses val="max"/>
        <c:crossBetween val="between"/>
        <c:majorUnit val="0.25"/>
      </c:valAx>
      <c:spPr>
        <a:noFill/>
        <a:ln>
          <a:noFill/>
        </a:ln>
      </c:spPr>
    </c:plotArea>
    <c:legend>
      <c:legendPos val="b"/>
      <c:layout>
        <c:manualLayout>
          <c:xMode val="edge"/>
          <c:yMode val="edge"/>
          <c:x val="0.21195292896080295"/>
          <c:y val="0.83579675634573625"/>
          <c:w val="0.58865276455827642"/>
          <c:h val="9.4317601977008281E-2"/>
        </c:manualLayout>
      </c:layout>
      <c:overlay val="0"/>
    </c:legend>
    <c:plotVisOnly val="1"/>
    <c:dispBlanksAs val="gap"/>
    <c:showDLblsOverMax val="0"/>
  </c:chart>
  <c:spPr>
    <a:solidFill>
      <a:srgbClr val="FFFFFF"/>
    </a:solidFill>
    <a:ln>
      <a:noFill/>
    </a:ln>
  </c:spPr>
  <c:txPr>
    <a:bodyPr/>
    <a:lstStyle/>
    <a:p>
      <a:pPr>
        <a:defRPr sz="800" baseline="0">
          <a:solidFill>
            <a:srgbClr val="003C64"/>
          </a:solidFill>
          <a:latin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3C64"/>
            </a:solidFill>
          </c:spPr>
          <c:invertIfNegative val="0"/>
          <c:dPt>
            <c:idx val="3"/>
            <c:invertIfNegative val="0"/>
            <c:bubble3D val="0"/>
            <c:spPr>
              <a:solidFill>
                <a:srgbClr val="4D7793"/>
              </a:solidFill>
            </c:spPr>
            <c:extLst>
              <c:ext xmlns:c16="http://schemas.microsoft.com/office/drawing/2014/chart" uri="{C3380CC4-5D6E-409C-BE32-E72D297353CC}">
                <c16:uniqueId val="{00000001-6ACA-436A-AC83-CDCDF0EDCA82}"/>
              </c:ext>
            </c:extLst>
          </c:dPt>
          <c:dPt>
            <c:idx val="5"/>
            <c:invertIfNegative val="0"/>
            <c:bubble3D val="0"/>
            <c:spPr>
              <a:solidFill>
                <a:srgbClr val="4D7793"/>
              </a:solidFill>
            </c:spPr>
            <c:extLst>
              <c:ext xmlns:c16="http://schemas.microsoft.com/office/drawing/2014/chart" uri="{C3380CC4-5D6E-409C-BE32-E72D297353CC}">
                <c16:uniqueId val="{00000003-6ACA-436A-AC83-CDCDF0EDCA82}"/>
              </c:ext>
            </c:extLst>
          </c:dPt>
          <c:dPt>
            <c:idx val="7"/>
            <c:invertIfNegative val="0"/>
            <c:bubble3D val="0"/>
            <c:spPr>
              <a:solidFill>
                <a:srgbClr val="4D7793"/>
              </a:solidFill>
            </c:spPr>
            <c:extLst>
              <c:ext xmlns:c16="http://schemas.microsoft.com/office/drawing/2014/chart" uri="{C3380CC4-5D6E-409C-BE32-E72D297353CC}">
                <c16:uniqueId val="{00000005-6ACA-436A-AC83-CDCDF0EDCA82}"/>
              </c:ext>
            </c:extLst>
          </c:dPt>
          <c:dPt>
            <c:idx val="9"/>
            <c:invertIfNegative val="0"/>
            <c:bubble3D val="0"/>
            <c:spPr>
              <a:solidFill>
                <a:srgbClr val="4D7793"/>
              </a:solidFill>
            </c:spPr>
            <c:extLst>
              <c:ext xmlns:c16="http://schemas.microsoft.com/office/drawing/2014/chart" uri="{C3380CC4-5D6E-409C-BE32-E72D297353CC}">
                <c16:uniqueId val="{00000007-6ACA-436A-AC83-CDCDF0EDCA82}"/>
              </c:ext>
            </c:extLst>
          </c:dPt>
          <c:dPt>
            <c:idx val="11"/>
            <c:invertIfNegative val="0"/>
            <c:bubble3D val="0"/>
            <c:spPr>
              <a:solidFill>
                <a:srgbClr val="4D7793"/>
              </a:solidFill>
            </c:spPr>
            <c:extLst>
              <c:ext xmlns:c16="http://schemas.microsoft.com/office/drawing/2014/chart" uri="{C3380CC4-5D6E-409C-BE32-E72D297353CC}">
                <c16:uniqueId val="{00000009-6ACA-436A-AC83-CDCDF0EDCA82}"/>
              </c:ext>
            </c:extLst>
          </c:dPt>
          <c:dPt>
            <c:idx val="13"/>
            <c:invertIfNegative val="0"/>
            <c:bubble3D val="0"/>
            <c:spPr>
              <a:solidFill>
                <a:srgbClr val="4D7793"/>
              </a:solidFill>
            </c:spPr>
            <c:extLst>
              <c:ext xmlns:c16="http://schemas.microsoft.com/office/drawing/2014/chart" uri="{C3380CC4-5D6E-409C-BE32-E72D297353CC}">
                <c16:uniqueId val="{0000000B-6ACA-436A-AC83-CDCDF0EDCA82}"/>
              </c:ext>
            </c:extLst>
          </c:dPt>
          <c:dPt>
            <c:idx val="15"/>
            <c:invertIfNegative val="0"/>
            <c:bubble3D val="0"/>
            <c:spPr>
              <a:solidFill>
                <a:srgbClr val="4D7793"/>
              </a:solidFill>
            </c:spPr>
            <c:extLst>
              <c:ext xmlns:c16="http://schemas.microsoft.com/office/drawing/2014/chart" uri="{C3380CC4-5D6E-409C-BE32-E72D297353CC}">
                <c16:uniqueId val="{0000000D-6ACA-436A-AC83-CDCDF0EDCA82}"/>
              </c:ext>
            </c:extLst>
          </c:dPt>
          <c:dPt>
            <c:idx val="17"/>
            <c:invertIfNegative val="0"/>
            <c:bubble3D val="0"/>
            <c:spPr>
              <a:solidFill>
                <a:srgbClr val="4D7793"/>
              </a:solidFill>
            </c:spPr>
            <c:extLst>
              <c:ext xmlns:c16="http://schemas.microsoft.com/office/drawing/2014/chart" uri="{C3380CC4-5D6E-409C-BE32-E72D297353CC}">
                <c16:uniqueId val="{0000000F-6ACA-436A-AC83-CDCDF0EDCA82}"/>
              </c:ext>
            </c:extLst>
          </c:dPt>
          <c:dPt>
            <c:idx val="19"/>
            <c:invertIfNegative val="0"/>
            <c:bubble3D val="0"/>
            <c:spPr>
              <a:solidFill>
                <a:srgbClr val="4D7793"/>
              </a:solidFill>
            </c:spPr>
            <c:extLst>
              <c:ext xmlns:c16="http://schemas.microsoft.com/office/drawing/2014/chart" uri="{C3380CC4-5D6E-409C-BE32-E72D297353CC}">
                <c16:uniqueId val="{00000011-6ACA-436A-AC83-CDCDF0EDCA82}"/>
              </c:ext>
            </c:extLst>
          </c:dPt>
          <c:dPt>
            <c:idx val="21"/>
            <c:invertIfNegative val="0"/>
            <c:bubble3D val="0"/>
            <c:spPr>
              <a:solidFill>
                <a:srgbClr val="4D7793"/>
              </a:solidFill>
            </c:spPr>
            <c:extLst>
              <c:ext xmlns:c16="http://schemas.microsoft.com/office/drawing/2014/chart" uri="{C3380CC4-5D6E-409C-BE32-E72D297353CC}">
                <c16:uniqueId val="{00000013-6ACA-436A-AC83-CDCDF0EDCA82}"/>
              </c:ext>
            </c:extLst>
          </c:dPt>
          <c:dPt>
            <c:idx val="23"/>
            <c:invertIfNegative val="0"/>
            <c:bubble3D val="0"/>
            <c:spPr>
              <a:solidFill>
                <a:srgbClr val="4D7793"/>
              </a:solidFill>
            </c:spPr>
            <c:extLst>
              <c:ext xmlns:c16="http://schemas.microsoft.com/office/drawing/2014/chart" uri="{C3380CC4-5D6E-409C-BE32-E72D297353CC}">
                <c16:uniqueId val="{00000015-6ACA-436A-AC83-CDCDF0EDCA82}"/>
              </c:ext>
            </c:extLst>
          </c:dPt>
          <c:dPt>
            <c:idx val="25"/>
            <c:invertIfNegative val="0"/>
            <c:bubble3D val="0"/>
            <c:spPr>
              <a:solidFill>
                <a:srgbClr val="4D7793"/>
              </a:solidFill>
            </c:spPr>
            <c:extLst>
              <c:ext xmlns:c16="http://schemas.microsoft.com/office/drawing/2014/chart" uri="{C3380CC4-5D6E-409C-BE32-E72D297353CC}">
                <c16:uniqueId val="{00000017-6ACA-436A-AC83-CDCDF0EDCA82}"/>
              </c:ext>
            </c:extLst>
          </c:dPt>
          <c:dPt>
            <c:idx val="27"/>
            <c:invertIfNegative val="0"/>
            <c:bubble3D val="0"/>
            <c:spPr>
              <a:solidFill>
                <a:srgbClr val="4D7793"/>
              </a:solidFill>
            </c:spPr>
            <c:extLst>
              <c:ext xmlns:c16="http://schemas.microsoft.com/office/drawing/2014/chart" uri="{C3380CC4-5D6E-409C-BE32-E72D297353CC}">
                <c16:uniqueId val="{00000019-6ACA-436A-AC83-CDCDF0EDCA82}"/>
              </c:ext>
            </c:extLst>
          </c:dPt>
          <c:dPt>
            <c:idx val="29"/>
            <c:invertIfNegative val="0"/>
            <c:bubble3D val="0"/>
            <c:spPr>
              <a:solidFill>
                <a:srgbClr val="4D7793"/>
              </a:solidFill>
            </c:spPr>
            <c:extLst>
              <c:ext xmlns:c16="http://schemas.microsoft.com/office/drawing/2014/chart" uri="{C3380CC4-5D6E-409C-BE32-E72D297353CC}">
                <c16:uniqueId val="{0000001B-6ACA-436A-AC83-CDCDF0EDCA82}"/>
              </c:ext>
            </c:extLst>
          </c:dPt>
          <c:dLbls>
            <c:dLbl>
              <c:idx val="3"/>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6ACA-436A-AC83-CDCDF0EDCA82}"/>
                </c:ext>
              </c:extLst>
            </c:dLbl>
            <c:dLbl>
              <c:idx val="5"/>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6ACA-436A-AC83-CDCDF0EDCA82}"/>
                </c:ext>
              </c:extLst>
            </c:dLbl>
            <c:dLbl>
              <c:idx val="7"/>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6ACA-436A-AC83-CDCDF0EDCA82}"/>
                </c:ext>
              </c:extLst>
            </c:dLbl>
            <c:dLbl>
              <c:idx val="9"/>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6ACA-436A-AC83-CDCDF0EDCA82}"/>
                </c:ext>
              </c:extLst>
            </c:dLbl>
            <c:dLbl>
              <c:idx val="11"/>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6ACA-436A-AC83-CDCDF0EDCA82}"/>
                </c:ext>
              </c:extLst>
            </c:dLbl>
            <c:dLbl>
              <c:idx val="13"/>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6ACA-436A-AC83-CDCDF0EDCA82}"/>
                </c:ext>
              </c:extLst>
            </c:dLbl>
            <c:dLbl>
              <c:idx val="15"/>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6ACA-436A-AC83-CDCDF0EDCA82}"/>
                </c:ext>
              </c:extLst>
            </c:dLbl>
            <c:dLbl>
              <c:idx val="17"/>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6ACA-436A-AC83-CDCDF0EDCA82}"/>
                </c:ext>
              </c:extLst>
            </c:dLbl>
            <c:dLbl>
              <c:idx val="19"/>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1-6ACA-436A-AC83-CDCDF0EDCA82}"/>
                </c:ext>
              </c:extLst>
            </c:dLbl>
            <c:dLbl>
              <c:idx val="21"/>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6ACA-436A-AC83-CDCDF0EDCA82}"/>
                </c:ext>
              </c:extLst>
            </c:dLbl>
            <c:dLbl>
              <c:idx val="23"/>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6ACA-436A-AC83-CDCDF0EDCA82}"/>
                </c:ext>
              </c:extLst>
            </c:dLbl>
            <c:dLbl>
              <c:idx val="25"/>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6ACA-436A-AC83-CDCDF0EDCA82}"/>
                </c:ext>
              </c:extLst>
            </c:dLbl>
            <c:dLbl>
              <c:idx val="27"/>
              <c:layout>
                <c:manualLayout>
                  <c:x val="0"/>
                  <c:y val="-9.2393112561059377E-17"/>
                </c:manualLayout>
              </c:layout>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ACA-436A-AC83-CDCDF0EDCA82}"/>
                </c:ext>
              </c:extLst>
            </c:dLbl>
            <c:dLbl>
              <c:idx val="29"/>
              <c:spPr>
                <a:noFill/>
                <a:ln>
                  <a:noFill/>
                </a:ln>
                <a:effectLst/>
              </c:spPr>
              <c:txPr>
                <a:bodyPr wrap="square" lIns="38100" tIns="19050" rIns="38100" bIns="19050" anchor="ctr">
                  <a:spAutoFit/>
                </a:bodyPr>
                <a:lstStyle/>
                <a:p>
                  <a:pPr>
                    <a:defRPr>
                      <a:solidFill>
                        <a:srgbClr val="4D7793"/>
                      </a:solidFill>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B-6ACA-436A-AC83-CDCDF0EDCA8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'Country of origin - columns'!$A$2:$A$27</c:f>
              <c:strCache>
                <c:ptCount val="26"/>
                <c:pt idx="0">
                  <c:v>Australia</c:v>
                </c:pt>
                <c:pt idx="1">
                  <c:v>Bulgaria</c:v>
                </c:pt>
                <c:pt idx="2">
                  <c:v>Canada</c:v>
                </c:pt>
                <c:pt idx="3">
                  <c:v>Estonia</c:v>
                </c:pt>
                <c:pt idx="4">
                  <c:v>Finland</c:v>
                </c:pt>
                <c:pt idx="5">
                  <c:v>Malta</c:v>
                </c:pt>
                <c:pt idx="6">
                  <c:v>Martinique</c:v>
                </c:pt>
                <c:pt idx="7">
                  <c:v>Romania</c:v>
                </c:pt>
                <c:pt idx="8">
                  <c:v>Slovenia</c:v>
                </c:pt>
                <c:pt idx="9">
                  <c:v>Sweden</c:v>
                </c:pt>
                <c:pt idx="10">
                  <c:v>Switzerland</c:v>
                </c:pt>
                <c:pt idx="11">
                  <c:v>Czechia</c:v>
                </c:pt>
                <c:pt idx="12">
                  <c:v>Greece</c:v>
                </c:pt>
                <c:pt idx="13">
                  <c:v>Hungary</c:v>
                </c:pt>
                <c:pt idx="14">
                  <c:v>Portugal</c:v>
                </c:pt>
                <c:pt idx="15">
                  <c:v>Slovakia</c:v>
                </c:pt>
                <c:pt idx="16">
                  <c:v>Denmark</c:v>
                </c:pt>
                <c:pt idx="17">
                  <c:v>Italy</c:v>
                </c:pt>
                <c:pt idx="18">
                  <c:v>United Kingdom</c:v>
                </c:pt>
                <c:pt idx="19">
                  <c:v>Austria</c:v>
                </c:pt>
                <c:pt idx="20">
                  <c:v>Netherlands</c:v>
                </c:pt>
                <c:pt idx="21">
                  <c:v>France</c:v>
                </c:pt>
                <c:pt idx="22">
                  <c:v>Ireland</c:v>
                </c:pt>
                <c:pt idx="23">
                  <c:v>Spain</c:v>
                </c:pt>
                <c:pt idx="24">
                  <c:v>Germany</c:v>
                </c:pt>
                <c:pt idx="25">
                  <c:v>Belgium</c:v>
                </c:pt>
              </c:strCache>
            </c:strRef>
          </c:cat>
          <c:val>
            <c:numRef>
              <c:f>'Country of origin - columns'!$B$2:$B$27</c:f>
              <c:numCache>
                <c:formatCode>General</c:formatCode>
                <c:ptCount val="26"/>
                <c:pt idx="0">
                  <c:v>1</c:v>
                </c:pt>
                <c:pt idx="1">
                  <c:v>1</c:v>
                </c:pt>
                <c:pt idx="2">
                  <c:v>1</c:v>
                </c:pt>
                <c:pt idx="3">
                  <c:v>1</c:v>
                </c:pt>
                <c:pt idx="4">
                  <c:v>1</c:v>
                </c:pt>
                <c:pt idx="5">
                  <c:v>1</c:v>
                </c:pt>
                <c:pt idx="6">
                  <c:v>1</c:v>
                </c:pt>
                <c:pt idx="7">
                  <c:v>1</c:v>
                </c:pt>
                <c:pt idx="8">
                  <c:v>1</c:v>
                </c:pt>
                <c:pt idx="9">
                  <c:v>1</c:v>
                </c:pt>
                <c:pt idx="10">
                  <c:v>1</c:v>
                </c:pt>
                <c:pt idx="11">
                  <c:v>2</c:v>
                </c:pt>
                <c:pt idx="12">
                  <c:v>2</c:v>
                </c:pt>
                <c:pt idx="13">
                  <c:v>2</c:v>
                </c:pt>
                <c:pt idx="14">
                  <c:v>2</c:v>
                </c:pt>
                <c:pt idx="15">
                  <c:v>2</c:v>
                </c:pt>
                <c:pt idx="16">
                  <c:v>3</c:v>
                </c:pt>
                <c:pt idx="17">
                  <c:v>3</c:v>
                </c:pt>
                <c:pt idx="18">
                  <c:v>3</c:v>
                </c:pt>
                <c:pt idx="19">
                  <c:v>4</c:v>
                </c:pt>
                <c:pt idx="20">
                  <c:v>5</c:v>
                </c:pt>
                <c:pt idx="21">
                  <c:v>6</c:v>
                </c:pt>
                <c:pt idx="22">
                  <c:v>6</c:v>
                </c:pt>
                <c:pt idx="23">
                  <c:v>9</c:v>
                </c:pt>
                <c:pt idx="24">
                  <c:v>12</c:v>
                </c:pt>
                <c:pt idx="25">
                  <c:v>31</c:v>
                </c:pt>
              </c:numCache>
            </c:numRef>
          </c:val>
          <c:extLst>
            <c:ext xmlns:c16="http://schemas.microsoft.com/office/drawing/2014/chart" uri="{C3380CC4-5D6E-409C-BE32-E72D297353CC}">
              <c16:uniqueId val="{0000001C-6ACA-436A-AC83-CDCDF0EDCA82}"/>
            </c:ext>
          </c:extLst>
        </c:ser>
        <c:dLbls>
          <c:showLegendKey val="0"/>
          <c:showVal val="0"/>
          <c:showCatName val="0"/>
          <c:showSerName val="0"/>
          <c:showPercent val="0"/>
          <c:showBubbleSize val="0"/>
        </c:dLbls>
        <c:gapWidth val="50"/>
        <c:axId val="107868544"/>
        <c:axId val="107870080"/>
      </c:barChart>
      <c:catAx>
        <c:axId val="107868544"/>
        <c:scaling>
          <c:orientation val="minMax"/>
        </c:scaling>
        <c:delete val="0"/>
        <c:axPos val="b"/>
        <c:numFmt formatCode="General" sourceLinked="1"/>
        <c:majorTickMark val="out"/>
        <c:minorTickMark val="none"/>
        <c:tickLblPos val="nextTo"/>
        <c:txPr>
          <a:bodyPr rot="-2700000" vert="horz"/>
          <a:lstStyle/>
          <a:p>
            <a:pPr>
              <a:defRPr/>
            </a:pPr>
            <a:endParaRPr lang="en-US"/>
          </a:p>
        </c:txPr>
        <c:crossAx val="107870080"/>
        <c:crosses val="autoZero"/>
        <c:auto val="1"/>
        <c:lblAlgn val="ctr"/>
        <c:lblOffset val="100"/>
        <c:noMultiLvlLbl val="0"/>
      </c:catAx>
      <c:valAx>
        <c:axId val="107870080"/>
        <c:scaling>
          <c:orientation val="minMax"/>
          <c:max val="35"/>
        </c:scaling>
        <c:delete val="0"/>
        <c:axPos val="l"/>
        <c:majorGridlines>
          <c:spPr>
            <a:ln>
              <a:prstDash val="sysDot"/>
            </a:ln>
          </c:spPr>
        </c:majorGridlines>
        <c:numFmt formatCode="General" sourceLinked="1"/>
        <c:majorTickMark val="out"/>
        <c:minorTickMark val="none"/>
        <c:tickLblPos val="nextTo"/>
        <c:crossAx val="107868544"/>
        <c:crosses val="autoZero"/>
        <c:crossBetween val="between"/>
      </c:valAx>
      <c:spPr>
        <a:noFill/>
        <a:ln>
          <a:noFill/>
        </a:ln>
      </c:spPr>
    </c:plotArea>
    <c:plotVisOnly val="1"/>
    <c:dispBlanksAs val="gap"/>
    <c:showDLblsOverMax val="0"/>
  </c:chart>
  <c:spPr>
    <a:solidFill>
      <a:srgbClr val="FFFFFF"/>
    </a:solidFill>
    <a:ln>
      <a:noFill/>
    </a:ln>
  </c:spPr>
  <c:txPr>
    <a:bodyPr/>
    <a:lstStyle/>
    <a:p>
      <a:pPr>
        <a:defRPr sz="800" baseline="0">
          <a:solidFill>
            <a:srgbClr val="003C64"/>
          </a:solidFill>
          <a:latin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[Portfolio analysis.xlsx]Statistics!PivotTable16</c:name>
    <c:fmtId val="-1"/>
  </c:pivotSource>
  <c:chart>
    <c:autoTitleDeleted val="1"/>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marker>
          <c:symbol val="none"/>
        </c:marker>
      </c:pivotFmt>
      <c:pivotFmt>
        <c:idx val="6"/>
        <c:spPr>
          <a:solidFill>
            <a:schemeClr val="accent2"/>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pivotFmt>
      <c:pivotFmt>
        <c:idx val="9"/>
        <c:spPr>
          <a:solidFill>
            <a:schemeClr val="accent2"/>
          </a:solidFill>
          <a:ln>
            <a:noFill/>
          </a:ln>
          <a:effectLst/>
        </c:spPr>
        <c:marker>
          <c:symbol val="none"/>
        </c:marker>
      </c:pivotFmt>
      <c:pivotFmt>
        <c:idx val="10"/>
        <c:spPr>
          <a:solidFill>
            <a:schemeClr val="accent2"/>
          </a:solidFill>
          <a:ln>
            <a:noFill/>
          </a:ln>
          <a:effectLst/>
        </c:spPr>
        <c:marker>
          <c:symbol val="none"/>
        </c:marker>
      </c:pivotFmt>
      <c:pivotFmt>
        <c:idx val="11"/>
        <c:spPr>
          <a:solidFill>
            <a:schemeClr val="accent2"/>
          </a:solidFill>
          <a:ln>
            <a:noFill/>
          </a:ln>
          <a:effectLst/>
        </c:spPr>
        <c:marker>
          <c:symbol val="none"/>
        </c:marker>
      </c:pivotFmt>
      <c:pivotFmt>
        <c:idx val="12"/>
        <c:spPr>
          <a:solidFill>
            <a:schemeClr val="accent2"/>
          </a:solidFill>
          <a:ln>
            <a:noFill/>
          </a:ln>
          <a:effectLst/>
        </c:spPr>
        <c:marker>
          <c:symbol val="none"/>
        </c:marker>
      </c:pivotFmt>
      <c:pivotFmt>
        <c:idx val="13"/>
        <c:spPr>
          <a:solidFill>
            <a:schemeClr val="accent2"/>
          </a:solidFill>
          <a:ln>
            <a:noFill/>
          </a:ln>
          <a:effectLst/>
        </c:spPr>
        <c:marker>
          <c:symbol val="none"/>
        </c:marker>
      </c:pivotFmt>
      <c:pivotFmt>
        <c:idx val="14"/>
        <c:spPr>
          <a:solidFill>
            <a:schemeClr val="accent2"/>
          </a:solidFill>
          <a:ln>
            <a:noFill/>
          </a:ln>
          <a:effectLst/>
        </c:spPr>
        <c:marker>
          <c:symbol val="none"/>
        </c:marker>
      </c:pivotFmt>
      <c:pivotFmt>
        <c:idx val="15"/>
        <c:spPr>
          <a:solidFill>
            <a:schemeClr val="accent2"/>
          </a:solidFill>
          <a:ln>
            <a:noFill/>
          </a:ln>
          <a:effectLst/>
        </c:spPr>
        <c:marker>
          <c:symbol val="none"/>
        </c:marker>
      </c:pivotFmt>
    </c:pivotFmts>
    <c:plotArea>
      <c:layout>
        <c:manualLayout>
          <c:layoutTarget val="inner"/>
          <c:xMode val="edge"/>
          <c:yMode val="edge"/>
          <c:x val="7.8655614192923731E-2"/>
          <c:y val="0.11887343429846578"/>
          <c:w val="0.65849191727189027"/>
          <c:h val="0.69293888601343234"/>
        </c:manualLayout>
      </c:layout>
      <c:barChart>
        <c:barDir val="col"/>
        <c:grouping val="percentStacked"/>
        <c:varyColors val="0"/>
        <c:ser>
          <c:idx val="0"/>
          <c:order val="0"/>
          <c:tx>
            <c:strRef>
              <c:f>Statistics!$B$99:$B$100</c:f>
              <c:strCache>
                <c:ptCount val="1"/>
                <c:pt idx="0">
                  <c:v>Ahead of schedule</c:v>
                </c:pt>
              </c:strCache>
            </c:strRef>
          </c:tx>
          <c:spPr>
            <a:solidFill>
              <a:srgbClr val="92D050"/>
            </a:solidFill>
            <a:ln>
              <a:noFill/>
            </a:ln>
            <a:effectLst/>
          </c:spPr>
          <c:invertIfNegative val="0"/>
          <c:cat>
            <c:multiLvlStrRef>
              <c:f>Statistics!$A$101:$A$111</c:f>
              <c:multiLvlStrCache>
                <c:ptCount val="8"/>
                <c:lvl>
                  <c:pt idx="0">
                    <c:v>2015</c:v>
                  </c:pt>
                  <c:pt idx="1">
                    <c:v>2016</c:v>
                  </c:pt>
                  <c:pt idx="2">
                    <c:v>2017</c:v>
                  </c:pt>
                  <c:pt idx="3">
                    <c:v>2018</c:v>
                  </c:pt>
                  <c:pt idx="4">
                    <c:v>2015</c:v>
                  </c:pt>
                  <c:pt idx="5">
                    <c:v>2016</c:v>
                  </c:pt>
                  <c:pt idx="6">
                    <c:v>2017</c:v>
                  </c:pt>
                  <c:pt idx="7">
                    <c:v>2018</c:v>
                  </c:pt>
                </c:lvl>
                <c:lvl>
                  <c:pt idx="0">
                    <c:v>Electricity</c:v>
                  </c:pt>
                  <c:pt idx="4">
                    <c:v>Gas</c:v>
                  </c:pt>
                </c:lvl>
              </c:multiLvlStrCache>
            </c:multiLvlStrRef>
          </c:cat>
          <c:val>
            <c:numRef>
              <c:f>Statistics!$B$101:$B$111</c:f>
              <c:numCache>
                <c:formatCode>0.00%</c:formatCode>
                <c:ptCount val="8"/>
                <c:pt idx="0">
                  <c:v>0</c:v>
                </c:pt>
                <c:pt idx="1">
                  <c:v>5.2631578947368418E-2</c:v>
                </c:pt>
                <c:pt idx="2">
                  <c:v>2.8037383177570093E-2</c:v>
                </c:pt>
                <c:pt idx="3">
                  <c:v>4.49438202247191E-2</c:v>
                </c:pt>
                <c:pt idx="4">
                  <c:v>0</c:v>
                </c:pt>
                <c:pt idx="5">
                  <c:v>0</c:v>
                </c:pt>
                <c:pt idx="6">
                  <c:v>0</c:v>
                </c:pt>
                <c:pt idx="7">
                  <c:v>1.1494252873563218E-2</c:v>
                </c:pt>
              </c:numCache>
            </c:numRef>
          </c:val>
          <c:extLst>
            <c:ext xmlns:c16="http://schemas.microsoft.com/office/drawing/2014/chart" uri="{C3380CC4-5D6E-409C-BE32-E72D297353CC}">
              <c16:uniqueId val="{00000000-2F8E-4527-A231-ABB47362890F}"/>
            </c:ext>
          </c:extLst>
        </c:ser>
        <c:ser>
          <c:idx val="1"/>
          <c:order val="1"/>
          <c:tx>
            <c:strRef>
              <c:f>Statistics!$C$99:$C$100</c:f>
              <c:strCache>
                <c:ptCount val="1"/>
                <c:pt idx="0">
                  <c:v>On time</c:v>
                </c:pt>
              </c:strCache>
            </c:strRef>
          </c:tx>
          <c:spPr>
            <a:solidFill>
              <a:srgbClr val="3FA8DF"/>
            </a:solidFill>
            <a:ln>
              <a:noFill/>
            </a:ln>
            <a:effectLst/>
          </c:spPr>
          <c:invertIfNegative val="0"/>
          <c:cat>
            <c:multiLvlStrRef>
              <c:f>Statistics!$A$101:$A$111</c:f>
              <c:multiLvlStrCache>
                <c:ptCount val="8"/>
                <c:lvl>
                  <c:pt idx="0">
                    <c:v>2015</c:v>
                  </c:pt>
                  <c:pt idx="1">
                    <c:v>2016</c:v>
                  </c:pt>
                  <c:pt idx="2">
                    <c:v>2017</c:v>
                  </c:pt>
                  <c:pt idx="3">
                    <c:v>2018</c:v>
                  </c:pt>
                  <c:pt idx="4">
                    <c:v>2015</c:v>
                  </c:pt>
                  <c:pt idx="5">
                    <c:v>2016</c:v>
                  </c:pt>
                  <c:pt idx="6">
                    <c:v>2017</c:v>
                  </c:pt>
                  <c:pt idx="7">
                    <c:v>2018</c:v>
                  </c:pt>
                </c:lvl>
                <c:lvl>
                  <c:pt idx="0">
                    <c:v>Electricity</c:v>
                  </c:pt>
                  <c:pt idx="4">
                    <c:v>Gas</c:v>
                  </c:pt>
                </c:lvl>
              </c:multiLvlStrCache>
            </c:multiLvlStrRef>
          </c:cat>
          <c:val>
            <c:numRef>
              <c:f>Statistics!$C$101:$C$111</c:f>
              <c:numCache>
                <c:formatCode>0.00%</c:formatCode>
                <c:ptCount val="8"/>
                <c:pt idx="0">
                  <c:v>0.37037037037037035</c:v>
                </c:pt>
                <c:pt idx="1">
                  <c:v>0.52631578947368418</c:v>
                </c:pt>
                <c:pt idx="2">
                  <c:v>0.50467289719626163</c:v>
                </c:pt>
                <c:pt idx="3">
                  <c:v>0.5393258426966292</c:v>
                </c:pt>
                <c:pt idx="4">
                  <c:v>0.2</c:v>
                </c:pt>
                <c:pt idx="5">
                  <c:v>0.31168831168831168</c:v>
                </c:pt>
                <c:pt idx="6">
                  <c:v>0.53846153846153844</c:v>
                </c:pt>
                <c:pt idx="7">
                  <c:v>0.50574712643678166</c:v>
                </c:pt>
              </c:numCache>
            </c:numRef>
          </c:val>
          <c:extLst>
            <c:ext xmlns:c16="http://schemas.microsoft.com/office/drawing/2014/chart" uri="{C3380CC4-5D6E-409C-BE32-E72D297353CC}">
              <c16:uniqueId val="{00000001-2F8E-4527-A231-ABB47362890F}"/>
            </c:ext>
          </c:extLst>
        </c:ser>
        <c:ser>
          <c:idx val="2"/>
          <c:order val="2"/>
          <c:tx>
            <c:strRef>
              <c:f>Statistics!$D$99:$D$100</c:f>
              <c:strCache>
                <c:ptCount val="1"/>
                <c:pt idx="0">
                  <c:v>Rescheduled</c:v>
                </c:pt>
              </c:strCache>
            </c:strRef>
          </c:tx>
          <c:spPr>
            <a:solidFill>
              <a:schemeClr val="accent6"/>
            </a:solidFill>
            <a:ln>
              <a:noFill/>
            </a:ln>
            <a:effectLst/>
          </c:spPr>
          <c:invertIfNegative val="0"/>
          <c:cat>
            <c:multiLvlStrRef>
              <c:f>Statistics!$A$101:$A$111</c:f>
              <c:multiLvlStrCache>
                <c:ptCount val="8"/>
                <c:lvl>
                  <c:pt idx="0">
                    <c:v>2015</c:v>
                  </c:pt>
                  <c:pt idx="1">
                    <c:v>2016</c:v>
                  </c:pt>
                  <c:pt idx="2">
                    <c:v>2017</c:v>
                  </c:pt>
                  <c:pt idx="3">
                    <c:v>2018</c:v>
                  </c:pt>
                  <c:pt idx="4">
                    <c:v>2015</c:v>
                  </c:pt>
                  <c:pt idx="5">
                    <c:v>2016</c:v>
                  </c:pt>
                  <c:pt idx="6">
                    <c:v>2017</c:v>
                  </c:pt>
                  <c:pt idx="7">
                    <c:v>2018</c:v>
                  </c:pt>
                </c:lvl>
                <c:lvl>
                  <c:pt idx="0">
                    <c:v>Electricity</c:v>
                  </c:pt>
                  <c:pt idx="4">
                    <c:v>Gas</c:v>
                  </c:pt>
                </c:lvl>
              </c:multiLvlStrCache>
            </c:multiLvlStrRef>
          </c:cat>
          <c:val>
            <c:numRef>
              <c:f>Statistics!$D$101:$D$111</c:f>
              <c:numCache>
                <c:formatCode>0.00%</c:formatCode>
                <c:ptCount val="8"/>
                <c:pt idx="0">
                  <c:v>0.33333333333333331</c:v>
                </c:pt>
                <c:pt idx="1">
                  <c:v>0.26315789473684209</c:v>
                </c:pt>
                <c:pt idx="2">
                  <c:v>0.14018691588785046</c:v>
                </c:pt>
                <c:pt idx="3">
                  <c:v>0.1348314606741573</c:v>
                </c:pt>
                <c:pt idx="4">
                  <c:v>0.56000000000000005</c:v>
                </c:pt>
                <c:pt idx="5">
                  <c:v>0.40259740259740262</c:v>
                </c:pt>
                <c:pt idx="6">
                  <c:v>0.14102564102564102</c:v>
                </c:pt>
                <c:pt idx="7">
                  <c:v>0.2988505747126437</c:v>
                </c:pt>
              </c:numCache>
            </c:numRef>
          </c:val>
          <c:extLst>
            <c:ext xmlns:c16="http://schemas.microsoft.com/office/drawing/2014/chart" uri="{C3380CC4-5D6E-409C-BE32-E72D297353CC}">
              <c16:uniqueId val="{00000002-2F8E-4527-A231-ABB47362890F}"/>
            </c:ext>
          </c:extLst>
        </c:ser>
        <c:ser>
          <c:idx val="3"/>
          <c:order val="3"/>
          <c:tx>
            <c:strRef>
              <c:f>Statistics!$E$99:$E$100</c:f>
              <c:strCache>
                <c:ptCount val="1"/>
                <c:pt idx="0">
                  <c:v>Delayed</c:v>
                </c:pt>
              </c:strCache>
            </c:strRef>
          </c:tx>
          <c:spPr>
            <a:solidFill>
              <a:srgbClr val="FF0000"/>
            </a:solidFill>
            <a:ln>
              <a:noFill/>
            </a:ln>
            <a:effectLst/>
          </c:spPr>
          <c:invertIfNegative val="0"/>
          <c:cat>
            <c:multiLvlStrRef>
              <c:f>Statistics!$A$101:$A$111</c:f>
              <c:multiLvlStrCache>
                <c:ptCount val="8"/>
                <c:lvl>
                  <c:pt idx="0">
                    <c:v>2015</c:v>
                  </c:pt>
                  <c:pt idx="1">
                    <c:v>2016</c:v>
                  </c:pt>
                  <c:pt idx="2">
                    <c:v>2017</c:v>
                  </c:pt>
                  <c:pt idx="3">
                    <c:v>2018</c:v>
                  </c:pt>
                  <c:pt idx="4">
                    <c:v>2015</c:v>
                  </c:pt>
                  <c:pt idx="5">
                    <c:v>2016</c:v>
                  </c:pt>
                  <c:pt idx="6">
                    <c:v>2017</c:v>
                  </c:pt>
                  <c:pt idx="7">
                    <c:v>2018</c:v>
                  </c:pt>
                </c:lvl>
                <c:lvl>
                  <c:pt idx="0">
                    <c:v>Electricity</c:v>
                  </c:pt>
                  <c:pt idx="4">
                    <c:v>Gas</c:v>
                  </c:pt>
                </c:lvl>
              </c:multiLvlStrCache>
            </c:multiLvlStrRef>
          </c:cat>
          <c:val>
            <c:numRef>
              <c:f>Statistics!$E$101:$E$111</c:f>
              <c:numCache>
                <c:formatCode>0.00%</c:formatCode>
                <c:ptCount val="8"/>
                <c:pt idx="0">
                  <c:v>0.29629629629629628</c:v>
                </c:pt>
                <c:pt idx="1">
                  <c:v>0.15789473684210525</c:v>
                </c:pt>
                <c:pt idx="2">
                  <c:v>0.32710280373831774</c:v>
                </c:pt>
                <c:pt idx="3">
                  <c:v>0.2808988764044944</c:v>
                </c:pt>
                <c:pt idx="4">
                  <c:v>0.24</c:v>
                </c:pt>
                <c:pt idx="5">
                  <c:v>0.2857142857142857</c:v>
                </c:pt>
                <c:pt idx="6">
                  <c:v>0.32051282051282054</c:v>
                </c:pt>
                <c:pt idx="7">
                  <c:v>0.18390804597701149</c:v>
                </c:pt>
              </c:numCache>
            </c:numRef>
          </c:val>
          <c:extLst>
            <c:ext xmlns:c16="http://schemas.microsoft.com/office/drawing/2014/chart" uri="{C3380CC4-5D6E-409C-BE32-E72D297353CC}">
              <c16:uniqueId val="{00000003-2F8E-4527-A231-ABB47362890F}"/>
            </c:ext>
          </c:extLst>
        </c:ser>
        <c:dLbls>
          <c:showLegendKey val="0"/>
          <c:showVal val="0"/>
          <c:showCatName val="0"/>
          <c:showSerName val="0"/>
          <c:showPercent val="0"/>
          <c:showBubbleSize val="0"/>
        </c:dLbls>
        <c:gapWidth val="219"/>
        <c:overlap val="100"/>
        <c:axId val="108081152"/>
        <c:axId val="108082688"/>
      </c:barChart>
      <c:catAx>
        <c:axId val="10808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82688"/>
        <c:crosses val="autoZero"/>
        <c:auto val="1"/>
        <c:lblAlgn val="ctr"/>
        <c:lblOffset val="100"/>
        <c:noMultiLvlLbl val="0"/>
      </c:catAx>
      <c:valAx>
        <c:axId val="10808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81152"/>
        <c:crosses val="autoZero"/>
        <c:crossBetween val="between"/>
      </c:valAx>
      <c:spPr>
        <a:noFill/>
        <a:ln>
          <a:noFill/>
        </a:ln>
        <a:effectLst/>
      </c:spPr>
    </c:plotArea>
    <c:legend>
      <c:legendPos val="r"/>
      <c:layout>
        <c:manualLayout>
          <c:xMode val="edge"/>
          <c:yMode val="edge"/>
          <c:x val="0.76714151066888936"/>
          <c:y val="0.30578185381041645"/>
          <c:w val="0.20916730390742388"/>
          <c:h val="0.386401851044615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Sheet1!$B$28</c:f>
              <c:strCache>
                <c:ptCount val="1"/>
              </c:strCache>
            </c:strRef>
          </c:tx>
          <c:invertIfNegative val="0"/>
          <c:dPt>
            <c:idx val="27"/>
            <c:invertIfNegative val="0"/>
            <c:bubble3D val="0"/>
            <c:extLst>
              <c:ext xmlns:c16="http://schemas.microsoft.com/office/drawing/2014/chart" uri="{C3380CC4-5D6E-409C-BE32-E72D297353CC}">
                <c16:uniqueId val="{00000000-7BAA-43A4-8503-AC6844851210}"/>
              </c:ext>
            </c:extLst>
          </c:dPt>
          <c:dPt>
            <c:idx val="29"/>
            <c:invertIfNegative val="0"/>
            <c:bubble3D val="0"/>
            <c:extLst>
              <c:ext xmlns:c16="http://schemas.microsoft.com/office/drawing/2014/chart" uri="{C3380CC4-5D6E-409C-BE32-E72D297353CC}">
                <c16:uniqueId val="{00000001-7BAA-43A4-8503-AC6844851210}"/>
              </c:ext>
            </c:extLst>
          </c:dPt>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Sheet1!$A$29:$A$39</c:f>
              <c:strCache>
                <c:ptCount val="11"/>
                <c:pt idx="0">
                  <c:v>less than 1 year</c:v>
                </c:pt>
                <c:pt idx="1">
                  <c:v>between 1 and 2 years</c:v>
                </c:pt>
                <c:pt idx="2">
                  <c:v>between 2 and 3 years</c:v>
                </c:pt>
                <c:pt idx="3">
                  <c:v>between 3 and 4 years</c:v>
                </c:pt>
                <c:pt idx="4">
                  <c:v>between 4 and 5 years</c:v>
                </c:pt>
                <c:pt idx="5">
                  <c:v>between 5 and 6 years</c:v>
                </c:pt>
                <c:pt idx="6">
                  <c:v>between 6 and 7 years</c:v>
                </c:pt>
                <c:pt idx="7">
                  <c:v>between 7 and 8 years</c:v>
                </c:pt>
                <c:pt idx="8">
                  <c:v>between 8 and 9 years</c:v>
                </c:pt>
                <c:pt idx="9">
                  <c:v>between 9 and 10 years</c:v>
                </c:pt>
                <c:pt idx="10">
                  <c:v>more than 10 years</c:v>
                </c:pt>
              </c:strCache>
            </c:strRef>
          </c:cat>
          <c:val>
            <c:numRef>
              <c:f>Sheet1!$B$29:$B$39</c:f>
              <c:numCache>
                <c:formatCode>General</c:formatCode>
                <c:ptCount val="11"/>
                <c:pt idx="0">
                  <c:v>22</c:v>
                </c:pt>
                <c:pt idx="1">
                  <c:v>25</c:v>
                </c:pt>
                <c:pt idx="2">
                  <c:v>13</c:v>
                </c:pt>
                <c:pt idx="3">
                  <c:v>11</c:v>
                </c:pt>
                <c:pt idx="4">
                  <c:v>3</c:v>
                </c:pt>
                <c:pt idx="5">
                  <c:v>6</c:v>
                </c:pt>
                <c:pt idx="6">
                  <c:v>2</c:v>
                </c:pt>
                <c:pt idx="7">
                  <c:v>3</c:v>
                </c:pt>
                <c:pt idx="8">
                  <c:v>3</c:v>
                </c:pt>
                <c:pt idx="9">
                  <c:v>2</c:v>
                </c:pt>
                <c:pt idx="10">
                  <c:v>5</c:v>
                </c:pt>
              </c:numCache>
            </c:numRef>
          </c:val>
          <c:extLst>
            <c:ext xmlns:c16="http://schemas.microsoft.com/office/drawing/2014/chart" uri="{C3380CC4-5D6E-409C-BE32-E72D297353CC}">
              <c16:uniqueId val="{00000002-7BAA-43A4-8503-AC6844851210}"/>
            </c:ext>
          </c:extLst>
        </c:ser>
        <c:dLbls>
          <c:dLblPos val="ctr"/>
          <c:showLegendKey val="0"/>
          <c:showVal val="1"/>
          <c:showCatName val="0"/>
          <c:showSerName val="0"/>
          <c:showPercent val="0"/>
          <c:showBubbleSize val="0"/>
        </c:dLbls>
        <c:gapWidth val="50"/>
        <c:overlap val="100"/>
        <c:axId val="108112128"/>
        <c:axId val="108131456"/>
      </c:barChart>
      <c:catAx>
        <c:axId val="108112128"/>
        <c:scaling>
          <c:orientation val="minMax"/>
        </c:scaling>
        <c:delete val="0"/>
        <c:axPos val="b"/>
        <c:numFmt formatCode="General" sourceLinked="1"/>
        <c:majorTickMark val="out"/>
        <c:minorTickMark val="none"/>
        <c:tickLblPos val="nextTo"/>
        <c:txPr>
          <a:bodyPr rot="-2700000" vert="horz"/>
          <a:lstStyle/>
          <a:p>
            <a:pPr>
              <a:defRPr/>
            </a:pPr>
            <a:endParaRPr lang="en-US"/>
          </a:p>
        </c:txPr>
        <c:crossAx val="108131456"/>
        <c:crosses val="autoZero"/>
        <c:auto val="1"/>
        <c:lblAlgn val="ctr"/>
        <c:lblOffset val="100"/>
        <c:noMultiLvlLbl val="0"/>
      </c:catAx>
      <c:valAx>
        <c:axId val="108131456"/>
        <c:scaling>
          <c:orientation val="minMax"/>
          <c:max val="25"/>
        </c:scaling>
        <c:delete val="0"/>
        <c:axPos val="l"/>
        <c:majorGridlines>
          <c:spPr>
            <a:ln>
              <a:prstDash val="sysDot"/>
            </a:ln>
          </c:spPr>
        </c:majorGridlines>
        <c:title>
          <c:tx>
            <c:rich>
              <a:bodyPr/>
              <a:lstStyle/>
              <a:p>
                <a:pPr>
                  <a:defRPr/>
                </a:pPr>
                <a:r>
                  <a:rPr lang="en-GB"/>
                  <a:t>Number of projects</a:t>
                </a:r>
              </a:p>
            </c:rich>
          </c:tx>
          <c:overlay val="0"/>
        </c:title>
        <c:numFmt formatCode="General" sourceLinked="1"/>
        <c:majorTickMark val="out"/>
        <c:minorTickMark val="none"/>
        <c:tickLblPos val="nextTo"/>
        <c:crossAx val="108112128"/>
        <c:crosses val="autoZero"/>
        <c:crossBetween val="between"/>
      </c:valAx>
      <c:spPr>
        <a:noFill/>
        <a:ln>
          <a:noFill/>
        </a:ln>
      </c:spPr>
    </c:plotArea>
    <c:plotVisOnly val="1"/>
    <c:dispBlanksAs val="gap"/>
    <c:showDLblsOverMax val="0"/>
  </c:chart>
  <c:spPr>
    <a:solidFill>
      <a:srgbClr val="FFFFFF"/>
    </a:solidFill>
    <a:ln>
      <a:noFill/>
    </a:ln>
  </c:spPr>
  <c:txPr>
    <a:bodyPr/>
    <a:lstStyle/>
    <a:p>
      <a:pPr>
        <a:defRPr sz="800" baseline="0">
          <a:solidFill>
            <a:srgbClr val="003C64"/>
          </a:solidFill>
          <a:latin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corys">
    <a:dk1>
      <a:sysClr val="windowText" lastClr="000000"/>
    </a:dk1>
    <a:lt1>
      <a:srgbClr val="FFFFFF"/>
    </a:lt1>
    <a:dk2>
      <a:srgbClr val="006DB6"/>
    </a:dk2>
    <a:lt2>
      <a:srgbClr val="003C64"/>
    </a:lt2>
    <a:accent1>
      <a:srgbClr val="009696"/>
    </a:accent1>
    <a:accent2>
      <a:srgbClr val="A0BE00"/>
    </a:accent2>
    <a:accent3>
      <a:srgbClr val="F49A00"/>
    </a:accent3>
    <a:accent4>
      <a:srgbClr val="E30052"/>
    </a:accent4>
    <a:accent5>
      <a:srgbClr val="980D7D"/>
    </a:accent5>
    <a:accent6>
      <a:srgbClr val="4E93CA"/>
    </a:accent6>
    <a:hlink>
      <a:srgbClr val="32648B"/>
    </a:hlink>
    <a:folHlink>
      <a:srgbClr val="A0A5A5"/>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corys">
    <a:dk1>
      <a:sysClr val="windowText" lastClr="000000"/>
    </a:dk1>
    <a:lt1>
      <a:srgbClr val="FFFFFF"/>
    </a:lt1>
    <a:dk2>
      <a:srgbClr val="006DB6"/>
    </a:dk2>
    <a:lt2>
      <a:srgbClr val="003C64"/>
    </a:lt2>
    <a:accent1>
      <a:srgbClr val="009696"/>
    </a:accent1>
    <a:accent2>
      <a:srgbClr val="A0BE00"/>
    </a:accent2>
    <a:accent3>
      <a:srgbClr val="F49A00"/>
    </a:accent3>
    <a:accent4>
      <a:srgbClr val="E30052"/>
    </a:accent4>
    <a:accent5>
      <a:srgbClr val="980D7D"/>
    </a:accent5>
    <a:accent6>
      <a:srgbClr val="4E93CA"/>
    </a:accent6>
    <a:hlink>
      <a:srgbClr val="32648B"/>
    </a:hlink>
    <a:folHlink>
      <a:srgbClr val="A0A5A5"/>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corys">
    <a:dk1>
      <a:sysClr val="windowText" lastClr="000000"/>
    </a:dk1>
    <a:lt1>
      <a:srgbClr val="FFFFFF"/>
    </a:lt1>
    <a:dk2>
      <a:srgbClr val="006DB6"/>
    </a:dk2>
    <a:lt2>
      <a:srgbClr val="003C64"/>
    </a:lt2>
    <a:accent1>
      <a:srgbClr val="009696"/>
    </a:accent1>
    <a:accent2>
      <a:srgbClr val="A0BE00"/>
    </a:accent2>
    <a:accent3>
      <a:srgbClr val="F49A00"/>
    </a:accent3>
    <a:accent4>
      <a:srgbClr val="E30052"/>
    </a:accent4>
    <a:accent5>
      <a:srgbClr val="980D7D"/>
    </a:accent5>
    <a:accent6>
      <a:srgbClr val="4E93CA"/>
    </a:accent6>
    <a:hlink>
      <a:srgbClr val="32648B"/>
    </a:hlink>
    <a:folHlink>
      <a:srgbClr val="A0A5A5"/>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DC76FC438B624BA0D216F9722740C8" ma:contentTypeVersion="0" ma:contentTypeDescription="Create a new document." ma:contentTypeScope="" ma:versionID="86cde22c9af058fe999893ff97bf9bc9">
  <xsd:schema xmlns:xsd="http://www.w3.org/2001/XMLSchema" xmlns:xs="http://www.w3.org/2001/XMLSchema" xmlns:p="http://schemas.microsoft.com/office/2006/metadata/properties" targetNamespace="http://schemas.microsoft.com/office/2006/metadata/properties" ma:root="true" ma:fieldsID="c2046089f304ccdf4fa9ad2f3e4da42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420B3-FE84-4754-BB75-35BDF2636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078973-2C73-49F9-A083-66EF1AEA83B1}">
  <ds:schemaRefs>
    <ds:schemaRef ds:uri="http://schemas.microsoft.com/sharepoint/v3/contenttype/forms"/>
  </ds:schemaRefs>
</ds:datastoreItem>
</file>

<file path=customXml/itemProps3.xml><?xml version="1.0" encoding="utf-8"?>
<ds:datastoreItem xmlns:ds="http://schemas.openxmlformats.org/officeDocument/2006/customXml" ds:itemID="{C540E3DB-21BF-4E4F-B16F-6E0EF52A13E4}">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D727980E-1452-4FFD-9A15-148C21A4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152</Pages>
  <Words>57082</Words>
  <Characters>323659</Characters>
  <Application>Microsoft Office Word</Application>
  <DocSecurity>0</DocSecurity>
  <Lines>6605</Lines>
  <Paragraphs>2252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KOUTZIAVASILI Dimitra (SG)</cp:lastModifiedBy>
  <cp:revision>16</cp:revision>
  <dcterms:created xsi:type="dcterms:W3CDTF">2021-01-22T14:09:00Z</dcterms:created>
  <dcterms:modified xsi:type="dcterms:W3CDTF">2021-01-22T15:49:00Z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7.0.1, Build 20190916</vt:lpwstr>
  </property>
  <property fmtid="{D5CDD505-2E9C-101B-9397-08002B2CF9AE}" pid="5" name="IsMyDocuments">
    <vt:bool>true</vt:bool>
  </property>
  <property fmtid="{D5CDD505-2E9C-101B-9397-08002B2CF9AE}" pid="6" name="Part">
    <vt:lpwstr>1</vt:lpwstr>
  </property>
  <property fmtid="{D5CDD505-2E9C-101B-9397-08002B2CF9AE}" pid="7" name="Total parts">
    <vt:lpwstr>1</vt:lpwstr>
  </property>
  <property fmtid="{D5CDD505-2E9C-101B-9397-08002B2CF9AE}" pid="8" name="CPTemplateID">
    <vt:lpwstr>CP-026</vt:lpwstr>
  </property>
  <property fmtid="{D5CDD505-2E9C-101B-9397-08002B2CF9AE}" pid="9" name="_LW_INVALIDATED__LW_INVALIDATED__LW_INVALIDATED__LW_INVALIDATED__LW_INVALIDATED__LW_INVALIDATED__LW_INVALIDATED__LW_INVALIDATED__LW_INVALIDATED_ContentTypeId">
    <vt:lpwstr>0x01010060DC76FC438B624BA0D216F9722740C8</vt:lpwstr>
  </property>
</Properties>
</file>