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85" w:rsidRDefault="00C01F68" w:rsidP="00C01F6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9386E77B-7D04-4B5A-9D58-09840ABFA6B4" style="width:450.6pt;height:409.2pt">
            <v:imagedata r:id="rId7" o:title=""/>
          </v:shape>
        </w:pict>
      </w:r>
    </w:p>
    <w:p w:rsidR="00DE6585" w:rsidRDefault="00DE6585">
      <w:pPr>
        <w:rPr>
          <w:noProof/>
        </w:rPr>
        <w:sectPr w:rsidR="00DE6585" w:rsidSect="00C01F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6585" w:rsidRDefault="00C01F68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 w:rsidR="00DE6585" w:rsidRDefault="00DE6585">
      <w:pPr>
        <w:jc w:val="center"/>
        <w:rPr>
          <w:b/>
          <w:noProof/>
        </w:rPr>
      </w:pPr>
    </w:p>
    <w:p w:rsidR="00DE6585" w:rsidRDefault="00C01F68">
      <w:pPr>
        <w:jc w:val="center"/>
        <w:rPr>
          <w:b/>
          <w:noProof/>
        </w:rPr>
      </w:pPr>
      <w:r>
        <w:rPr>
          <w:b/>
          <w:noProof/>
        </w:rPr>
        <w:t xml:space="preserve">УКАЗАНИЯ ЗА ВОДЕНЕ НА ПРЕГОВОРИ ПО СПОРАЗУМЕНИЕ МЕЖДУ Европейския съюз и Монголия относно географските означения </w:t>
      </w:r>
    </w:p>
    <w:p w:rsidR="00DE6585" w:rsidRDefault="00DE6585">
      <w:pPr>
        <w:rPr>
          <w:noProof/>
        </w:rPr>
      </w:pPr>
    </w:p>
    <w:p w:rsidR="00DE6585" w:rsidRDefault="00C01F68">
      <w:pPr>
        <w:rPr>
          <w:b/>
          <w:noProof/>
        </w:rPr>
      </w:pPr>
      <w:r>
        <w:rPr>
          <w:b/>
          <w:noProof/>
        </w:rPr>
        <w:t xml:space="preserve">A. ЕСТЕСТВО И ОБХВАТ НА СПОРАЗУМЕНИЕТО </w:t>
      </w:r>
    </w:p>
    <w:p w:rsidR="00DE6585" w:rsidRDefault="00C01F68">
      <w:pPr>
        <w:rPr>
          <w:noProof/>
        </w:rPr>
      </w:pPr>
      <w:r>
        <w:rPr>
          <w:noProof/>
        </w:rPr>
        <w:t xml:space="preserve">Споразумението следва да съдържа само разпоредби относно географските означения за селскостопански продукти и храни, вина, спиртни напитки и ароматизирани вина. </w:t>
      </w:r>
    </w:p>
    <w:p w:rsidR="00DE6585" w:rsidRDefault="00C01F68">
      <w:pPr>
        <w:rPr>
          <w:b/>
          <w:noProof/>
        </w:rPr>
      </w:pPr>
      <w:r>
        <w:rPr>
          <w:b/>
          <w:noProof/>
        </w:rPr>
        <w:t xml:space="preserve">Б. ПРЕДЛОЖЕНИЕ ЗА СЪДЪРЖАНИЕ НА СПОРАЗУМЕНИЕТО </w:t>
      </w:r>
    </w:p>
    <w:p w:rsidR="00DE6585" w:rsidRDefault="00C01F68">
      <w:pPr>
        <w:rPr>
          <w:noProof/>
        </w:rPr>
      </w:pPr>
      <w:r>
        <w:rPr>
          <w:noProof/>
        </w:rPr>
        <w:t>Спораз</w:t>
      </w:r>
      <w:r>
        <w:rPr>
          <w:noProof/>
        </w:rPr>
        <w:t>умението следва да допълни и доразвие Споразумението за свързаните с търговията аспекти на правата върху интелектуалната собственост (ТРИПС), като разшири настоящите правила, предвидени в ТРИПС, с цел да гарантира по-високо, адекватно и ефективно равнище н</w:t>
      </w:r>
      <w:r>
        <w:rPr>
          <w:noProof/>
        </w:rPr>
        <w:t>а закрила и прилагане на правата върху географските означения. Целта на споразумението следва да бъде подобряване на ефективността на прилагането на правата върху географските означения, включително в цифровата среда и на границата (включително по отношени</w:t>
      </w:r>
      <w:r>
        <w:rPr>
          <w:noProof/>
        </w:rPr>
        <w:t xml:space="preserve">е на износа). </w:t>
      </w:r>
    </w:p>
    <w:p w:rsidR="00DE6585" w:rsidRDefault="00C01F68">
      <w:pPr>
        <w:rPr>
          <w:noProof/>
        </w:rPr>
      </w:pPr>
      <w:r>
        <w:rPr>
          <w:noProof/>
        </w:rPr>
        <w:t>Със споразумението следва да се създадат подходящи механизми за сътрудничество между страните в подкрепа на прилагането му и да се установи редовен диалог относно географските означения, за да се насърчи обменът на информация относно съответ</w:t>
      </w:r>
      <w:r>
        <w:rPr>
          <w:noProof/>
        </w:rPr>
        <w:t xml:space="preserve">ния законодателен напредък, обменът на опит в областта на правоприлагането и консултациите с трети държави. </w:t>
      </w:r>
    </w:p>
    <w:p w:rsidR="00DE6585" w:rsidRDefault="00C01F68">
      <w:pPr>
        <w:rPr>
          <w:noProof/>
        </w:rPr>
      </w:pPr>
      <w:r>
        <w:rPr>
          <w:noProof/>
        </w:rPr>
        <w:t>Споразумението следва да предостави пряка защита и ефективно признаване посредством одобрен от страните списък от географски означения (вина, спирт</w:t>
      </w:r>
      <w:r>
        <w:rPr>
          <w:noProof/>
        </w:rPr>
        <w:t>ни напитки, селскостопански продукти и храни) с високо равнище на защита въз основа на член 23 от ТРИПС, в т. ч. срещу пресъздаването, засилено правоприлагане (включително административни мерки), съжителство с добросъвестно придобити предишни марки, защита</w:t>
      </w:r>
      <w:r>
        <w:rPr>
          <w:noProof/>
        </w:rPr>
        <w:t xml:space="preserve"> срещу последващи заявки за генерични марки, както и разпоредби за добавяне на нови географски означения. В него следва да намерят място въпроси, отнасящи се до индивидуалните по-ранни права, например свързаните със сортовете растения, марките, генеричните</w:t>
      </w:r>
      <w:r>
        <w:rPr>
          <w:noProof/>
        </w:rPr>
        <w:t xml:space="preserve"> или други легитимни по-ранни употреби, с цел съществуващите конфликти да се разрешат по справедлив и удовлетворителен начин. </w:t>
      </w:r>
    </w:p>
    <w:p w:rsidR="00DE6585" w:rsidRDefault="00C01F68">
      <w:pPr>
        <w:rPr>
          <w:noProof/>
        </w:rPr>
      </w:pPr>
      <w:r>
        <w:rPr>
          <w:noProof/>
        </w:rPr>
        <w:t>Всички географски означения, изброени в споразумението, следва да бъдат ефективно защитени от датата на влизане в сила на споразу</w:t>
      </w:r>
      <w:r>
        <w:rPr>
          <w:noProof/>
        </w:rPr>
        <w:t xml:space="preserve">мението. </w:t>
      </w:r>
    </w:p>
    <w:p w:rsidR="00DE6585" w:rsidRDefault="00C01F68">
      <w:pPr>
        <w:rPr>
          <w:b/>
          <w:noProof/>
        </w:rPr>
      </w:pPr>
      <w:r>
        <w:rPr>
          <w:b/>
          <w:noProof/>
        </w:rPr>
        <w:t xml:space="preserve">Институционални разпоредби </w:t>
      </w:r>
    </w:p>
    <w:p w:rsidR="00DE6585" w:rsidRDefault="00C01F68">
      <w:pPr>
        <w:rPr>
          <w:noProof/>
        </w:rPr>
      </w:pPr>
      <w:r>
        <w:rPr>
          <w:noProof/>
        </w:rPr>
        <w:t xml:space="preserve">Със споразумението следва да се създаде Съвместен комитет, който да наблюдава прилагането на споразумението. </w:t>
      </w:r>
    </w:p>
    <w:p w:rsidR="00DE6585" w:rsidRDefault="00C01F68">
      <w:pPr>
        <w:rPr>
          <w:b/>
          <w:noProof/>
        </w:rPr>
      </w:pPr>
      <w:r>
        <w:rPr>
          <w:b/>
          <w:noProof/>
        </w:rPr>
        <w:t xml:space="preserve">Автентични езици </w:t>
      </w:r>
    </w:p>
    <w:p w:rsidR="00DE6585" w:rsidRDefault="00C01F68">
      <w:pPr>
        <w:rPr>
          <w:noProof/>
        </w:rPr>
      </w:pPr>
      <w:r>
        <w:rPr>
          <w:noProof/>
        </w:rPr>
        <w:t xml:space="preserve">Текстът на споразумението, който следва да бъде еднакво автентичен на всички официални езици на ЕС, следва да включва езикова клауза за тази цел. </w:t>
      </w:r>
    </w:p>
    <w:p w:rsidR="00DE6585" w:rsidRDefault="00DE6585">
      <w:pPr>
        <w:rPr>
          <w:noProof/>
        </w:rPr>
      </w:pPr>
    </w:p>
    <w:sectPr w:rsidR="00DE6585" w:rsidSect="00C01F68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85" w:rsidRDefault="00C01F68">
      <w:pPr>
        <w:spacing w:before="0" w:after="0"/>
      </w:pPr>
      <w:r>
        <w:separator/>
      </w:r>
    </w:p>
  </w:endnote>
  <w:endnote w:type="continuationSeparator" w:id="0">
    <w:p w:rsidR="00DE6585" w:rsidRDefault="00C01F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85" w:rsidRPr="00C01F68" w:rsidRDefault="00C01F68" w:rsidP="00C01F68">
    <w:pPr>
      <w:pStyle w:val="Footer"/>
      <w:rPr>
        <w:rFonts w:ascii="Arial" w:hAnsi="Arial" w:cs="Arial"/>
        <w:b/>
        <w:sz w:val="48"/>
      </w:rPr>
    </w:pPr>
    <w:r w:rsidRPr="00C01F68">
      <w:rPr>
        <w:rFonts w:ascii="Arial" w:hAnsi="Arial" w:cs="Arial"/>
        <w:b/>
        <w:sz w:val="48"/>
      </w:rPr>
      <w:t>BG</w:t>
    </w:r>
    <w:r w:rsidRPr="00C01F68">
      <w:rPr>
        <w:rFonts w:ascii="Arial" w:hAnsi="Arial" w:cs="Arial"/>
        <w:b/>
        <w:sz w:val="48"/>
      </w:rPr>
      <w:tab/>
    </w:r>
    <w:r w:rsidRPr="00C01F68">
      <w:rPr>
        <w:rFonts w:ascii="Arial" w:hAnsi="Arial" w:cs="Arial"/>
        <w:b/>
        <w:sz w:val="48"/>
      </w:rPr>
      <w:tab/>
    </w:r>
    <w:r w:rsidRPr="00C01F68">
      <w:tab/>
    </w:r>
    <w:r w:rsidRPr="00C01F68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Footer"/>
      <w:rPr>
        <w:rFonts w:ascii="Arial" w:hAnsi="Arial" w:cs="Arial"/>
        <w:b/>
        <w:sz w:val="48"/>
      </w:rPr>
    </w:pPr>
    <w:r w:rsidRPr="00C01F68">
      <w:rPr>
        <w:rFonts w:ascii="Arial" w:hAnsi="Arial" w:cs="Arial"/>
        <w:b/>
        <w:sz w:val="48"/>
      </w:rPr>
      <w:t>BG</w:t>
    </w:r>
    <w:r w:rsidRPr="00C01F6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C01F68">
      <w:tab/>
    </w:r>
    <w:r w:rsidRPr="00C01F68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85" w:rsidRDefault="00C01F68">
      <w:pPr>
        <w:spacing w:before="0" w:after="0"/>
      </w:pPr>
      <w:r>
        <w:separator/>
      </w:r>
    </w:p>
  </w:footnote>
  <w:footnote w:type="continuationSeparator" w:id="0">
    <w:p w:rsidR="00DE6585" w:rsidRDefault="00C01F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C01F68" w:rsidRDefault="00C01F68" w:rsidP="00C01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24C56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B889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0D4AC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B70E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C8448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36C0D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780F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BA65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25 12:42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M(2020) 697 final of 12.11.2020 downgraded on 25.1.2021"/>
    <w:docVar w:name="LW_COVERPAGE_EXISTS" w:val="True"/>
    <w:docVar w:name="LW_COVERPAGE_GUID" w:val="9386E77B-7D04-4B5A-9D58-09840ABFA6B4"/>
    <w:docVar w:name="LW_COVERPAGE_TYPE" w:val="1"/>
    <w:docVar w:name="LW_CROSSREFERENCE" w:val="&lt;UNUSED&gt;"/>
    <w:docVar w:name="LW_DocType" w:val="ANNEX"/>
    <w:docVar w:name="LW_EMISSION" w:val="25.1.2021"/>
    <w:docVar w:name="LW_EMISSION_ISODATE" w:val="2021-01-2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2?\u1086?\u1085?\u1075?\u1086?\u1083?\u1080?\u1103? \u1086?\u1090?\u1085?\u1086?\u1089?\u1085?\u1086? \u1075?\u1077?\u1086?\u1075?\u1088?\u1072?\u1092?\u1089?\u1082?\u1080?\u1090?\u1077? \u1086?\u1079?\u1085?\u1072?\u1095?\u1077?\u1085?\u1080?\u1103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7?\u1086? \u1089?\u1087?\u1086?\u1088?\u1072?\u1079?\u1091?\u1084?\u1077?\u1085?\u1080?\u1077? \u1084?\u1077?\u1078?\u1076?\u1091? \u1045?\u1074?\u1088?\u1086?\u1087?\u1077?\u1081?\u1089?\u1082?\u1080?\u1103? \u1089?\u1098?\u1102?\u1079? \u1080? \u1052?\u1086?\u1085?\u1075?\u1086?\u1083?\u1080?\u1103? \u1086?\u1090?\u1085?\u1086?\u1089?\u1085?\u1086? \u1075?\u1077?\u1086?\u1075?\u1088?\u1072?\u1092?\u1089?\u1082?\u1080?\u1090?\u1077? \u1086?\u1079?\u1085?\u1072?\u1095?\u1077?\u1085?\u1080?\u1103?"/>
    <w:docVar w:name="LW_PART_NBR" w:val="1"/>
    <w:docVar w:name="LW_PART_NBR_TOTAL" w:val="1"/>
    <w:docVar w:name="LW_REF.INST.NEW" w:val="COM"/>
    <w:docVar w:name="LW_REF.INST.NEW_ADOPTED" w:val="final/2"/>
    <w:docVar w:name="LW_REF.INST.NEW_TEXT" w:val="(2020) 6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 "/>
    <w:docVar w:name="LW_TYPEACTEPRINCIPAL.CP" w:val="\u1055?\u1088?\u1077?\u1087?\u1086?\u1088?\u1098?\u1082?\u1072? \u1079?\u1072? \u1056?\u1045?\u1064?\u1045?\u1053?\u1048?\u1045? \u1053?\u1040? \u1057?\u1066?\u1042?\u1045?\u1058?\u1040? "/>
  </w:docVars>
  <w:rsids>
    <w:rsidRoot w:val="00DE6585"/>
    <w:rsid w:val="00C01F68"/>
    <w:rsid w:val="00D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062C0C9-16D1-4935-8EE1-3FD4190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F6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1F68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01F6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01F68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01F6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C01F6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01F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C01F6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C01F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2</TotalTime>
  <Pages>2</Pages>
  <Words>335</Words>
  <Characters>2158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Agnes (AGRI)</dc:creator>
  <cp:keywords/>
  <dc:description/>
  <cp:lastModifiedBy>LAGES CARVALHO Patrick (SG)</cp:lastModifiedBy>
  <cp:revision>18</cp:revision>
  <dcterms:created xsi:type="dcterms:W3CDTF">2020-11-06T13:53:00Z</dcterms:created>
  <dcterms:modified xsi:type="dcterms:W3CDTF">2021-01-25T11:47:00Z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