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0D0C1BC4-2F2B-4BDA-9E31-4986C0A4DD84" style="width:450.5pt;height:397.05pt">
            <v:imagedata r:id="rId9" o:title=""/>
          </v:shape>
        </w:pict>
      </w:r>
    </w:p>
    <w:p>
      <w:pPr>
        <w:rPr>
          <w:noProof/>
        </w:rPr>
        <w:sectPr>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0"/>
          <w:cols w:space="720"/>
          <w:docGrid w:linePitch="360"/>
        </w:sectPr>
      </w:pPr>
    </w:p>
    <w:p>
      <w:pPr>
        <w:pStyle w:val="Annexetitre"/>
        <w:rPr>
          <w:noProof/>
        </w:rPr>
      </w:pPr>
      <w:bookmarkStart w:id="0" w:name="_GoBack"/>
      <w:bookmarkEnd w:id="0"/>
      <w:r>
        <w:rPr>
          <w:noProof/>
        </w:rPr>
        <w:lastRenderedPageBreak/>
        <w:t xml:space="preserve">ANNEX </w:t>
      </w:r>
    </w:p>
    <w:p>
      <w:pPr>
        <w:rPr>
          <w:noProof/>
        </w:rPr>
      </w:pPr>
    </w:p>
    <w:p>
      <w:pPr>
        <w:pStyle w:val="SingleTxtG"/>
        <w:ind w:left="1127" w:hanging="560"/>
        <w:rPr>
          <w:b/>
          <w:bCs/>
          <w:noProof/>
        </w:rPr>
      </w:pPr>
      <w:r>
        <w:rPr>
          <w:b/>
          <w:bCs/>
          <w:noProof/>
        </w:rPr>
        <w:t xml:space="preserve">Annex 1, VERSION 1, Page 2 of cover: Model of the TIR Carnet, No. 5 of the “règles relatives à l’utilisation du carnet TIR” </w:t>
      </w:r>
    </w:p>
    <w:p>
      <w:pPr>
        <w:pStyle w:val="SingleTxtG"/>
        <w:rPr>
          <w:noProof/>
          <w:color w:val="FF0000"/>
          <w:lang w:val="en-US"/>
        </w:rPr>
      </w:pPr>
      <w:r>
        <w:rPr>
          <w:i/>
          <w:iCs/>
          <w:noProof/>
        </w:rPr>
        <w:t xml:space="preserve">For </w:t>
      </w:r>
      <w:r>
        <w:rPr>
          <w:noProof/>
        </w:rPr>
        <w:t xml:space="preserve">quatre </w:t>
      </w:r>
      <w:r>
        <w:rPr>
          <w:i/>
          <w:iCs/>
          <w:noProof/>
        </w:rPr>
        <w:t>substitute</w:t>
      </w:r>
      <w:r>
        <w:rPr>
          <w:noProof/>
        </w:rPr>
        <w:t xml:space="preserve"> huit</w:t>
      </w:r>
    </w:p>
    <w:p>
      <w:pPr>
        <w:pStyle w:val="SingleTxtG"/>
        <w:ind w:left="567"/>
        <w:rPr>
          <w:noProof/>
          <w:lang w:val="en-US"/>
        </w:rPr>
      </w:pPr>
      <w:r>
        <w:rPr>
          <w:b/>
          <w:bCs/>
          <w:noProof/>
          <w:lang w:val="en-US"/>
        </w:rPr>
        <w:t>Annex 1, VERSION 1, Page 3 of cover: Model of the TIR Carnet Version 1, No. 5 of the rules regarding the use of the TIR Carnet</w:t>
      </w:r>
    </w:p>
    <w:p>
      <w:pPr>
        <w:pStyle w:val="SingleTxtG"/>
        <w:rPr>
          <w:noProof/>
          <w:lang w:val="en-US"/>
        </w:rPr>
      </w:pPr>
      <w:bookmarkStart w:id="1" w:name="_Hlk52980053"/>
      <w:r>
        <w:rPr>
          <w:i/>
          <w:iCs/>
          <w:noProof/>
          <w:lang w:val="en-US"/>
        </w:rPr>
        <w:t xml:space="preserve">For </w:t>
      </w:r>
      <w:r>
        <w:rPr>
          <w:noProof/>
          <w:lang w:val="en-US"/>
        </w:rPr>
        <w:t xml:space="preserve">four </w:t>
      </w:r>
      <w:r>
        <w:rPr>
          <w:i/>
          <w:iCs/>
          <w:noProof/>
          <w:lang w:val="en-US"/>
        </w:rPr>
        <w:t xml:space="preserve">substitute </w:t>
      </w:r>
      <w:r>
        <w:rPr>
          <w:noProof/>
          <w:lang w:val="en-US"/>
        </w:rPr>
        <w:t>eight</w:t>
      </w:r>
    </w:p>
    <w:p>
      <w:pPr>
        <w:pStyle w:val="SingleTxtG"/>
        <w:rPr>
          <w:noProof/>
          <w:lang w:val="en-US"/>
        </w:rPr>
      </w:pPr>
    </w:p>
    <w:bookmarkEnd w:id="1"/>
    <w:p>
      <w:pPr>
        <w:pStyle w:val="SingleTxtG"/>
        <w:ind w:left="0" w:firstLine="567"/>
        <w:rPr>
          <w:b/>
          <w:bCs/>
          <w:noProof/>
          <w:lang w:val="en-US"/>
        </w:rPr>
      </w:pPr>
      <w:r>
        <w:rPr>
          <w:b/>
          <w:bCs/>
          <w:noProof/>
          <w:lang w:val="en-US"/>
        </w:rPr>
        <w:t>Annex 1, VERSION 1, Page 5 (white) of the model of the TIR Carnet, Voucher No. 1</w:t>
      </w:r>
    </w:p>
    <w:p>
      <w:pPr>
        <w:pStyle w:val="SingleTxtG"/>
        <w:rPr>
          <w:i/>
          <w:iCs/>
          <w:noProof/>
          <w:lang w:val="en-US"/>
        </w:rPr>
      </w:pPr>
      <w:bookmarkStart w:id="2" w:name="_Hlk52980222"/>
      <w:r>
        <w:rPr>
          <w:i/>
          <w:iCs/>
          <w:noProof/>
          <w:lang w:val="en-US"/>
        </w:rPr>
        <w:t xml:space="preserve">For </w:t>
      </w:r>
      <w:r>
        <w:rPr>
          <w:noProof/>
          <w:lang w:val="en-US"/>
        </w:rPr>
        <w:t xml:space="preserve">the existing Voucher No. 1 </w:t>
      </w:r>
      <w:r>
        <w:rPr>
          <w:i/>
          <w:iCs/>
          <w:noProof/>
          <w:lang w:val="en-US"/>
        </w:rPr>
        <w:t>substitute</w:t>
      </w:r>
      <w:bookmarkEnd w:id="2"/>
      <w:r>
        <w:rPr>
          <w:rStyle w:val="FootnoteReference"/>
          <w:i/>
          <w:iCs/>
          <w:noProof/>
          <w:lang w:val="en-US"/>
        </w:rPr>
        <w:footnoteReference w:id="1"/>
      </w:r>
    </w:p>
    <w:p>
      <w:pPr>
        <w:pStyle w:val="SingleTxtG"/>
        <w:ind w:left="1127" w:hanging="560"/>
        <w:rPr>
          <w:b/>
          <w:bCs/>
          <w:i/>
          <w:iCs/>
          <w:noProof/>
          <w:lang w:val="en-US"/>
        </w:rPr>
      </w:pPr>
      <w:r>
        <w:rPr>
          <w:b/>
          <w:bCs/>
          <w:noProof/>
          <w:lang w:val="en-US"/>
        </w:rPr>
        <w:t>Annex 1, VERSION 1, Page 6 (green) of the model of the TIR Carnet Version 1, Voucher No. 2</w:t>
      </w:r>
    </w:p>
    <w:p>
      <w:pPr>
        <w:pStyle w:val="SingleTxtG"/>
        <w:rPr>
          <w:i/>
          <w:iCs/>
          <w:noProof/>
          <w:lang w:val="en-US"/>
        </w:rPr>
      </w:pPr>
      <w:r>
        <w:rPr>
          <w:i/>
          <w:iCs/>
          <w:noProof/>
          <w:lang w:val="en-US"/>
        </w:rPr>
        <w:t xml:space="preserve">For </w:t>
      </w:r>
      <w:r>
        <w:rPr>
          <w:noProof/>
          <w:lang w:val="en-US"/>
        </w:rPr>
        <w:t xml:space="preserve">the existing Voucher No. 2 </w:t>
      </w:r>
      <w:r>
        <w:rPr>
          <w:i/>
          <w:iCs/>
          <w:noProof/>
          <w:lang w:val="en-US"/>
        </w:rPr>
        <w:t>substitute</w:t>
      </w:r>
      <w:r>
        <w:rPr>
          <w:rStyle w:val="FootnoteReference"/>
          <w:i/>
          <w:iCs/>
          <w:noProof/>
          <w:lang w:val="en-US"/>
        </w:rPr>
        <w:footnoteReference w:id="2"/>
      </w:r>
    </w:p>
    <w:p>
      <w:pPr>
        <w:pStyle w:val="SingleTxtG"/>
        <w:rPr>
          <w:noProof/>
          <w:lang w:val="en-US"/>
        </w:rPr>
      </w:pPr>
    </w:p>
    <w:p>
      <w:pPr>
        <w:pStyle w:val="SingleTxtG"/>
        <w:ind w:left="1127" w:hanging="560"/>
        <w:rPr>
          <w:b/>
          <w:bCs/>
          <w:noProof/>
        </w:rPr>
      </w:pPr>
      <w:r>
        <w:rPr>
          <w:b/>
          <w:bCs/>
          <w:noProof/>
          <w:lang w:val="en-US"/>
        </w:rPr>
        <w:t xml:space="preserve">Annex 1, VERSION 2, Page 2 of cover: </w:t>
      </w:r>
      <w:r>
        <w:rPr>
          <w:b/>
          <w:bCs/>
          <w:noProof/>
        </w:rPr>
        <w:t xml:space="preserve">Model of the TIR Carnet, No. 5 of the “règles relatives à l’utilisation du carnet TIR” </w:t>
      </w:r>
    </w:p>
    <w:p>
      <w:pPr>
        <w:pStyle w:val="SingleTxtG"/>
        <w:rPr>
          <w:noProof/>
        </w:rPr>
      </w:pPr>
      <w:r>
        <w:rPr>
          <w:i/>
          <w:iCs/>
          <w:noProof/>
        </w:rPr>
        <w:t xml:space="preserve">For </w:t>
      </w:r>
      <w:r>
        <w:rPr>
          <w:noProof/>
        </w:rPr>
        <w:t xml:space="preserve">quatre </w:t>
      </w:r>
      <w:r>
        <w:rPr>
          <w:i/>
          <w:iCs/>
          <w:noProof/>
        </w:rPr>
        <w:t>substitute</w:t>
      </w:r>
      <w:r>
        <w:rPr>
          <w:noProof/>
        </w:rPr>
        <w:t xml:space="preserve"> huit</w:t>
      </w:r>
    </w:p>
    <w:p>
      <w:pPr>
        <w:pStyle w:val="SingleTxtG"/>
        <w:ind w:left="1127" w:hanging="560"/>
        <w:rPr>
          <w:b/>
          <w:bCs/>
          <w:noProof/>
        </w:rPr>
      </w:pPr>
      <w:r>
        <w:rPr>
          <w:b/>
          <w:bCs/>
          <w:noProof/>
        </w:rPr>
        <w:t>Annex 1, VERSION 2,</w:t>
      </w:r>
      <w:r>
        <w:rPr>
          <w:b/>
          <w:bCs/>
          <w:noProof/>
          <w:lang w:val="en-US"/>
        </w:rPr>
        <w:t xml:space="preserve"> Page 3 of cover: Model of the TIR Carnet Version 1, No. 5 of the rules regarding the use of the TIR Carnet</w:t>
      </w:r>
    </w:p>
    <w:p>
      <w:pPr>
        <w:pStyle w:val="SingleTxtG"/>
        <w:rPr>
          <w:noProof/>
          <w:lang w:val="en-US"/>
        </w:rPr>
      </w:pPr>
      <w:r>
        <w:rPr>
          <w:i/>
          <w:iCs/>
          <w:noProof/>
          <w:lang w:val="en-US"/>
        </w:rPr>
        <w:t xml:space="preserve">For </w:t>
      </w:r>
      <w:r>
        <w:rPr>
          <w:noProof/>
          <w:lang w:val="en-US"/>
        </w:rPr>
        <w:t xml:space="preserve">four </w:t>
      </w:r>
      <w:r>
        <w:rPr>
          <w:i/>
          <w:iCs/>
          <w:noProof/>
          <w:lang w:val="en-US"/>
        </w:rPr>
        <w:t xml:space="preserve">substitute </w:t>
      </w:r>
      <w:r>
        <w:rPr>
          <w:noProof/>
          <w:lang w:val="en-US"/>
        </w:rPr>
        <w:t>eight</w:t>
      </w:r>
    </w:p>
    <w:p>
      <w:pPr>
        <w:pStyle w:val="SingleTxtG"/>
        <w:rPr>
          <w:noProof/>
          <w:lang w:val="en-US"/>
        </w:rPr>
      </w:pPr>
    </w:p>
    <w:p>
      <w:pPr>
        <w:pStyle w:val="SingleTxtG"/>
        <w:ind w:left="0" w:firstLine="567"/>
        <w:rPr>
          <w:b/>
          <w:bCs/>
          <w:noProof/>
          <w:lang w:val="en-US"/>
        </w:rPr>
      </w:pPr>
      <w:r>
        <w:rPr>
          <w:b/>
          <w:bCs/>
          <w:noProof/>
          <w:lang w:val="en-US"/>
        </w:rPr>
        <w:t>Annex 1, VERSION 2, Page 12 (white) of the model of the TIR Carnet, Voucher No. 1</w:t>
      </w:r>
    </w:p>
    <w:p>
      <w:pPr>
        <w:pStyle w:val="SingleTxtG"/>
        <w:rPr>
          <w:i/>
          <w:iCs/>
          <w:noProof/>
          <w:lang w:val="en-US"/>
        </w:rPr>
      </w:pPr>
      <w:r>
        <w:rPr>
          <w:i/>
          <w:iCs/>
          <w:noProof/>
          <w:lang w:val="en-US"/>
        </w:rPr>
        <w:t xml:space="preserve">For </w:t>
      </w:r>
      <w:r>
        <w:rPr>
          <w:noProof/>
          <w:lang w:val="en-US"/>
        </w:rPr>
        <w:t xml:space="preserve">the existing Voucher No. 1 </w:t>
      </w:r>
      <w:r>
        <w:rPr>
          <w:i/>
          <w:iCs/>
          <w:noProof/>
          <w:lang w:val="en-US"/>
        </w:rPr>
        <w:t>substitute</w:t>
      </w:r>
      <w:r>
        <w:rPr>
          <w:rStyle w:val="FootnoteReference"/>
          <w:i/>
          <w:iCs/>
          <w:noProof/>
          <w:lang w:val="en-US"/>
        </w:rPr>
        <w:footnoteReference w:id="3"/>
      </w:r>
    </w:p>
    <w:p>
      <w:pPr>
        <w:pStyle w:val="SingleTxtG"/>
        <w:ind w:left="0"/>
        <w:rPr>
          <w:b/>
          <w:bCs/>
          <w:noProof/>
          <w:lang w:val="en-US"/>
        </w:rPr>
      </w:pPr>
      <w:r>
        <w:rPr>
          <w:b/>
          <w:bCs/>
          <w:noProof/>
          <w:lang w:val="en-US"/>
        </w:rPr>
        <w:t xml:space="preserve">           Annex 1, VERSION 2, Page 13 (green) of the model of the TIR Carnet, Voucher No. 2</w:t>
      </w:r>
    </w:p>
    <w:p>
      <w:pPr>
        <w:pStyle w:val="SingleTxtG"/>
        <w:rPr>
          <w:i/>
          <w:iCs/>
          <w:noProof/>
          <w:lang w:val="en-US"/>
        </w:rPr>
      </w:pPr>
      <w:r>
        <w:rPr>
          <w:b/>
          <w:bCs/>
          <w:noProof/>
          <w:lang w:val="en-US"/>
        </w:rPr>
        <w:tab/>
      </w:r>
      <w:r>
        <w:rPr>
          <w:i/>
          <w:iCs/>
          <w:noProof/>
          <w:lang w:val="en-US"/>
        </w:rPr>
        <w:t xml:space="preserve">For </w:t>
      </w:r>
      <w:r>
        <w:rPr>
          <w:noProof/>
          <w:lang w:val="en-US"/>
        </w:rPr>
        <w:t xml:space="preserve">the existing Voucher No. 2 </w:t>
      </w:r>
      <w:r>
        <w:rPr>
          <w:i/>
          <w:iCs/>
          <w:noProof/>
          <w:lang w:val="en-US"/>
        </w:rPr>
        <w:t>substitute</w:t>
      </w:r>
      <w:r>
        <w:rPr>
          <w:rStyle w:val="FootnoteReference"/>
          <w:i/>
          <w:iCs/>
          <w:noProof/>
          <w:lang w:val="en-US"/>
        </w:rPr>
        <w:footnoteReference w:id="4"/>
      </w:r>
    </w:p>
    <w:p>
      <w:pPr>
        <w:rPr>
          <w:noProof/>
          <w:lang w:val="en-US"/>
        </w:rPr>
      </w:pPr>
    </w:p>
    <w:p>
      <w:pPr>
        <w:rPr>
          <w:noProof/>
          <w:lang w:val="en-US"/>
        </w:rPr>
      </w:pPr>
      <w:r>
        <w:rPr>
          <w:noProof/>
          <w:lang w:eastAsia="en-GB"/>
        </w:rPr>
        <w:lastRenderedPageBreak/>
        <w:drawing>
          <wp:inline distT="0" distB="0" distL="0" distR="0">
            <wp:extent cx="5596890" cy="958405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6890" cy="9584055"/>
                    </a:xfrm>
                    <a:prstGeom prst="rect">
                      <a:avLst/>
                    </a:prstGeom>
                    <a:noFill/>
                  </pic:spPr>
                </pic:pic>
              </a:graphicData>
            </a:graphic>
          </wp:inline>
        </w:drawing>
      </w:r>
    </w:p>
    <w:p>
      <w:pPr>
        <w:rPr>
          <w:noProof/>
          <w:lang w:val="en-IE" w:eastAsia="en-IE"/>
        </w:rPr>
      </w:pPr>
      <w:r>
        <w:rPr>
          <w:noProof/>
          <w:lang w:eastAsia="en-GB"/>
        </w:rPr>
        <w:drawing>
          <wp:inline distT="0" distB="0" distL="0" distR="0">
            <wp:extent cx="5633085" cy="94437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3085" cy="9443720"/>
                    </a:xfrm>
                    <a:prstGeom prst="rect">
                      <a:avLst/>
                    </a:prstGeom>
                    <a:noFill/>
                  </pic:spPr>
                </pic:pic>
              </a:graphicData>
            </a:graphic>
          </wp:inline>
        </w:drawing>
      </w:r>
    </w:p>
    <w:p>
      <w:pPr>
        <w:rPr>
          <w:noProof/>
          <w:lang w:val="en-IE" w:eastAsia="en-IE"/>
        </w:rPr>
      </w:pPr>
      <w:r>
        <w:rPr>
          <w:noProof/>
          <w:lang w:eastAsia="en-GB"/>
        </w:rPr>
        <w:drawing>
          <wp:inline distT="0" distB="0" distL="0" distR="0">
            <wp:extent cx="5547995" cy="95046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7995" cy="9504680"/>
                    </a:xfrm>
                    <a:prstGeom prst="rect">
                      <a:avLst/>
                    </a:prstGeom>
                    <a:noFill/>
                  </pic:spPr>
                </pic:pic>
              </a:graphicData>
            </a:graphic>
          </wp:inline>
        </w:drawing>
      </w:r>
    </w:p>
    <w:p>
      <w:pPr>
        <w:rPr>
          <w:noProof/>
          <w:lang w:val="en-IE" w:eastAsia="en-IE"/>
        </w:rPr>
      </w:pPr>
      <w:r>
        <w:rPr>
          <w:noProof/>
          <w:lang w:eastAsia="en-GB"/>
        </w:rPr>
        <w:drawing>
          <wp:inline distT="0" distB="0" distL="0" distR="0">
            <wp:extent cx="5602605" cy="94919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2605" cy="9491980"/>
                    </a:xfrm>
                    <a:prstGeom prst="rect">
                      <a:avLst/>
                    </a:prstGeom>
                    <a:noFill/>
                  </pic:spPr>
                </pic:pic>
              </a:graphicData>
            </a:graphic>
          </wp:inline>
        </w:drawing>
      </w:r>
    </w:p>
    <w:sectPr>
      <w:footerReference w:type="default" r:id="rId20"/>
      <w:footerReference w:type="first" r:id="rId21"/>
      <w:pgSz w:w="11907" w:h="16839"/>
      <w:pgMar w:top="1134" w:right="1417" w:bottom="1134" w:left="141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before="0" w:after="0"/>
      </w:pPr>
      <w:r>
        <w:separator/>
      </w:r>
    </w:p>
  </w:endnote>
  <w:endnote w:type="continuationSeparator" w:id="0">
    <w:p>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sz w:val="48"/>
      </w:rPr>
    </w:pPr>
    <w:r>
      <w:rPr>
        <w:rFonts w:ascii="Arial" w:hAnsi="Arial" w:cs="Arial"/>
        <w:b/>
        <w:sz w:val="48"/>
      </w:rPr>
      <w:t>EN</w:t>
    </w:r>
    <w:r>
      <w:rPr>
        <w:rFonts w:ascii="Arial" w:hAnsi="Arial" w:cs="Arial"/>
        <w:b/>
        <w:sz w:val="48"/>
      </w:rPr>
      <w:tab/>
    </w:r>
    <w:r>
      <w:fldChar w:fldCharType="begin"/>
    </w:r>
    <w:r>
      <w:instrText xml:space="preserve"> PAGE  \* MERGEFORMAT </w:instrText>
    </w:r>
    <w:r>
      <w:fldChar w:fldCharType="separate"/>
    </w:r>
    <w:r>
      <w:rPr>
        <w:noProof/>
      </w:rPr>
      <w:t>2</w:t>
    </w:r>
    <w:r>
      <w:fldChar w:fldCharType="end"/>
    </w:r>
    <w:r>
      <w:tab/>
    </w:r>
    <w:r>
      <w:tab/>
    </w:r>
    <w:r>
      <w:rPr>
        <w:rFonts w:ascii="Arial" w:hAnsi="Arial" w:cs="Arial"/>
        <w:b/>
        <w:sz w:val="48"/>
      </w:rPr>
      <w:t>EN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before="0" w:after="0"/>
      </w:pPr>
      <w:r>
        <w:separator/>
      </w:r>
    </w:p>
  </w:footnote>
  <w:footnote w:type="continuationSeparator" w:id="0">
    <w:p>
      <w:pPr>
        <w:spacing w:before="0" w:after="0"/>
      </w:pPr>
      <w:r>
        <w:continuationSeparator/>
      </w:r>
    </w:p>
  </w:footnote>
  <w:footnote w:id="1">
    <w:p>
      <w:pPr>
        <w:pStyle w:val="FootnoteText"/>
        <w:rPr>
          <w:lang w:val="en-IE"/>
        </w:rPr>
      </w:pPr>
      <w:r>
        <w:rPr>
          <w:rStyle w:val="FootnoteReference"/>
        </w:rPr>
        <w:footnoteRef/>
      </w:r>
      <w:r>
        <w:tab/>
      </w:r>
      <w:r>
        <w:rPr>
          <w:lang w:val="en-IE"/>
        </w:rPr>
        <w:t>See page 3 of this document.</w:t>
      </w:r>
    </w:p>
  </w:footnote>
  <w:footnote w:id="2">
    <w:p>
      <w:pPr>
        <w:pStyle w:val="FootnoteText"/>
        <w:rPr>
          <w:lang w:val="en-IE"/>
        </w:rPr>
      </w:pPr>
      <w:r>
        <w:rPr>
          <w:rStyle w:val="FootnoteReference"/>
        </w:rPr>
        <w:footnoteRef/>
      </w:r>
      <w:r>
        <w:tab/>
      </w:r>
      <w:r>
        <w:rPr>
          <w:lang w:val="en-IE"/>
        </w:rPr>
        <w:t xml:space="preserve">See page 4 of this document. </w:t>
      </w:r>
    </w:p>
  </w:footnote>
  <w:footnote w:id="3">
    <w:p>
      <w:pPr>
        <w:pStyle w:val="FootnoteText"/>
        <w:rPr>
          <w:lang w:val="en-IE"/>
        </w:rPr>
      </w:pPr>
      <w:r>
        <w:rPr>
          <w:rStyle w:val="FootnoteReference"/>
        </w:rPr>
        <w:footnoteRef/>
      </w:r>
      <w:r>
        <w:tab/>
      </w:r>
      <w:r>
        <w:rPr>
          <w:lang w:val="en-IE"/>
        </w:rPr>
        <w:t>See page 5 of this document</w:t>
      </w:r>
    </w:p>
  </w:footnote>
  <w:footnote w:id="4">
    <w:p>
      <w:pPr>
        <w:pStyle w:val="FootnoteText"/>
        <w:rPr>
          <w:lang w:val="en-IE"/>
        </w:rPr>
      </w:pPr>
      <w:r>
        <w:rPr>
          <w:rStyle w:val="FootnoteReference"/>
        </w:rPr>
        <w:footnoteRef/>
      </w:r>
      <w:r>
        <w:tab/>
      </w:r>
      <w:r>
        <w:rPr>
          <w:lang w:val="en-IE"/>
        </w:rPr>
        <w:t>See page 6 of this document.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B98821A8"/>
    <w:lvl w:ilvl="0">
      <w:start w:val="1"/>
      <w:numFmt w:val="decimal"/>
      <w:pStyle w:val="ListNumber4"/>
      <w:lvlText w:val="%1."/>
      <w:lvlJc w:val="left"/>
      <w:pPr>
        <w:tabs>
          <w:tab w:val="num" w:pos="1209"/>
        </w:tabs>
        <w:ind w:left="1209" w:hanging="360"/>
      </w:pPr>
    </w:lvl>
  </w:abstractNum>
  <w:abstractNum w:abstractNumId="1">
    <w:nsid w:val="FFFFFF7E"/>
    <w:multiLevelType w:val="singleLevel"/>
    <w:tmpl w:val="C1B2410C"/>
    <w:lvl w:ilvl="0">
      <w:start w:val="1"/>
      <w:numFmt w:val="decimal"/>
      <w:pStyle w:val="ListNumber3"/>
      <w:lvlText w:val="%1."/>
      <w:lvlJc w:val="left"/>
      <w:pPr>
        <w:tabs>
          <w:tab w:val="num" w:pos="926"/>
        </w:tabs>
        <w:ind w:left="926" w:hanging="360"/>
      </w:pPr>
    </w:lvl>
  </w:abstractNum>
  <w:abstractNum w:abstractNumId="2">
    <w:nsid w:val="FFFFFF7F"/>
    <w:multiLevelType w:val="singleLevel"/>
    <w:tmpl w:val="58C2961C"/>
    <w:lvl w:ilvl="0">
      <w:start w:val="1"/>
      <w:numFmt w:val="decimal"/>
      <w:pStyle w:val="ListNumber2"/>
      <w:lvlText w:val="%1."/>
      <w:lvlJc w:val="left"/>
      <w:pPr>
        <w:tabs>
          <w:tab w:val="num" w:pos="643"/>
        </w:tabs>
        <w:ind w:left="643" w:hanging="360"/>
      </w:pPr>
    </w:lvl>
  </w:abstractNum>
  <w:abstractNum w:abstractNumId="3">
    <w:nsid w:val="FFFFFF81"/>
    <w:multiLevelType w:val="singleLevel"/>
    <w:tmpl w:val="157C9550"/>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E2CC72BA"/>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C6C28A8E"/>
    <w:lvl w:ilvl="0">
      <w:start w:val="1"/>
      <w:numFmt w:val="bullet"/>
      <w:pStyle w:val="ListBullet2"/>
      <w:lvlText w:val=""/>
      <w:lvlJc w:val="left"/>
      <w:pPr>
        <w:tabs>
          <w:tab w:val="num" w:pos="643"/>
        </w:tabs>
        <w:ind w:left="643" w:hanging="360"/>
      </w:pPr>
      <w:rPr>
        <w:rFonts w:ascii="Symbol" w:hAnsi="Symbol" w:hint="default"/>
      </w:rPr>
    </w:lvl>
  </w:abstractNum>
  <w:abstractNum w:abstractNumId="6">
    <w:nsid w:val="FFFFFF88"/>
    <w:multiLevelType w:val="singleLevel"/>
    <w:tmpl w:val="1DC2E106"/>
    <w:lvl w:ilvl="0">
      <w:start w:val="1"/>
      <w:numFmt w:val="decimal"/>
      <w:pStyle w:val="ListNumber"/>
      <w:lvlText w:val="%1."/>
      <w:lvlJc w:val="left"/>
      <w:pPr>
        <w:tabs>
          <w:tab w:val="num" w:pos="360"/>
        </w:tabs>
        <w:ind w:left="360" w:hanging="360"/>
      </w:pPr>
    </w:lvl>
  </w:abstractNum>
  <w:abstractNum w:abstractNumId="7">
    <w:nsid w:val="FFFFFF89"/>
    <w:multiLevelType w:val="singleLevel"/>
    <w:tmpl w:val="58900510"/>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9">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1">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2">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3">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14">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5">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6">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7">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8">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9">
    <w:nsid w:val="64A12FA4"/>
    <w:multiLevelType w:val="multilevel"/>
    <w:tmpl w:val="428ECF3E"/>
    <w:name w:val="Heading"/>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21">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7"/>
  </w:num>
  <w:num w:numId="2">
    <w:abstractNumId w:val="5"/>
  </w:num>
  <w:num w:numId="3">
    <w:abstractNumId w:val="4"/>
  </w:num>
  <w:num w:numId="4">
    <w:abstractNumId w:val="3"/>
  </w:num>
  <w:num w:numId="5">
    <w:abstractNumId w:val="6"/>
  </w:num>
  <w:num w:numId="6">
    <w:abstractNumId w:val="2"/>
  </w:num>
  <w:num w:numId="7">
    <w:abstractNumId w:val="1"/>
  </w:num>
  <w:num w:numId="8">
    <w:abstractNumId w:val="0"/>
  </w:num>
  <w:num w:numId="9">
    <w:abstractNumId w:val="18"/>
  </w:num>
  <w:num w:numId="10">
    <w:abstractNumId w:val="12"/>
  </w:num>
  <w:num w:numId="11">
    <w:abstractNumId w:val="20"/>
  </w:num>
  <w:num w:numId="12">
    <w:abstractNumId w:val="11"/>
  </w:num>
  <w:num w:numId="13">
    <w:abstractNumId w:val="13"/>
  </w:num>
  <w:num w:numId="14">
    <w:abstractNumId w:val="9"/>
  </w:num>
  <w:num w:numId="15">
    <w:abstractNumId w:val="19"/>
  </w:num>
  <w:num w:numId="16">
    <w:abstractNumId w:val="8"/>
  </w:num>
  <w:num w:numId="17">
    <w:abstractNumId w:val="14"/>
  </w:num>
  <w:num w:numId="18">
    <w:abstractNumId w:val="16"/>
  </w:num>
  <w:num w:numId="19">
    <w:abstractNumId w:val="17"/>
  </w:num>
  <w:num w:numId="20">
    <w:abstractNumId w:val="10"/>
  </w:num>
  <w:num w:numId="21">
    <w:abstractNumId w:val="15"/>
  </w:num>
  <w:num w:numId="22">
    <w:abstractNumId w:val="21"/>
  </w:num>
  <w:num w:numId="23">
    <w:abstractNumId w:val="18"/>
  </w:num>
  <w:num w:numId="24">
    <w:abstractNumId w:val="12"/>
  </w:num>
  <w:num w:numId="25">
    <w:abstractNumId w:val="20"/>
  </w:num>
  <w:num w:numId="26">
    <w:abstractNumId w:val="11"/>
  </w:num>
  <w:num w:numId="27">
    <w:abstractNumId w:val="13"/>
  </w:num>
  <w:num w:numId="28">
    <w:abstractNumId w:val="9"/>
  </w:num>
  <w:num w:numId="29">
    <w:abstractNumId w:val="19"/>
  </w:num>
  <w:num w:numId="30">
    <w:abstractNumId w:val="8"/>
  </w:num>
  <w:num w:numId="31">
    <w:abstractNumId w:val="14"/>
  </w:num>
  <w:num w:numId="32">
    <w:abstractNumId w:val="16"/>
  </w:num>
  <w:num w:numId="33">
    <w:abstractNumId w:val="17"/>
  </w:num>
  <w:num w:numId="34">
    <w:abstractNumId w:val="10"/>
  </w:num>
  <w:num w:numId="35">
    <w:abstractNumId w:val="15"/>
  </w:num>
  <w:num w:numId="36">
    <w:abstractNumId w:val="21"/>
  </w:num>
  <w:num w:numId="37">
    <w:abstractNumId w:val="18"/>
  </w:num>
  <w:num w:numId="38">
    <w:abstractNumId w:val="12"/>
  </w:num>
  <w:num w:numId="39">
    <w:abstractNumId w:val="20"/>
  </w:num>
  <w:num w:numId="40">
    <w:abstractNumId w:val="11"/>
  </w:num>
  <w:num w:numId="41">
    <w:abstractNumId w:val="13"/>
  </w:num>
  <w:num w:numId="42">
    <w:abstractNumId w:val="9"/>
  </w:num>
  <w:num w:numId="43">
    <w:abstractNumId w:val="19"/>
  </w:num>
  <w:num w:numId="44">
    <w:abstractNumId w:val="8"/>
  </w:num>
  <w:num w:numId="45">
    <w:abstractNumId w:val="14"/>
  </w:num>
  <w:num w:numId="46">
    <w:abstractNumId w:val="16"/>
  </w:num>
  <w:num w:numId="47">
    <w:abstractNumId w:val="17"/>
  </w:num>
  <w:num w:numId="48">
    <w:abstractNumId w:val="10"/>
  </w:num>
  <w:num w:numId="49">
    <w:abstractNumId w:val="15"/>
  </w:num>
  <w:num w:numId="50">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hideSpellingErrors/>
  <w:hideGrammaticalErrors/>
  <w:attachedTemplate r:id="rId1"/>
  <w:revisionView w:markup="0"/>
  <w:defaultTabStop w:val="720"/>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R_RefLast" w:val="0"/>
    <w:docVar w:name="DQCDateTime" w:val="2021-01-21 16:09:27"/>
    <w:docVar w:name="DQCResult_Distribution" w:val="0;0"/>
    <w:docVar w:name="DQCResult_DocumentContent" w:val="0;0"/>
    <w:docVar w:name="DQCResult_DocumentSize" w:val="0;0"/>
    <w:docVar w:name="DQCResult_DocumentVersions" w:val="0;0"/>
    <w:docVar w:name="DQCResult_InvalidFootnotes" w:val="0;0"/>
    <w:docVar w:name="DQCResult_LinkedStyles" w:val="0;0"/>
    <w:docVar w:name="DQCResult_ModifiedMargins" w:val="0;8"/>
    <w:docVar w:name="DQCResult_ModifiedMarkers" w:val="0;0"/>
    <w:docVar w:name="DQCResult_ModifiedNumbering" w:val="0;0"/>
    <w:docVar w:name="DQCResult_Objects" w:val="0;0"/>
    <w:docVar w:name="DQCResult_Sections" w:val="0;0"/>
    <w:docVar w:name="DQCResult_StructureCheck" w:val="0;0"/>
    <w:docVar w:name="DQCResult_SuperfluousWhitespace" w:val="0;6"/>
    <w:docVar w:name="DQCResult_UnknownFonts" w:val="0;0"/>
    <w:docVar w:name="DQCResult_UnknownStyles" w:val="0;19"/>
    <w:docVar w:name="DQCStatus" w:val="Green"/>
    <w:docVar w:name="DQCVersion" w:val="3"/>
    <w:docVar w:name="DQCWithWarnings" w:val="0"/>
    <w:docVar w:name="LW_ACCOMPAGNANT" w:val="to the"/>
    <w:docVar w:name="LW_ACCOMPAGNANT.CP" w:val="to the"/>
    <w:docVar w:name="LW_ANNEX_NBR_FIRST" w:val="1"/>
    <w:docVar w:name="LW_ANNEX_NBR_LAST" w:val="1"/>
    <w:docVar w:name="LW_ANNEX_UNIQUE" w:val="1"/>
    <w:docVar w:name="LW_CORRIGENDUM" w:val="&lt;UNUSED&gt;"/>
    <w:docVar w:name="LW_COVERPAGE_EXISTS" w:val="True"/>
    <w:docVar w:name="LW_COVERPAGE_GUID" w:val="0D0C1BC4-2F2B-4BDA-9E31-4986C0A4DD84"/>
    <w:docVar w:name="LW_COVERPAGE_TYPE" w:val="1"/>
    <w:docVar w:name="LW_CROSSREFERENCE" w:val="&lt;UNUSED&gt;"/>
    <w:docVar w:name="LW_DocType" w:val="ANNEX"/>
    <w:docVar w:name="LW_EMISSION" w:val="22.1.2021"/>
    <w:docVar w:name="LW_EMISSION_ISODATE" w:val="2021-01-22"/>
    <w:docVar w:name="LW_EMISSION_LOCATION" w:val="BRX"/>
    <w:docVar w:name="LW_EMISSION_PREFIX" w:val="Brussels, "/>
    <w:docVar w:name="LW_EMISSION_SUFFIX" w:val=" "/>
    <w:docVar w:name="LW_ID_DOCSTRUCTURE" w:val="COM/ANNEX"/>
    <w:docVar w:name="LW_ID_DOCTYPE" w:val="SG-017"/>
    <w:docVar w:name="LW_LANGUE" w:val="EN"/>
    <w:docVar w:name="LW_LEVEL_OF_SENSITIVITY" w:val="Standard treatment"/>
    <w:docVar w:name="LW_NOM.INST" w:val="EUROPEAN COMMISSION"/>
    <w:docVar w:name="LW_NOM.INST_JOINTDOC" w:val="&lt;EMPTY&gt;"/>
    <w:docVar w:name="LW_OBJETACTEPRINCIPAL" w:val="on the position to be taken on behalf of the European Union in the Administrative Committee for the Customs Convention on the international transport of goods under cover of TIR Carnets as regards the proposal to amend the Convention"/>
    <w:docVar w:name="LW_OBJETACTEPRINCIPAL.CP" w:val="on the position to be taken on behalf of the European Union in the Administrative Committee for the Customs Convention on the international transport of goods under cover of TIR Carnets as regards the proposal to amend the Convention"/>
    <w:docVar w:name="LW_PART_NBR" w:val="1"/>
    <w:docVar w:name="LW_PART_NBR_TOTAL" w:val="1"/>
    <w:docVar w:name="LW_REF.INST.NEW" w:val="COM"/>
    <w:docVar w:name="LW_REF.INST.NEW_ADOPTED" w:val="final"/>
    <w:docVar w:name="LW_REF.INST.NEW_TEXT" w:val="(2021) 2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 w:val="ANNEX"/>
    <w:docVar w:name="LW_TYPE.DOC.CP" w:val="ANNEX"/>
    <w:docVar w:name="LW_TYPEACTEPRINCIPAL" w:val="Proposal for a Council Decision "/>
    <w:docVar w:name="LW_TYPEACTEPRINCIPAL.CP" w:val="Proposal for a Council Decision "/>
  </w:docVar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hAnsi="Times New Roman" w:cs="Times New Roman"/>
      <w:sz w:val="24"/>
      <w:lang w:val="en-GB"/>
    </w:rPr>
  </w:style>
  <w:style w:type="paragraph" w:styleId="Heading1">
    <w:name w:val="heading 1"/>
    <w:basedOn w:val="Normal"/>
    <w:next w:val="Text1"/>
    <w:link w:val="Heading1Char"/>
    <w:uiPriority w:val="9"/>
    <w:qFormat/>
    <w:pPr>
      <w:keepNext/>
      <w:numPr>
        <w:numId w:val="43"/>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43"/>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43"/>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43"/>
      </w:numPr>
      <w:outlineLvl w:val="3"/>
    </w:pPr>
    <w:rPr>
      <w:rFonts w:eastAsiaTheme="majorEastAsia"/>
      <w:bCs/>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pPr>
      <w:suppressAutoHyphens/>
      <w:spacing w:before="0" w:line="240" w:lineRule="atLeast"/>
      <w:ind w:left="1134" w:right="1134"/>
    </w:pPr>
    <w:rPr>
      <w:rFonts w:eastAsia="Times New Roman"/>
      <w:sz w:val="20"/>
      <w:szCs w:val="20"/>
      <w:lang w:eastAsia="fr-FR"/>
    </w:rPr>
  </w:style>
  <w:style w:type="character" w:customStyle="1" w:styleId="SingleTxtGChar">
    <w:name w:val="_ Single Txt_G Char"/>
    <w:link w:val="SingleTxtG"/>
    <w:rPr>
      <w:rFonts w:ascii="Times New Roman" w:eastAsia="Times New Roman" w:hAnsi="Times New Roman" w:cs="Times New Roman"/>
      <w:sz w:val="20"/>
      <w:szCs w:val="20"/>
      <w:lang w:val="en-GB" w:eastAsia="fr-FR"/>
    </w:rPr>
  </w:style>
  <w:style w:type="paragraph" w:styleId="Caption">
    <w:name w:val="caption"/>
    <w:basedOn w:val="Normal"/>
    <w:next w:val="Normal"/>
    <w:uiPriority w:val="35"/>
    <w:semiHidden/>
    <w:unhideWhenUsed/>
    <w:qFormat/>
    <w:pPr>
      <w:spacing w:before="0" w:after="200"/>
    </w:pPr>
    <w:rPr>
      <w:i/>
      <w:iCs/>
      <w:color w:val="1F497D" w:themeColor="text2"/>
      <w:sz w:val="18"/>
      <w:szCs w:val="18"/>
    </w:rPr>
  </w:style>
  <w:style w:type="paragraph" w:styleId="TableofFigures">
    <w:name w:val="table of figures"/>
    <w:basedOn w:val="Normal"/>
    <w:next w:val="Normal"/>
    <w:uiPriority w:val="99"/>
    <w:semiHidden/>
    <w:unhideWhenUsed/>
    <w:pPr>
      <w:spacing w:after="0"/>
    </w:pPr>
  </w:style>
  <w:style w:type="paragraph" w:styleId="ListBullet">
    <w:name w:val="List Bullet"/>
    <w:basedOn w:val="Normal"/>
    <w:uiPriority w:val="99"/>
    <w:semiHidden/>
    <w:unhideWhenUsed/>
    <w:pPr>
      <w:numPr>
        <w:numId w:val="1"/>
      </w:numPr>
      <w:contextualSpacing/>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Number">
    <w:name w:val="List Number"/>
    <w:basedOn w:val="Normal"/>
    <w:uiPriority w:val="99"/>
    <w:semiHidden/>
    <w:unhideWhenUsed/>
    <w:pPr>
      <w:numPr>
        <w:numId w:val="5"/>
      </w:numPr>
      <w:contextualSpacing/>
    </w:pPr>
  </w:style>
  <w:style w:type="paragraph" w:styleId="ListNumber2">
    <w:name w:val="List Number 2"/>
    <w:basedOn w:val="Normal"/>
    <w:uiPriority w:val="99"/>
    <w:semiHidden/>
    <w:unhideWhenUsed/>
    <w:pPr>
      <w:numPr>
        <w:numId w:val="6"/>
      </w:numPr>
      <w:contextualSpacing/>
    </w:pPr>
  </w:style>
  <w:style w:type="paragraph" w:styleId="ListNumber3">
    <w:name w:val="List Number 3"/>
    <w:basedOn w:val="Normal"/>
    <w:uiPriority w:val="99"/>
    <w:semiHidden/>
    <w:unhideWhenUsed/>
    <w:pPr>
      <w:numPr>
        <w:numId w:val="7"/>
      </w:numPr>
      <w:contextualSpacing/>
    </w:pPr>
  </w:style>
  <w:style w:type="paragraph" w:styleId="ListNumber4">
    <w:name w:val="List Number 4"/>
    <w:basedOn w:val="Normal"/>
    <w:uiPriority w:val="99"/>
    <w:semiHidden/>
    <w:unhideWhenUsed/>
    <w:pPr>
      <w:numPr>
        <w:numId w:val="8"/>
      </w:numPr>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cs="Times New Roman"/>
      <w:b/>
      <w:bCs/>
      <w:sz w:val="20"/>
      <w:szCs w:val="20"/>
      <w:lang w:val="en-GB"/>
    </w:rPr>
  </w:style>
  <w:style w:type="paragraph" w:styleId="BalloonText">
    <w:name w:val="Balloon Text"/>
    <w:basedOn w:val="Normal"/>
    <w:link w:val="BalloonTextChar"/>
    <w:uiPriority w:val="99"/>
    <w:semiHidden/>
    <w:unhideWhenUse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val="en-GB"/>
    </w:r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535"/>
        <w:tab w:val="right" w:pos="9071"/>
      </w:tabs>
      <w:spacing w:before="0"/>
    </w:pPr>
  </w:style>
  <w:style w:type="character" w:customStyle="1" w:styleId="HeaderChar">
    <w:name w:val="Header Char"/>
    <w:basedOn w:val="DefaultParagraphFont"/>
    <w:link w:val="Header"/>
    <w:uiPriority w:val="99"/>
    <w:rPr>
      <w:rFonts w:ascii="Times New Roman" w:hAnsi="Times New Roman" w:cs="Times New Roman"/>
      <w:sz w:val="24"/>
      <w:lang w:val="en-GB"/>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Pr>
      <w:rFonts w:ascii="Times New Roman" w:hAnsi="Times New Roman" w:cs="Times New Roman"/>
      <w:sz w:val="24"/>
      <w:lang w:val="en-GB"/>
    </w:rPr>
  </w:style>
  <w:style w:type="paragraph" w:styleId="FootnoteText">
    <w:name w:val="footnote text"/>
    <w:basedOn w:val="Normal"/>
    <w:link w:val="FootnoteTextChar"/>
    <w:uiPriority w:val="99"/>
    <w:semiHidden/>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shd w:val="clear" w:color="auto" w:fill="auto"/>
      <w:lang w:val="en-GB"/>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shd w:val="clear" w:color="auto" w:fill="auto"/>
      <w:lang w:val="en-GB"/>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shd w:val="clear" w:color="auto" w:fill="auto"/>
      <w:lang w:val="en-GB"/>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shd w:val="clear" w:color="auto" w:fill="auto"/>
      <w:lang w:val="en-GB"/>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pPr>
  </w:style>
  <w:style w:type="paragraph" w:customStyle="1" w:styleId="HeaderLandscape">
    <w:name w:val="HeaderLandscape"/>
    <w:basedOn w:val="Normal"/>
    <w:pPr>
      <w:tabs>
        <w:tab w:val="center" w:pos="7285"/>
        <w:tab w:val="right" w:pos="14003"/>
      </w:tabs>
      <w:spacing w:before="0"/>
    </w:p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style>
  <w:style w:type="character" w:styleId="FootnoteReference">
    <w:name w:val="footnote reference"/>
    <w:basedOn w:val="DefaultParagraphFont"/>
    <w:uiPriority w:val="99"/>
    <w:semiHidden/>
    <w:unhideWhenUsed/>
    <w:rPr>
      <w:shd w:val="clear" w:color="auto" w:fill="auto"/>
      <w:vertAlign w:val="superscript"/>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HeaderSensitivityRight">
    <w:name w:val="Header Sensitivity Right"/>
    <w:basedOn w:val="Normal"/>
    <w:pPr>
      <w:spacing w:before="0"/>
      <w:jc w:val="right"/>
    </w:pPr>
    <w:rPr>
      <w:sz w:val="28"/>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37"/>
      </w:numPr>
    </w:pPr>
  </w:style>
  <w:style w:type="paragraph" w:customStyle="1" w:styleId="Tiret1">
    <w:name w:val="Tiret 1"/>
    <w:basedOn w:val="Point1"/>
    <w:pPr>
      <w:numPr>
        <w:numId w:val="38"/>
      </w:numPr>
    </w:pPr>
  </w:style>
  <w:style w:type="paragraph" w:customStyle="1" w:styleId="Tiret2">
    <w:name w:val="Tiret 2"/>
    <w:basedOn w:val="Point2"/>
    <w:pPr>
      <w:numPr>
        <w:numId w:val="39"/>
      </w:numPr>
    </w:pPr>
  </w:style>
  <w:style w:type="paragraph" w:customStyle="1" w:styleId="Tiret3">
    <w:name w:val="Tiret 3"/>
    <w:basedOn w:val="Point3"/>
    <w:pPr>
      <w:numPr>
        <w:numId w:val="40"/>
      </w:numPr>
    </w:pPr>
  </w:style>
  <w:style w:type="paragraph" w:customStyle="1" w:styleId="Tiret4">
    <w:name w:val="Tiret 4"/>
    <w:basedOn w:val="Point4"/>
    <w:pPr>
      <w:numPr>
        <w:numId w:val="41"/>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42"/>
      </w:numPr>
    </w:pPr>
  </w:style>
  <w:style w:type="paragraph" w:customStyle="1" w:styleId="NumPar2">
    <w:name w:val="NumPar 2"/>
    <w:basedOn w:val="Normal"/>
    <w:next w:val="Text1"/>
    <w:pPr>
      <w:numPr>
        <w:ilvl w:val="1"/>
        <w:numId w:val="42"/>
      </w:numPr>
    </w:pPr>
  </w:style>
  <w:style w:type="paragraph" w:customStyle="1" w:styleId="NumPar3">
    <w:name w:val="NumPar 3"/>
    <w:basedOn w:val="Normal"/>
    <w:next w:val="Text1"/>
    <w:pPr>
      <w:numPr>
        <w:ilvl w:val="2"/>
        <w:numId w:val="42"/>
      </w:numPr>
    </w:pPr>
  </w:style>
  <w:style w:type="paragraph" w:customStyle="1" w:styleId="NumPar4">
    <w:name w:val="NumPar 4"/>
    <w:basedOn w:val="Normal"/>
    <w:next w:val="Text1"/>
    <w:pPr>
      <w:numPr>
        <w:ilvl w:val="3"/>
        <w:numId w:val="42"/>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44"/>
      </w:numPr>
    </w:pPr>
  </w:style>
  <w:style w:type="paragraph" w:customStyle="1" w:styleId="Point1number">
    <w:name w:val="Point 1 (number)"/>
    <w:basedOn w:val="Normal"/>
    <w:pPr>
      <w:numPr>
        <w:ilvl w:val="2"/>
        <w:numId w:val="44"/>
      </w:numPr>
    </w:pPr>
  </w:style>
  <w:style w:type="paragraph" w:customStyle="1" w:styleId="Point2number">
    <w:name w:val="Point 2 (number)"/>
    <w:basedOn w:val="Normal"/>
    <w:pPr>
      <w:numPr>
        <w:ilvl w:val="4"/>
        <w:numId w:val="44"/>
      </w:numPr>
    </w:pPr>
  </w:style>
  <w:style w:type="paragraph" w:customStyle="1" w:styleId="Point3number">
    <w:name w:val="Point 3 (number)"/>
    <w:basedOn w:val="Normal"/>
    <w:pPr>
      <w:numPr>
        <w:ilvl w:val="6"/>
        <w:numId w:val="44"/>
      </w:numPr>
    </w:pPr>
  </w:style>
  <w:style w:type="paragraph" w:customStyle="1" w:styleId="Point0letter">
    <w:name w:val="Point 0 (letter)"/>
    <w:basedOn w:val="Normal"/>
    <w:pPr>
      <w:numPr>
        <w:ilvl w:val="1"/>
        <w:numId w:val="44"/>
      </w:numPr>
    </w:pPr>
  </w:style>
  <w:style w:type="paragraph" w:customStyle="1" w:styleId="Point1letter">
    <w:name w:val="Point 1 (letter)"/>
    <w:basedOn w:val="Normal"/>
    <w:pPr>
      <w:numPr>
        <w:ilvl w:val="3"/>
        <w:numId w:val="44"/>
      </w:numPr>
    </w:pPr>
  </w:style>
  <w:style w:type="paragraph" w:customStyle="1" w:styleId="Point2letter">
    <w:name w:val="Point 2 (letter)"/>
    <w:basedOn w:val="Normal"/>
    <w:pPr>
      <w:numPr>
        <w:ilvl w:val="5"/>
        <w:numId w:val="44"/>
      </w:numPr>
    </w:pPr>
  </w:style>
  <w:style w:type="paragraph" w:customStyle="1" w:styleId="Point3letter">
    <w:name w:val="Point 3 (letter)"/>
    <w:basedOn w:val="Normal"/>
    <w:pPr>
      <w:numPr>
        <w:ilvl w:val="7"/>
        <w:numId w:val="44"/>
      </w:numPr>
    </w:pPr>
  </w:style>
  <w:style w:type="paragraph" w:customStyle="1" w:styleId="Point4letter">
    <w:name w:val="Point 4 (letter)"/>
    <w:basedOn w:val="Normal"/>
    <w:pPr>
      <w:numPr>
        <w:ilvl w:val="8"/>
        <w:numId w:val="44"/>
      </w:numPr>
    </w:pPr>
  </w:style>
  <w:style w:type="paragraph" w:customStyle="1" w:styleId="Bullet0">
    <w:name w:val="Bullet 0"/>
    <w:basedOn w:val="Normal"/>
    <w:pPr>
      <w:numPr>
        <w:numId w:val="45"/>
      </w:numPr>
    </w:pPr>
  </w:style>
  <w:style w:type="paragraph" w:customStyle="1" w:styleId="Bullet1">
    <w:name w:val="Bullet 1"/>
    <w:basedOn w:val="Normal"/>
    <w:pPr>
      <w:numPr>
        <w:numId w:val="46"/>
      </w:numPr>
    </w:pPr>
  </w:style>
  <w:style w:type="paragraph" w:customStyle="1" w:styleId="Bullet2">
    <w:name w:val="Bullet 2"/>
    <w:basedOn w:val="Normal"/>
    <w:pPr>
      <w:numPr>
        <w:numId w:val="47"/>
      </w:numPr>
    </w:pPr>
  </w:style>
  <w:style w:type="paragraph" w:customStyle="1" w:styleId="Bullet3">
    <w:name w:val="Bullet 3"/>
    <w:basedOn w:val="Normal"/>
    <w:pPr>
      <w:numPr>
        <w:numId w:val="48"/>
      </w:numPr>
    </w:pPr>
  </w:style>
  <w:style w:type="paragraph" w:customStyle="1" w:styleId="Bullet4">
    <w:name w:val="Bullet 4"/>
    <w:basedOn w:val="Normal"/>
    <w:pPr>
      <w:numPr>
        <w:numId w:val="49"/>
      </w:numPr>
    </w:p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Emission">
    <w:name w:val="Emission"/>
    <w:basedOn w:val="Normal"/>
    <w:next w:val="Rfrenceinstitutionnelle"/>
    <w:pPr>
      <w:spacing w:before="0" w:after="0"/>
      <w:ind w:left="5103"/>
      <w:jc w:val="left"/>
    </w:pPr>
  </w:style>
  <w:style w:type="paragraph" w:customStyle="1" w:styleId="Rfrenceinstitutionnelle">
    <w:name w:val="Référence institutionnelle"/>
    <w:basedOn w:val="Normal"/>
    <w:next w:val="Confidentialit"/>
    <w:pPr>
      <w:spacing w:before="0" w:after="240"/>
      <w:ind w:left="5103"/>
      <w:jc w:val="left"/>
    </w:pPr>
  </w:style>
  <w:style w:type="paragraph" w:customStyle="1" w:styleId="Pagedecouverture">
    <w:name w:val="Page de couverture"/>
    <w:basedOn w:val="Normal"/>
    <w:next w:val="Normal"/>
    <w:pPr>
      <w:spacing w:before="0" w:after="0"/>
    </w:pPr>
  </w:style>
  <w:style w:type="paragraph" w:customStyle="1" w:styleId="Declassification">
    <w:name w:val="Declassification"/>
    <w:basedOn w:val="Normal"/>
    <w:next w:val="Normal"/>
    <w:pPr>
      <w:spacing w:before="0" w:after="0"/>
    </w:p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style>
  <w:style w:type="paragraph" w:customStyle="1" w:styleId="SecurityMarking">
    <w:name w:val="SecurityMarking"/>
    <w:basedOn w:val="Normal"/>
    <w:pPr>
      <w:spacing w:before="0" w:after="0" w:line="276" w:lineRule="auto"/>
      <w:ind w:left="5103"/>
      <w:jc w:val="left"/>
    </w:pPr>
    <w:rPr>
      <w:sz w:val="28"/>
    </w:rPr>
  </w:style>
  <w:style w:type="paragraph" w:customStyle="1" w:styleId="DateMarking">
    <w:name w:val="DateMarking"/>
    <w:basedOn w:val="Normal"/>
    <w:pPr>
      <w:spacing w:before="0" w:after="0" w:line="276" w:lineRule="auto"/>
      <w:ind w:left="5103"/>
      <w:jc w:val="left"/>
    </w:pPr>
    <w:rPr>
      <w:i/>
      <w:sz w:val="28"/>
    </w:rPr>
  </w:style>
  <w:style w:type="paragraph" w:customStyle="1" w:styleId="ReleasableTo">
    <w:name w:val="ReleasableTo"/>
    <w:basedOn w:val="Normal"/>
    <w:pPr>
      <w:spacing w:before="0" w:after="0" w:line="276" w:lineRule="auto"/>
      <w:ind w:left="5103"/>
      <w:jc w:val="left"/>
    </w:pPr>
    <w:rPr>
      <w:i/>
      <w:sz w:val="28"/>
    </w:r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50"/>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IntrtEEE"/>
    <w:pPr>
      <w:spacing w:before="360" w:after="0"/>
      <w:jc w:val="center"/>
    </w:pPr>
    <w:rPr>
      <w:b/>
    </w:r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ManualConsidrant">
    <w:name w:val="Manual Considérant"/>
    <w:basedOn w:val="Normal"/>
    <w:pPr>
      <w:ind w:left="709" w:hanging="709"/>
    </w:p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tatut">
    <w:name w:val="Statut"/>
    <w:basedOn w:val="Normal"/>
    <w:next w:val="Typedudocument"/>
    <w:pPr>
      <w:spacing w:before="0" w:after="240"/>
      <w:jc w:val="center"/>
    </w:pPr>
  </w:style>
  <w:style w:type="paragraph" w:customStyle="1" w:styleId="Titrearticle">
    <w:name w:val="Titre article"/>
    <w:basedOn w:val="Normal"/>
    <w:next w:val="Normal"/>
    <w:pPr>
      <w:keepNext/>
      <w:spacing w:before="360"/>
      <w:jc w:val="center"/>
    </w:pPr>
    <w:rPr>
      <w:i/>
    </w:rPr>
  </w:style>
  <w:style w:type="paragraph" w:customStyle="1" w:styleId="Typedudocument">
    <w:name w:val="Type du document"/>
    <w:basedOn w:val="Normal"/>
    <w:next w:val="Accompagnant"/>
    <w:pPr>
      <w:spacing w:before="360" w:after="18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IntrtEEE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ypedudocumentPagedecouverture">
    <w:name w:val="Type du document (Page de couverture)"/>
    <w:basedOn w:val="Typedudocument"/>
    <w:next w:val="Accompagnan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jc w:val="center"/>
    </w:pPr>
    <w:rPr>
      <w:b/>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hAnsi="Times New Roman" w:cs="Times New Roman"/>
      <w:sz w:val="24"/>
      <w:lang w:val="en-GB"/>
    </w:rPr>
  </w:style>
  <w:style w:type="paragraph" w:styleId="Heading1">
    <w:name w:val="heading 1"/>
    <w:basedOn w:val="Normal"/>
    <w:next w:val="Text1"/>
    <w:link w:val="Heading1Char"/>
    <w:uiPriority w:val="9"/>
    <w:qFormat/>
    <w:pPr>
      <w:keepNext/>
      <w:numPr>
        <w:numId w:val="43"/>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43"/>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43"/>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43"/>
      </w:numPr>
      <w:outlineLvl w:val="3"/>
    </w:pPr>
    <w:rPr>
      <w:rFonts w:eastAsiaTheme="majorEastAsia"/>
      <w:bCs/>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pPr>
      <w:suppressAutoHyphens/>
      <w:spacing w:before="0" w:line="240" w:lineRule="atLeast"/>
      <w:ind w:left="1134" w:right="1134"/>
    </w:pPr>
    <w:rPr>
      <w:rFonts w:eastAsia="Times New Roman"/>
      <w:sz w:val="20"/>
      <w:szCs w:val="20"/>
      <w:lang w:eastAsia="fr-FR"/>
    </w:rPr>
  </w:style>
  <w:style w:type="character" w:customStyle="1" w:styleId="SingleTxtGChar">
    <w:name w:val="_ Single Txt_G Char"/>
    <w:link w:val="SingleTxtG"/>
    <w:rPr>
      <w:rFonts w:ascii="Times New Roman" w:eastAsia="Times New Roman" w:hAnsi="Times New Roman" w:cs="Times New Roman"/>
      <w:sz w:val="20"/>
      <w:szCs w:val="20"/>
      <w:lang w:val="en-GB" w:eastAsia="fr-FR"/>
    </w:rPr>
  </w:style>
  <w:style w:type="paragraph" w:styleId="Caption">
    <w:name w:val="caption"/>
    <w:basedOn w:val="Normal"/>
    <w:next w:val="Normal"/>
    <w:uiPriority w:val="35"/>
    <w:semiHidden/>
    <w:unhideWhenUsed/>
    <w:qFormat/>
    <w:pPr>
      <w:spacing w:before="0" w:after="200"/>
    </w:pPr>
    <w:rPr>
      <w:i/>
      <w:iCs/>
      <w:color w:val="1F497D" w:themeColor="text2"/>
      <w:sz w:val="18"/>
      <w:szCs w:val="18"/>
    </w:rPr>
  </w:style>
  <w:style w:type="paragraph" w:styleId="TableofFigures">
    <w:name w:val="table of figures"/>
    <w:basedOn w:val="Normal"/>
    <w:next w:val="Normal"/>
    <w:uiPriority w:val="99"/>
    <w:semiHidden/>
    <w:unhideWhenUsed/>
    <w:pPr>
      <w:spacing w:after="0"/>
    </w:pPr>
  </w:style>
  <w:style w:type="paragraph" w:styleId="ListBullet">
    <w:name w:val="List Bullet"/>
    <w:basedOn w:val="Normal"/>
    <w:uiPriority w:val="99"/>
    <w:semiHidden/>
    <w:unhideWhenUsed/>
    <w:pPr>
      <w:numPr>
        <w:numId w:val="1"/>
      </w:numPr>
      <w:contextualSpacing/>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Number">
    <w:name w:val="List Number"/>
    <w:basedOn w:val="Normal"/>
    <w:uiPriority w:val="99"/>
    <w:semiHidden/>
    <w:unhideWhenUsed/>
    <w:pPr>
      <w:numPr>
        <w:numId w:val="5"/>
      </w:numPr>
      <w:contextualSpacing/>
    </w:pPr>
  </w:style>
  <w:style w:type="paragraph" w:styleId="ListNumber2">
    <w:name w:val="List Number 2"/>
    <w:basedOn w:val="Normal"/>
    <w:uiPriority w:val="99"/>
    <w:semiHidden/>
    <w:unhideWhenUsed/>
    <w:pPr>
      <w:numPr>
        <w:numId w:val="6"/>
      </w:numPr>
      <w:contextualSpacing/>
    </w:pPr>
  </w:style>
  <w:style w:type="paragraph" w:styleId="ListNumber3">
    <w:name w:val="List Number 3"/>
    <w:basedOn w:val="Normal"/>
    <w:uiPriority w:val="99"/>
    <w:semiHidden/>
    <w:unhideWhenUsed/>
    <w:pPr>
      <w:numPr>
        <w:numId w:val="7"/>
      </w:numPr>
      <w:contextualSpacing/>
    </w:pPr>
  </w:style>
  <w:style w:type="paragraph" w:styleId="ListNumber4">
    <w:name w:val="List Number 4"/>
    <w:basedOn w:val="Normal"/>
    <w:uiPriority w:val="99"/>
    <w:semiHidden/>
    <w:unhideWhenUsed/>
    <w:pPr>
      <w:numPr>
        <w:numId w:val="8"/>
      </w:numPr>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cs="Times New Roman"/>
      <w:b/>
      <w:bCs/>
      <w:sz w:val="20"/>
      <w:szCs w:val="20"/>
      <w:lang w:val="en-GB"/>
    </w:rPr>
  </w:style>
  <w:style w:type="paragraph" w:styleId="BalloonText">
    <w:name w:val="Balloon Text"/>
    <w:basedOn w:val="Normal"/>
    <w:link w:val="BalloonTextChar"/>
    <w:uiPriority w:val="99"/>
    <w:semiHidden/>
    <w:unhideWhenUse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val="en-GB"/>
    </w:r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535"/>
        <w:tab w:val="right" w:pos="9071"/>
      </w:tabs>
      <w:spacing w:before="0"/>
    </w:pPr>
  </w:style>
  <w:style w:type="character" w:customStyle="1" w:styleId="HeaderChar">
    <w:name w:val="Header Char"/>
    <w:basedOn w:val="DefaultParagraphFont"/>
    <w:link w:val="Header"/>
    <w:uiPriority w:val="99"/>
    <w:rPr>
      <w:rFonts w:ascii="Times New Roman" w:hAnsi="Times New Roman" w:cs="Times New Roman"/>
      <w:sz w:val="24"/>
      <w:lang w:val="en-GB"/>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Pr>
      <w:rFonts w:ascii="Times New Roman" w:hAnsi="Times New Roman" w:cs="Times New Roman"/>
      <w:sz w:val="24"/>
      <w:lang w:val="en-GB"/>
    </w:rPr>
  </w:style>
  <w:style w:type="paragraph" w:styleId="FootnoteText">
    <w:name w:val="footnote text"/>
    <w:basedOn w:val="Normal"/>
    <w:link w:val="FootnoteTextChar"/>
    <w:uiPriority w:val="99"/>
    <w:semiHidden/>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shd w:val="clear" w:color="auto" w:fill="auto"/>
      <w:lang w:val="en-GB"/>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shd w:val="clear" w:color="auto" w:fill="auto"/>
      <w:lang w:val="en-GB"/>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shd w:val="clear" w:color="auto" w:fill="auto"/>
      <w:lang w:val="en-GB"/>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shd w:val="clear" w:color="auto" w:fill="auto"/>
      <w:lang w:val="en-GB"/>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pPr>
  </w:style>
  <w:style w:type="paragraph" w:customStyle="1" w:styleId="HeaderLandscape">
    <w:name w:val="HeaderLandscape"/>
    <w:basedOn w:val="Normal"/>
    <w:pPr>
      <w:tabs>
        <w:tab w:val="center" w:pos="7285"/>
        <w:tab w:val="right" w:pos="14003"/>
      </w:tabs>
      <w:spacing w:before="0"/>
    </w:p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style>
  <w:style w:type="character" w:styleId="FootnoteReference">
    <w:name w:val="footnote reference"/>
    <w:basedOn w:val="DefaultParagraphFont"/>
    <w:uiPriority w:val="99"/>
    <w:semiHidden/>
    <w:unhideWhenUsed/>
    <w:rPr>
      <w:shd w:val="clear" w:color="auto" w:fill="auto"/>
      <w:vertAlign w:val="superscript"/>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HeaderSensitivityRight">
    <w:name w:val="Header Sensitivity Right"/>
    <w:basedOn w:val="Normal"/>
    <w:pPr>
      <w:spacing w:before="0"/>
      <w:jc w:val="right"/>
    </w:pPr>
    <w:rPr>
      <w:sz w:val="28"/>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37"/>
      </w:numPr>
    </w:pPr>
  </w:style>
  <w:style w:type="paragraph" w:customStyle="1" w:styleId="Tiret1">
    <w:name w:val="Tiret 1"/>
    <w:basedOn w:val="Point1"/>
    <w:pPr>
      <w:numPr>
        <w:numId w:val="38"/>
      </w:numPr>
    </w:pPr>
  </w:style>
  <w:style w:type="paragraph" w:customStyle="1" w:styleId="Tiret2">
    <w:name w:val="Tiret 2"/>
    <w:basedOn w:val="Point2"/>
    <w:pPr>
      <w:numPr>
        <w:numId w:val="39"/>
      </w:numPr>
    </w:pPr>
  </w:style>
  <w:style w:type="paragraph" w:customStyle="1" w:styleId="Tiret3">
    <w:name w:val="Tiret 3"/>
    <w:basedOn w:val="Point3"/>
    <w:pPr>
      <w:numPr>
        <w:numId w:val="40"/>
      </w:numPr>
    </w:pPr>
  </w:style>
  <w:style w:type="paragraph" w:customStyle="1" w:styleId="Tiret4">
    <w:name w:val="Tiret 4"/>
    <w:basedOn w:val="Point4"/>
    <w:pPr>
      <w:numPr>
        <w:numId w:val="41"/>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42"/>
      </w:numPr>
    </w:pPr>
  </w:style>
  <w:style w:type="paragraph" w:customStyle="1" w:styleId="NumPar2">
    <w:name w:val="NumPar 2"/>
    <w:basedOn w:val="Normal"/>
    <w:next w:val="Text1"/>
    <w:pPr>
      <w:numPr>
        <w:ilvl w:val="1"/>
        <w:numId w:val="42"/>
      </w:numPr>
    </w:pPr>
  </w:style>
  <w:style w:type="paragraph" w:customStyle="1" w:styleId="NumPar3">
    <w:name w:val="NumPar 3"/>
    <w:basedOn w:val="Normal"/>
    <w:next w:val="Text1"/>
    <w:pPr>
      <w:numPr>
        <w:ilvl w:val="2"/>
        <w:numId w:val="42"/>
      </w:numPr>
    </w:pPr>
  </w:style>
  <w:style w:type="paragraph" w:customStyle="1" w:styleId="NumPar4">
    <w:name w:val="NumPar 4"/>
    <w:basedOn w:val="Normal"/>
    <w:next w:val="Text1"/>
    <w:pPr>
      <w:numPr>
        <w:ilvl w:val="3"/>
        <w:numId w:val="42"/>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44"/>
      </w:numPr>
    </w:pPr>
  </w:style>
  <w:style w:type="paragraph" w:customStyle="1" w:styleId="Point1number">
    <w:name w:val="Point 1 (number)"/>
    <w:basedOn w:val="Normal"/>
    <w:pPr>
      <w:numPr>
        <w:ilvl w:val="2"/>
        <w:numId w:val="44"/>
      </w:numPr>
    </w:pPr>
  </w:style>
  <w:style w:type="paragraph" w:customStyle="1" w:styleId="Point2number">
    <w:name w:val="Point 2 (number)"/>
    <w:basedOn w:val="Normal"/>
    <w:pPr>
      <w:numPr>
        <w:ilvl w:val="4"/>
        <w:numId w:val="44"/>
      </w:numPr>
    </w:pPr>
  </w:style>
  <w:style w:type="paragraph" w:customStyle="1" w:styleId="Point3number">
    <w:name w:val="Point 3 (number)"/>
    <w:basedOn w:val="Normal"/>
    <w:pPr>
      <w:numPr>
        <w:ilvl w:val="6"/>
        <w:numId w:val="44"/>
      </w:numPr>
    </w:pPr>
  </w:style>
  <w:style w:type="paragraph" w:customStyle="1" w:styleId="Point0letter">
    <w:name w:val="Point 0 (letter)"/>
    <w:basedOn w:val="Normal"/>
    <w:pPr>
      <w:numPr>
        <w:ilvl w:val="1"/>
        <w:numId w:val="44"/>
      </w:numPr>
    </w:pPr>
  </w:style>
  <w:style w:type="paragraph" w:customStyle="1" w:styleId="Point1letter">
    <w:name w:val="Point 1 (letter)"/>
    <w:basedOn w:val="Normal"/>
    <w:pPr>
      <w:numPr>
        <w:ilvl w:val="3"/>
        <w:numId w:val="44"/>
      </w:numPr>
    </w:pPr>
  </w:style>
  <w:style w:type="paragraph" w:customStyle="1" w:styleId="Point2letter">
    <w:name w:val="Point 2 (letter)"/>
    <w:basedOn w:val="Normal"/>
    <w:pPr>
      <w:numPr>
        <w:ilvl w:val="5"/>
        <w:numId w:val="44"/>
      </w:numPr>
    </w:pPr>
  </w:style>
  <w:style w:type="paragraph" w:customStyle="1" w:styleId="Point3letter">
    <w:name w:val="Point 3 (letter)"/>
    <w:basedOn w:val="Normal"/>
    <w:pPr>
      <w:numPr>
        <w:ilvl w:val="7"/>
        <w:numId w:val="44"/>
      </w:numPr>
    </w:pPr>
  </w:style>
  <w:style w:type="paragraph" w:customStyle="1" w:styleId="Point4letter">
    <w:name w:val="Point 4 (letter)"/>
    <w:basedOn w:val="Normal"/>
    <w:pPr>
      <w:numPr>
        <w:ilvl w:val="8"/>
        <w:numId w:val="44"/>
      </w:numPr>
    </w:pPr>
  </w:style>
  <w:style w:type="paragraph" w:customStyle="1" w:styleId="Bullet0">
    <w:name w:val="Bullet 0"/>
    <w:basedOn w:val="Normal"/>
    <w:pPr>
      <w:numPr>
        <w:numId w:val="45"/>
      </w:numPr>
    </w:pPr>
  </w:style>
  <w:style w:type="paragraph" w:customStyle="1" w:styleId="Bullet1">
    <w:name w:val="Bullet 1"/>
    <w:basedOn w:val="Normal"/>
    <w:pPr>
      <w:numPr>
        <w:numId w:val="46"/>
      </w:numPr>
    </w:pPr>
  </w:style>
  <w:style w:type="paragraph" w:customStyle="1" w:styleId="Bullet2">
    <w:name w:val="Bullet 2"/>
    <w:basedOn w:val="Normal"/>
    <w:pPr>
      <w:numPr>
        <w:numId w:val="47"/>
      </w:numPr>
    </w:pPr>
  </w:style>
  <w:style w:type="paragraph" w:customStyle="1" w:styleId="Bullet3">
    <w:name w:val="Bullet 3"/>
    <w:basedOn w:val="Normal"/>
    <w:pPr>
      <w:numPr>
        <w:numId w:val="48"/>
      </w:numPr>
    </w:pPr>
  </w:style>
  <w:style w:type="paragraph" w:customStyle="1" w:styleId="Bullet4">
    <w:name w:val="Bullet 4"/>
    <w:basedOn w:val="Normal"/>
    <w:pPr>
      <w:numPr>
        <w:numId w:val="49"/>
      </w:numPr>
    </w:p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Emission">
    <w:name w:val="Emission"/>
    <w:basedOn w:val="Normal"/>
    <w:next w:val="Rfrenceinstitutionnelle"/>
    <w:pPr>
      <w:spacing w:before="0" w:after="0"/>
      <w:ind w:left="5103"/>
      <w:jc w:val="left"/>
    </w:pPr>
  </w:style>
  <w:style w:type="paragraph" w:customStyle="1" w:styleId="Rfrenceinstitutionnelle">
    <w:name w:val="Référence institutionnelle"/>
    <w:basedOn w:val="Normal"/>
    <w:next w:val="Confidentialit"/>
    <w:pPr>
      <w:spacing w:before="0" w:after="240"/>
      <w:ind w:left="5103"/>
      <w:jc w:val="left"/>
    </w:pPr>
  </w:style>
  <w:style w:type="paragraph" w:customStyle="1" w:styleId="Pagedecouverture">
    <w:name w:val="Page de couverture"/>
    <w:basedOn w:val="Normal"/>
    <w:next w:val="Normal"/>
    <w:pPr>
      <w:spacing w:before="0" w:after="0"/>
    </w:pPr>
  </w:style>
  <w:style w:type="paragraph" w:customStyle="1" w:styleId="Declassification">
    <w:name w:val="Declassification"/>
    <w:basedOn w:val="Normal"/>
    <w:next w:val="Normal"/>
    <w:pPr>
      <w:spacing w:before="0" w:after="0"/>
    </w:p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style>
  <w:style w:type="paragraph" w:customStyle="1" w:styleId="SecurityMarking">
    <w:name w:val="SecurityMarking"/>
    <w:basedOn w:val="Normal"/>
    <w:pPr>
      <w:spacing w:before="0" w:after="0" w:line="276" w:lineRule="auto"/>
      <w:ind w:left="5103"/>
      <w:jc w:val="left"/>
    </w:pPr>
    <w:rPr>
      <w:sz w:val="28"/>
    </w:rPr>
  </w:style>
  <w:style w:type="paragraph" w:customStyle="1" w:styleId="DateMarking">
    <w:name w:val="DateMarking"/>
    <w:basedOn w:val="Normal"/>
    <w:pPr>
      <w:spacing w:before="0" w:after="0" w:line="276" w:lineRule="auto"/>
      <w:ind w:left="5103"/>
      <w:jc w:val="left"/>
    </w:pPr>
    <w:rPr>
      <w:i/>
      <w:sz w:val="28"/>
    </w:rPr>
  </w:style>
  <w:style w:type="paragraph" w:customStyle="1" w:styleId="ReleasableTo">
    <w:name w:val="ReleasableTo"/>
    <w:basedOn w:val="Normal"/>
    <w:pPr>
      <w:spacing w:before="0" w:after="0" w:line="276" w:lineRule="auto"/>
      <w:ind w:left="5103"/>
      <w:jc w:val="left"/>
    </w:pPr>
    <w:rPr>
      <w:i/>
      <w:sz w:val="28"/>
    </w:r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50"/>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IntrtEEE"/>
    <w:pPr>
      <w:spacing w:before="360" w:after="0"/>
      <w:jc w:val="center"/>
    </w:pPr>
    <w:rPr>
      <w:b/>
    </w:r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ManualConsidrant">
    <w:name w:val="Manual Considérant"/>
    <w:basedOn w:val="Normal"/>
    <w:pPr>
      <w:ind w:left="709" w:hanging="709"/>
    </w:p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tatut">
    <w:name w:val="Statut"/>
    <w:basedOn w:val="Normal"/>
    <w:next w:val="Typedudocument"/>
    <w:pPr>
      <w:spacing w:before="0" w:after="240"/>
      <w:jc w:val="center"/>
    </w:pPr>
  </w:style>
  <w:style w:type="paragraph" w:customStyle="1" w:styleId="Titrearticle">
    <w:name w:val="Titre article"/>
    <w:basedOn w:val="Normal"/>
    <w:next w:val="Normal"/>
    <w:pPr>
      <w:keepNext/>
      <w:spacing w:before="360"/>
      <w:jc w:val="center"/>
    </w:pPr>
    <w:rPr>
      <w:i/>
    </w:rPr>
  </w:style>
  <w:style w:type="paragraph" w:customStyle="1" w:styleId="Typedudocument">
    <w:name w:val="Type du document"/>
    <w:basedOn w:val="Normal"/>
    <w:next w:val="Accompagnant"/>
    <w:pPr>
      <w:spacing w:before="360" w:after="18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IntrtEEE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ypedudocumentPagedecouverture">
    <w:name w:val="Type du document (Page de couverture)"/>
    <w:basedOn w:val="Typedudocument"/>
    <w:next w:val="Accompagnan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jc w:val="center"/>
    </w:pPr>
    <w:rPr>
      <w:b/>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ANNEX.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E038C2-B971-4BFA-977D-2B01DD515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ANNEX.dotm</Template>
  <TotalTime>2</TotalTime>
  <Pages>6</Pages>
  <Words>223</Words>
  <Characters>930</Characters>
  <Application>Microsoft Office Word</Application>
  <DocSecurity>0</DocSecurity>
  <Lines>34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LABORIE Pierre-Jean (TAXUD)</dc:creator>
  <cp:keywords/>
  <dc:description/>
  <cp:lastModifiedBy>WES PDFC Administrator</cp:lastModifiedBy>
  <cp:revision>9</cp:revision>
  <cp:lastPrinted>2020-11-20T14:14:00Z</cp:lastPrinted>
  <dcterms:created xsi:type="dcterms:W3CDTF">2020-12-21T08:43:00Z</dcterms:created>
  <dcterms:modified xsi:type="dcterms:W3CDTF">2021-01-21T15:09:00Z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COM/ANNEX</vt:lpwstr>
  </property>
  <property fmtid="{D5CDD505-2E9C-101B-9397-08002B2CF9AE}" pid="3" name="Version">
    <vt:lpwstr>7.0.8.0</vt:lpwstr>
  </property>
  <property fmtid="{D5CDD505-2E9C-101B-9397-08002B2CF9AE}" pid="4" name="Last edited using">
    <vt:lpwstr>LW 7.0.1, Build 20190916</vt:lpwstr>
  </property>
  <property fmtid="{D5CDD505-2E9C-101B-9397-08002B2CF9AE}" pid="5" name="Created using">
    <vt:lpwstr>LW 7.0, Build 20190717</vt:lpwstr>
  </property>
  <property fmtid="{D5CDD505-2E9C-101B-9397-08002B2CF9AE}" pid="6" name="First annex">
    <vt:lpwstr>1</vt:lpwstr>
  </property>
  <property fmtid="{D5CDD505-2E9C-101B-9397-08002B2CF9AE}" pid="7" name="Last annex">
    <vt:lpwstr>1</vt:lpwstr>
  </property>
  <property fmtid="{D5CDD505-2E9C-101B-9397-08002B2CF9AE}" pid="8" name="Unique annex">
    <vt:lpwstr>1</vt:lpwstr>
  </property>
  <property fmtid="{D5CDD505-2E9C-101B-9397-08002B2CF9AE}" pid="9" name="Part">
    <vt:lpwstr>1</vt:lpwstr>
  </property>
  <property fmtid="{D5CDD505-2E9C-101B-9397-08002B2CF9AE}" pid="10" name="Total parts">
    <vt:lpwstr>1</vt:lpwstr>
  </property>
  <property fmtid="{D5CDD505-2E9C-101B-9397-08002B2CF9AE}" pid="11" name="Level of sensitivity">
    <vt:lpwstr>Standard treatment</vt:lpwstr>
  </property>
  <property fmtid="{D5CDD505-2E9C-101B-9397-08002B2CF9AE}" pid="12" name="LWTemplateID">
    <vt:lpwstr>SG-017</vt:lpwstr>
  </property>
  <property fmtid="{D5CDD505-2E9C-101B-9397-08002B2CF9AE}" pid="13" name="DQCStatus">
    <vt:lpwstr>Green (DQC version 03)</vt:lpwstr>
  </property>
</Properties>
</file>