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57" w:rsidRDefault="00C0334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E076F55-CFED-41EE-A372-5426FCE25526" style="width:451pt;height:384pt">
            <v:imagedata r:id="rId8" o:title=""/>
          </v:shape>
        </w:pict>
      </w:r>
    </w:p>
    <w:p w:rsidR="00420057" w:rsidRDefault="00420057">
      <w:pPr>
        <w:rPr>
          <w:noProof/>
        </w:rPr>
        <w:sectPr w:rsidR="004200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20057" w:rsidRDefault="005266BF">
      <w:pPr>
        <w:pStyle w:val="Annexetitre"/>
        <w:rPr>
          <w:noProof/>
        </w:rPr>
      </w:pPr>
      <w:r>
        <w:rPr>
          <w:noProof/>
        </w:rPr>
        <w:lastRenderedPageBreak/>
        <w:t>ANNEX</w:t>
      </w:r>
    </w:p>
    <w:p w:rsidR="00420057" w:rsidRDefault="00420057">
      <w:pPr>
        <w:jc w:val="center"/>
        <w:rPr>
          <w:b/>
          <w:noProof/>
        </w:rPr>
      </w:pPr>
    </w:p>
    <w:p w:rsidR="00420057" w:rsidRDefault="005266BF">
      <w:pPr>
        <w:jc w:val="center"/>
        <w:rPr>
          <w:b/>
          <w:noProof/>
        </w:rPr>
      </w:pPr>
      <w:r>
        <w:rPr>
          <w:b/>
          <w:noProof/>
        </w:rPr>
        <w:t>PART A</w:t>
      </w:r>
    </w:p>
    <w:p w:rsidR="00420057" w:rsidRDefault="005266BF">
      <w:pPr>
        <w:rPr>
          <w:noProof/>
        </w:rPr>
      </w:pPr>
      <w:r>
        <w:rPr>
          <w:noProof/>
        </w:rPr>
        <w:t>Annex IA to Regulation (EU) 2021/XXX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is amended as follows:</w:t>
      </w:r>
    </w:p>
    <w:p w:rsidR="00420057" w:rsidRDefault="005266BF">
      <w:pPr>
        <w:pStyle w:val="Point0letter"/>
        <w:numPr>
          <w:ilvl w:val="1"/>
          <w:numId w:val="10"/>
        </w:numPr>
        <w:rPr>
          <w:noProof/>
        </w:rPr>
      </w:pPr>
      <w:r>
        <w:rPr>
          <w:noProof/>
        </w:rPr>
        <w:t>Fishing opportunities table for whiting in 7b, 7c, 7d, 7e, 7f, 7g, 7h, 7j</w:t>
      </w:r>
      <w:r>
        <w:rPr>
          <w:noProof/>
        </w:rPr>
        <w:t xml:space="preserve"> and 7k is 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 w:rsidR="00420057">
        <w:trPr>
          <w:trHeight w:val="250"/>
        </w:trPr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Whiting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79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val="pt-PT" w:eastAsia="en-GB"/>
              </w:rPr>
              <w:t>7b, 7c, 7d, 7e, 7f, 7g, 7h, 7j and 7k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val="pt-PT"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Merlangius merlangus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(WHG/7X7A-C)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2 258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1 629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The Netherlands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3 942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404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4 346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9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 w:rsidR="00420057" w:rsidRDefault="005266BF">
      <w:pPr>
        <w:pStyle w:val="Point0letter"/>
        <w:rPr>
          <w:noProof/>
        </w:rPr>
      </w:pPr>
      <w:r>
        <w:rPr>
          <w:noProof/>
        </w:rPr>
        <w:t xml:space="preserve">Fishing opportunities table for blue whiting in Union and international waters of 1, 2, 3, 4, 5, 6, 7, 8a, 8b, 8d, 8e, 12 and 14  is </w:t>
      </w:r>
      <w:r>
        <w:rPr>
          <w:noProof/>
        </w:rPr>
        <w:t>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 w:rsidR="00420057"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Blue whiting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Union and international waters of 1, 2, 3, 4, 5, 6, 7, 8a, 8b, 8d, 8e, 12 and 14 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Micromesistius poutassou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(WHB/1X14)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34 892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13 566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Article 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7(2)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29 581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(2)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24 282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27 019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The Netherlands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42 546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2 748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(2)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8 631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183 265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69 930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Faroe Islands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7 000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45 274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Not relevant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 xml:space="preserve">Special condition: within a total access limit of 24 375 tonnes for the Union, Member States may fish up to the following percentage of 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their quotas in Faroese waters (WHB/*05-F.): 14,3%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Transfers of this quota may be effected to 8c, 9 and 10; Union waters of CECAF 34.1.1. However, such transfers shall be notified in advance to the Commission.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(3)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Special condition: from the EU quota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s in Union and international waters of 1, 2, 3, 4, 5, 6, 7, 8a, 8b, 8d, 8e, 12 and 14 (WHB/*NZJM1) and in 8c, 9 and 10; Union waters of CECAF 34.1.1 (WHB/*NZJM2), the following quantity may be fished in the Norwegian Economic Zone or in the fishery zone ar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ound Jan Mayen: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133 566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 w:rsidR="00420057" w:rsidRDefault="005266BF">
      <w:pPr>
        <w:pStyle w:val="Point0letter"/>
        <w:rPr>
          <w:noProof/>
        </w:rPr>
      </w:pPr>
      <w:r>
        <w:rPr>
          <w:noProof/>
        </w:rPr>
        <w:t>Fishing opportunities table for blue whiting in 8c, 9 and 10; Union waters of CECAF 34.1.1 is 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 w:rsidR="00420057"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Blue whiting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8c, 9 and 10; Union waters of CECAF 34.1.1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 xml:space="preserve">Micromesistius </w:t>
            </w: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poutassou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(WHB/8C3411)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25 065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6 266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7(2)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31 331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Not relevant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 xml:space="preserve">Special condition: from the EU 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quotas in Union and international waters of 1, 2, 3, 4, 5, 6, 7, 8a, 8b, 8d, 8e, 12 and 14 (WHB/*NZJM1) and in 8c, 9 and 10; Union waters of CECAF 34.1.1 (WHB/*NZJM2), the following quantity may be fished in the Norwegian Economic Zone or in the fishery zo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ne around Jan Mayen: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133 566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:rsidR="00420057" w:rsidRDefault="005266BF">
      <w:pPr>
        <w:pStyle w:val="Point0letter"/>
        <w:rPr>
          <w:noProof/>
        </w:rPr>
      </w:pPr>
      <w:r>
        <w:rPr>
          <w:noProof/>
        </w:rPr>
        <w:t>Fishing opportunities table for blue whiting in Union waters of 2, 4a, 5, 6 north of 56° 30' N and 7 west of 12° W is 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 w:rsidR="00420057"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Blue whiting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7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Union waters of 2, 4a, 5, 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6 north of 56° 30' N and 7 west of 12° W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Micromesistius poutassou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(WHB/24A567)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133 566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(2)</w:t>
            </w: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Faroe Islands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26 250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(3) (4)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7(2)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Not relevant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To be counted against quota established by Norway.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7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Special condition: the catch in 4a shall be no more than the following amount (WHB/*04A-C):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28 000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 xml:space="preserve">This catch restriction in 4a amounts to the following 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percentage of Norway's access limit: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(3)</w:t>
            </w:r>
          </w:p>
        </w:tc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To be counted against the quota established by the Faroe Islands.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(4)</w:t>
            </w:r>
          </w:p>
        </w:tc>
        <w:tc>
          <w:tcPr>
            <w:tcW w:w="8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 xml:space="preserve">Special conditions: may also be fished in 6b (WHB/*06B-C). The catch in 4a shall be no more than the following amount 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(WHB/*04A-C):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6 563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:rsidR="00420057" w:rsidRDefault="005266BF">
      <w:pPr>
        <w:pStyle w:val="Point0letter"/>
        <w:rPr>
          <w:noProof/>
        </w:rPr>
      </w:pPr>
      <w:r>
        <w:rPr>
          <w:noProof/>
        </w:rPr>
        <w:t>Fishing opportunities table for Norway lobster in 7 is 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 w:rsidR="00420057"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Norway lobster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Nephrops norvegicus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(NEP/07.)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252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1 022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1 550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2 824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1 379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4 203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Special condition: within the limits of the abovementioned quotas, no more than the 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quantities given below may be taken  in the following zone:</w:t>
            </w:r>
          </w:p>
        </w:tc>
      </w:tr>
      <w:tr w:rsidR="00420057"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0"/>
        </w:trPr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Functional Unit 16 of ICES Subarea 7 (NEP/*07U16):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Spain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 437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France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 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Ireland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 526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1 237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22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United Kingdom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 213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60"/>
        </w:trPr>
        <w:tc>
          <w:tcPr>
            <w:tcW w:w="94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7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420057" w:rsidRDefault="005266BF">
      <w:pPr>
        <w:pStyle w:val="Point0letter"/>
        <w:rPr>
          <w:noProof/>
        </w:rPr>
      </w:pPr>
      <w:r>
        <w:rPr>
          <w:noProof/>
        </w:rPr>
        <w:t>Fishing opportunities table for plaice in 7d and 7e is 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 w:rsidR="00420057">
        <w:trPr>
          <w:trHeight w:val="250"/>
        </w:trPr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Plaice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7d and 7e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Pleuronectes platessa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(PLE/7DE.)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674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2 247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7(2)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2 921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1 198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4 119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 w:rsidR="00420057" w:rsidRDefault="005266BF">
      <w:pPr>
        <w:pStyle w:val="Point0letter"/>
        <w:rPr>
          <w:noProof/>
        </w:rPr>
      </w:pPr>
      <w:r>
        <w:rPr>
          <w:noProof/>
        </w:rPr>
        <w:t>Fishing opportunities table for undulate ray in Union waters of 7d and 7e is 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849"/>
        <w:gridCol w:w="978"/>
        <w:gridCol w:w="573"/>
        <w:gridCol w:w="860"/>
        <w:gridCol w:w="998"/>
        <w:gridCol w:w="1216"/>
        <w:gridCol w:w="3185"/>
        <w:gridCol w:w="261"/>
        <w:gridCol w:w="261"/>
      </w:tblGrid>
      <w:tr w:rsidR="00420057">
        <w:trPr>
          <w:trHeight w:val="250"/>
        </w:trPr>
        <w:tc>
          <w:tcPr>
            <w:tcW w:w="8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Undulate ray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70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7d and 7e</w:t>
            </w:r>
          </w:p>
        </w:tc>
      </w:tr>
      <w:tr w:rsidR="00420057">
        <w:trPr>
          <w:trHeight w:val="260"/>
        </w:trPr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Raja undulata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(RJU/7DE.)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63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The 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106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735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 xml:space="preserve">This species shall not be targeted in the areas covered by this TAC. This species may only be landed whole 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or gutted. The former provisions are without prejudice to the prohibitions set out in Articles 13 and 48 of this Regulation for the areas specified therein.</w:t>
            </w:r>
          </w:p>
        </w:tc>
      </w:tr>
      <w:tr w:rsidR="00420057">
        <w:trPr>
          <w:trHeight w:val="260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 w:rsidR="00420057" w:rsidRDefault="005266BF">
      <w:pPr>
        <w:pStyle w:val="Point0letter"/>
        <w:rPr>
          <w:noProof/>
        </w:rPr>
      </w:pPr>
      <w:r>
        <w:rPr>
          <w:noProof/>
        </w:rPr>
        <w:t>Fishing opportunities table for common sole in 7d is replaced by the following: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48"/>
        <w:gridCol w:w="1316"/>
        <w:gridCol w:w="1042"/>
        <w:gridCol w:w="860"/>
        <w:gridCol w:w="1216"/>
        <w:gridCol w:w="3277"/>
        <w:gridCol w:w="261"/>
        <w:gridCol w:w="261"/>
      </w:tblGrid>
      <w:tr w:rsidR="00420057">
        <w:trPr>
          <w:trHeight w:val="250"/>
        </w:trPr>
        <w:tc>
          <w:tcPr>
            <w:tcW w:w="9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Common sole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2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7d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60"/>
        </w:trPr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Solea solea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(SOL/07D.)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301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4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602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7(2)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903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1 118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50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</w:tbl>
    <w:p w:rsidR="00420057" w:rsidRDefault="00420057">
      <w:pPr>
        <w:rPr>
          <w:noProof/>
        </w:rPr>
      </w:pPr>
    </w:p>
    <w:p w:rsidR="00420057" w:rsidRDefault="00420057">
      <w:pPr>
        <w:rPr>
          <w:noProof/>
        </w:rPr>
      </w:pPr>
    </w:p>
    <w:p w:rsidR="00420057" w:rsidRDefault="005266BF">
      <w:pPr>
        <w:jc w:val="center"/>
        <w:rPr>
          <w:b/>
          <w:noProof/>
        </w:rPr>
      </w:pPr>
      <w:r>
        <w:rPr>
          <w:b/>
          <w:noProof/>
        </w:rPr>
        <w:t>PART B</w:t>
      </w:r>
    </w:p>
    <w:p w:rsidR="00420057" w:rsidRDefault="005266BF">
      <w:pPr>
        <w:rPr>
          <w:noProof/>
        </w:rPr>
      </w:pPr>
      <w:r>
        <w:rPr>
          <w:noProof/>
        </w:rPr>
        <w:t>Annex IB to Regulation (EU) 2021/XXX is amended as follows:</w:t>
      </w:r>
    </w:p>
    <w:p w:rsidR="00420057" w:rsidRDefault="005266BF">
      <w:pPr>
        <w:pStyle w:val="Point0letter"/>
        <w:numPr>
          <w:ilvl w:val="1"/>
          <w:numId w:val="9"/>
        </w:numPr>
        <w:rPr>
          <w:noProof/>
        </w:rPr>
      </w:pPr>
      <w:r>
        <w:rPr>
          <w:noProof/>
        </w:rPr>
        <w:t>Fishing opportunities table for herring in Union, Faroese, Norwegian and international waters of 1 and 2 is replaced by the following:</w:t>
      </w:r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1701"/>
        <w:gridCol w:w="1122"/>
        <w:gridCol w:w="1588"/>
        <w:gridCol w:w="1259"/>
        <w:gridCol w:w="3356"/>
      </w:tblGrid>
      <w:tr w:rsidR="00420057">
        <w:trPr>
          <w:trHeight w:val="270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Herring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Union, Faroese, Norwegian and international waters of 1 and 2</w:t>
            </w:r>
          </w:p>
        </w:tc>
      </w:tr>
      <w:tr w:rsidR="00420057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Clupea harengus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(HER/1/2-)</w:t>
            </w: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10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9 965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1 745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430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2 580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The Netherlands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3 566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504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33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154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3 692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22 713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6 371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 xml:space="preserve">(1)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Faroe Islands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5 950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(2)(3)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26 175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(2)(4)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446 755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When reporting catches to the Commission the quantities fished in each of the following areas shall also be reported: NEAFC Regulatory Area and Union waters.</w:t>
            </w: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May be fished in Union waters north of 62° N.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(3)</w:t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 xml:space="preserve">To be counted </w:t>
            </w: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against the catch limits of the Faroe Islands.</w:t>
            </w: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(4)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To be counted against the catch limits of Norway.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90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Special condition: within the limits of the abovementioned quotas, no more than the quantities given below may be taken in the following zones:</w:t>
            </w:r>
          </w:p>
        </w:tc>
      </w:tr>
      <w:tr w:rsidR="00420057"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Norwegian waters north of 62° N and the fishery zone around Jan Mayen (HER/*2AJMN)</w:t>
            </w: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26 175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2, 5b north of 62° N (Faroese waters) (HER/*25B-F)</w:t>
            </w: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2 040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357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88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528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The Netherlands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729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103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 31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756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1 303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jc w:val="right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0057" w:rsidRDefault="005266BF">
            <w:pPr>
              <w:spacing w:after="0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20057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:rsidR="00AA7315" w:rsidRDefault="00AA7315" w:rsidP="00AA7315">
      <w:pPr>
        <w:rPr>
          <w:noProof/>
        </w:rPr>
      </w:pPr>
      <w:bookmarkStart w:id="0" w:name="_GoBack"/>
      <w:bookmarkEnd w:id="0"/>
      <w:r>
        <w:rPr>
          <w:noProof/>
        </w:rPr>
        <w:br w:type="page"/>
      </w:r>
    </w:p>
    <w:p w:rsidR="00420057" w:rsidRDefault="005266BF">
      <w:pPr>
        <w:pStyle w:val="Point0letter"/>
        <w:numPr>
          <w:ilvl w:val="1"/>
          <w:numId w:val="9"/>
        </w:numPr>
        <w:rPr>
          <w:noProof/>
        </w:rPr>
      </w:pPr>
      <w:r>
        <w:rPr>
          <w:noProof/>
        </w:rPr>
        <w:t xml:space="preserve">Fishing opportunities table for cod in Norwegian waters of 1 and 2 is replaced by the </w:t>
      </w:r>
      <w:r>
        <w:rPr>
          <w:noProof/>
        </w:rPr>
        <w:t>following:</w:t>
      </w:r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1701"/>
        <w:gridCol w:w="1044"/>
        <w:gridCol w:w="1513"/>
        <w:gridCol w:w="1513"/>
        <w:gridCol w:w="3255"/>
      </w:tblGrid>
      <w:tr w:rsidR="00420057">
        <w:trPr>
          <w:trHeight w:val="280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Cod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Norwegian waters of 1 and 2</w:t>
            </w:r>
          </w:p>
        </w:tc>
      </w:tr>
      <w:tr w:rsidR="0042005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Gadus morhua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(COD/1N2AB.)</w:t>
            </w: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1 300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161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1 450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apply</w:t>
            </w: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 161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6a(1) of this Regulation applies</w:t>
            </w: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1 194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1 450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5 716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5 044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jc w:val="righ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420057">
            <w:pPr>
              <w:spacing w:after="0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</w:tc>
      </w:tr>
      <w:tr w:rsidR="00420057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Not relevant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0057" w:rsidRDefault="005266BF"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:rsidR="00420057" w:rsidRDefault="00420057">
      <w:pPr>
        <w:rPr>
          <w:noProof/>
        </w:rPr>
      </w:pPr>
    </w:p>
    <w:sectPr w:rsidR="00420057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57" w:rsidRDefault="005266BF">
      <w:pPr>
        <w:spacing w:before="0" w:after="0"/>
      </w:pPr>
      <w:r>
        <w:separator/>
      </w:r>
    </w:p>
  </w:endnote>
  <w:endnote w:type="continuationSeparator" w:id="0">
    <w:p w:rsidR="00420057" w:rsidRDefault="005266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420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5266B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4200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5266BF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420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57" w:rsidRDefault="005266BF">
      <w:pPr>
        <w:spacing w:before="0" w:after="0"/>
      </w:pPr>
      <w:r>
        <w:separator/>
      </w:r>
    </w:p>
  </w:footnote>
  <w:footnote w:type="continuationSeparator" w:id="0">
    <w:p w:rsidR="00420057" w:rsidRDefault="005266BF">
      <w:pPr>
        <w:spacing w:before="0" w:after="0"/>
      </w:pPr>
      <w:r>
        <w:continuationSeparator/>
      </w:r>
    </w:p>
  </w:footnote>
  <w:footnote w:id="1">
    <w:p w:rsidR="00420057" w:rsidRDefault="005266BF">
      <w:pPr>
        <w:pStyle w:val="Statut"/>
        <w:jc w:val="left"/>
        <w:rPr>
          <w:noProof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  <w:lang w:val="en-IE"/>
        </w:rPr>
        <w:t xml:space="preserve">COM(2020)668 </w:t>
      </w:r>
      <w:r>
        <w:rPr>
          <w:noProof/>
          <w:sz w:val="20"/>
          <w:szCs w:val="20"/>
        </w:rPr>
        <w:t xml:space="preserve">Proposal for a </w:t>
      </w:r>
      <w:r>
        <w:rPr>
          <w:noProof/>
          <w:sz w:val="20"/>
          <w:szCs w:val="20"/>
        </w:rPr>
        <w:t xml:space="preserve">COUNCIL REGULATION </w:t>
      </w:r>
      <w:r>
        <w:rPr>
          <w:noProof/>
          <w:sz w:val="20"/>
          <w:szCs w:val="20"/>
        </w:rPr>
        <w:t>fixing for 2021 the fishing opportunities for certain fish stocks and groups of fish stocks, applicable in Union waters and, for Union fishing vessels, in certain non-Union waters</w:t>
      </w:r>
    </w:p>
    <w:p w:rsidR="00420057" w:rsidRDefault="0042005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420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420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57" w:rsidRDefault="00420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DA8F5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46E0E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03882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0C84E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D1A87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24A51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63A2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7E88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1-19 10:38:0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E076F55-CFED-41EE-A372-5426FCE25526"/>
    <w:docVar w:name="LW_COVERPAGE_TYPE" w:val="1"/>
    <w:docVar w:name="LW_CROSSREFERENCE" w:val="&lt;UNUSED&gt;"/>
    <w:docVar w:name="LW_DocType" w:val="ANNEX"/>
    <w:docVar w:name="LW_EMISSION" w:val="25.1.2021"/>
    <w:docVar w:name="LW_EMISSION_ISODATE" w:val="2021-01-2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&lt;FMT:Bold&gt;amending Regulation (EU) 2021/XXX as regards certain provisional fishing opportunities for 2021 in Union waters and non-Union waters&lt;/FMT&gt;"/>
    <w:docVar w:name="LW_OBJETACTEPRINCIPAL.CP" w:val="&lt;FMT:Bold&gt;amending Regulation (EU) 2021/XXX as regards certain provisional fishing opportunities for 2021 in Union waters and non-Union waters&lt;/FMT&gt;"/>
    <w:docVar w:name="LW_PART_NBR" w:val="1"/>
    <w:docVar w:name="LW_PART_NBR_TOTAL" w:val="1"/>
    <w:docVar w:name="LW_REF.INST.NEW" w:val="COM"/>
    <w:docVar w:name="LW_REF.INST.NEW_ADOPTED" w:val="final"/>
    <w:docVar w:name="LW_REF.INST.NEW_TEXT" w:val="(2021) 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w:rsids>
    <w:rsidRoot w:val="00420057"/>
    <w:rsid w:val="00420057"/>
    <w:rsid w:val="005266BF"/>
    <w:rsid w:val="00AA7315"/>
    <w:rsid w:val="00C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  <w14:docId w14:val="45CF5FC6"/>
  <w15:docId w15:val="{36AAD633-9549-476A-82EB-57842DF6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DEF934-3EC9-4027-9DA6-A5F76262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10</TotalTime>
  <Pages>7</Pages>
  <Words>1462</Words>
  <Characters>6756</Characters>
  <Application>Microsoft Office Word</Application>
  <DocSecurity>0</DocSecurity>
  <Lines>1351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RAINERI Veronique (MARE)</dc:creator>
  <cp:keywords/>
  <dc:description/>
  <cp:lastModifiedBy>PASCUAL IBANEZ Noelia (SG)</cp:lastModifiedBy>
  <cp:revision>13</cp:revision>
  <dcterms:created xsi:type="dcterms:W3CDTF">2021-01-21T09:20:00Z</dcterms:created>
  <dcterms:modified xsi:type="dcterms:W3CDTF">2021-01-21T13:58:00Z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