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D0363E1-0F2F-42DA-976F-A640B60E796A" style="width:450.4pt;height:381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  <w:r>
        <w:rPr>
          <w:noProof/>
        </w:rPr>
        <w:t>Спогодбата AETR се изменя, както следва:</w:t>
      </w:r>
    </w:p>
    <w:p>
      <w:pPr>
        <w:pStyle w:val="Point0number"/>
        <w:numPr>
          <w:ilvl w:val="0"/>
          <w:numId w:val="11"/>
        </w:numPr>
        <w:rPr>
          <w:noProof/>
        </w:rPr>
      </w:pPr>
      <w:r>
        <w:rPr>
          <w:noProof/>
        </w:rPr>
        <w:t xml:space="preserve">В член 1 се добавя следната буква ч): </w:t>
      </w:r>
    </w:p>
    <w:p>
      <w:pPr>
        <w:pStyle w:val="Text1"/>
        <w:rPr>
          <w:noProof/>
        </w:rPr>
      </w:pPr>
      <w:r>
        <w:rPr>
          <w:noProof/>
        </w:rPr>
        <w:t>ч)</w:t>
      </w:r>
      <w:r>
        <w:rPr>
          <w:noProof/>
        </w:rPr>
        <w:tab/>
        <w:t>„организация за регионална интеграция“ означава всяка организация, учредена от суверенни държави от даден регион, която е компетентна по отношение на някои въпроси, уредени с настоящата спогодба, и е надлежно оправомощена да подпише и да ратифицира, да приеме, да одобри или да се присъедини към настоящата спогодба.</w:t>
      </w:r>
    </w:p>
    <w:p>
      <w:pPr>
        <w:pStyle w:val="Point0number"/>
        <w:rPr>
          <w:noProof/>
        </w:rPr>
      </w:pPr>
      <w:r>
        <w:rPr>
          <w:noProof/>
        </w:rPr>
        <w:t>В член 10 се добавя следният параграф 4:</w:t>
      </w:r>
    </w:p>
    <w:p>
      <w:pPr>
        <w:pStyle w:val="Text1"/>
        <w:rPr>
          <w:noProof/>
        </w:rPr>
      </w:pPr>
      <w:r>
        <w:rPr>
          <w:noProof/>
        </w:rPr>
        <w:t>„4</w:t>
      </w:r>
      <w:r>
        <w:rPr>
          <w:noProof/>
        </w:rPr>
        <w:tab/>
        <w:t>От датата на влизане в сила на допълнение 1В от приложението към настоящата спогодба, превозните средства с контролен уред, отговарящ на изискванията на Регламент за изпълнение (ЕС) 2016/799 на Комисията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актовете за неговото изменение, или на допълнение 1В от приложението към настоящата спогодба по отношение на конструирането, монтажа, използването и изпитването, се смята за отговарящ на изискванията на настоящата спогодба.“;</w:t>
      </w:r>
    </w:p>
    <w:p>
      <w:pPr>
        <w:pStyle w:val="Point0number"/>
        <w:rPr>
          <w:noProof/>
        </w:rPr>
      </w:pPr>
      <w:r>
        <w:rPr>
          <w:noProof/>
        </w:rPr>
        <w:t>В член 13, параграф 2 се добавя следната буква в):</w:t>
      </w:r>
    </w:p>
    <w:p>
      <w:pPr>
        <w:pStyle w:val="Text1"/>
        <w:rPr>
          <w:noProof/>
        </w:rPr>
      </w:pPr>
      <w:r>
        <w:rPr>
          <w:noProof/>
        </w:rPr>
        <w:t>„в)</w:t>
      </w:r>
      <w:r>
        <w:rPr>
          <w:noProof/>
        </w:rPr>
        <w:tab/>
        <w:t>Допълнение 1В става задължително за държавите, които са договарящи страни по настоящата спогодба, не по-късно от 31 декември 2025 г.  В резултат на това всички превозни средства, обхванати от настоящата спогодба, въведени в експлоатация за първи път от 1 януари 2026 г., се оборудват с цифров контролен уред, който отговаря на тези нови изисквания. От датата на влизане в сила на съответните изменения на настоящата спогодба, договарящите страни, които все още не са въвели тези изменения в своите държави, приемат и контролират на своя територия превозни средства, регистрирани в друга договаряща страна по настоящата спогодба, които вече са оборудвани с такъв цифров контролен уред.</w:t>
      </w:r>
    </w:p>
    <w:p>
      <w:pPr>
        <w:pStyle w:val="Text1"/>
        <w:rPr>
          <w:noProof/>
        </w:rPr>
      </w:pPr>
      <w:r>
        <w:rPr>
          <w:noProof/>
        </w:rPr>
        <w:t>От 1 януари 2028 г. всички превозни средства, използвани в международния транспорт, се оборудват с цифров контролен уред, който отговаря на изискванията на допълнение 1В.</w:t>
      </w:r>
    </w:p>
    <w:p>
      <w:pPr>
        <w:pStyle w:val="Text1"/>
        <w:rPr>
          <w:noProof/>
        </w:rPr>
      </w:pPr>
      <w:r>
        <w:rPr>
          <w:noProof/>
        </w:rPr>
        <w:t>Договарящите страни предприемат необходимите стъпки, за да могат да издават картите на водача, посочени в допълнение 1В, не по-късно от 1 октомври 2025 г.“;</w:t>
      </w:r>
    </w:p>
    <w:p>
      <w:pPr>
        <w:pStyle w:val="Point0number"/>
        <w:rPr>
          <w:noProof/>
        </w:rPr>
      </w:pPr>
      <w:r>
        <w:rPr>
          <w:noProof/>
        </w:rPr>
        <w:t>Член 14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вмъква се следният параграф 1a:</w:t>
      </w:r>
    </w:p>
    <w:p>
      <w:pPr>
        <w:pStyle w:val="Text2"/>
        <w:rPr>
          <w:noProof/>
          <w:szCs w:val="24"/>
        </w:rPr>
      </w:pPr>
      <w:r>
        <w:rPr>
          <w:noProof/>
        </w:rPr>
        <w:t>„1a.</w:t>
      </w:r>
      <w:r>
        <w:rPr>
          <w:noProof/>
        </w:rPr>
        <w:tab/>
        <w:t xml:space="preserve">Настоящата спогодба е открита за подписване и от организации за регионална интеграция. </w:t>
      </w:r>
    </w:p>
    <w:p>
      <w:pPr>
        <w:pStyle w:val="Text2"/>
        <w:rPr>
          <w:noProof/>
          <w:szCs w:val="24"/>
        </w:rPr>
      </w:pPr>
      <w:r>
        <w:rPr>
          <w:noProof/>
        </w:rPr>
        <w:t xml:space="preserve">За целите на допълнения 1, 1Б, 1В, 2 и 3 представителят на организация за регионална интеграция, която е договаряща страна по спогодбата, </w:t>
      </w:r>
      <w:r>
        <w:rPr>
          <w:noProof/>
        </w:rPr>
        <w:lastRenderedPageBreak/>
        <w:t>представлява гласовете на нейните държави членки, без да е необходимо посочените държави членки да присъстват при гласуването.“;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параграф 5 се заменя със следното:</w:t>
      </w:r>
    </w:p>
    <w:p>
      <w:pPr>
        <w:pStyle w:val="Text2"/>
        <w:rPr>
          <w:noProof/>
          <w:szCs w:val="24"/>
        </w:rPr>
      </w:pPr>
      <w:r>
        <w:rPr>
          <w:noProof/>
        </w:rPr>
        <w:t>„5</w:t>
      </w:r>
      <w:r>
        <w:rPr>
          <w:noProof/>
        </w:rPr>
        <w:tab/>
        <w:t>За всяка държава или организация за регионална интеграция, която ратифицира настоящата спогодба или се присъедини към нея след предаването за съхранение на осмия документ за ратификация или за присъединяване, както е посочено в параграф 4 от настоящия член, настоящата спогодба ще влезе в сила след сто и осемдесет дни, считано от датата на предаването за съхранение от тази държава или организация за регионална интеграция на документа ѝ за ратификация или присъединяване.“;</w:t>
      </w:r>
    </w:p>
    <w:p>
      <w:pPr>
        <w:pStyle w:val="Point0number"/>
        <w:rPr>
          <w:noProof/>
        </w:rPr>
      </w:pPr>
      <w:r>
        <w:rPr>
          <w:noProof/>
        </w:rPr>
        <w:t>Член 22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параграфи 1 и 2 се заменят със следното:</w:t>
      </w:r>
    </w:p>
    <w:p>
      <w:pPr>
        <w:pStyle w:val="Text2"/>
        <w:rPr>
          <w:noProof/>
        </w:rPr>
      </w:pPr>
      <w:r>
        <w:rPr>
          <w:noProof/>
        </w:rPr>
        <w:t>„1</w:t>
      </w:r>
      <w:r>
        <w:rPr>
          <w:noProof/>
        </w:rPr>
        <w:tab/>
        <w:t xml:space="preserve">Допълнения 1, 1В, и 2 от приложението към настоящата спогодба могат да се изменят като се следва процедурата, определена в настоящия член. </w:t>
      </w:r>
    </w:p>
    <w:p>
      <w:pPr>
        <w:pStyle w:val="Text2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При искане на някоя договаряща страна за каквото и да е изменение на допълнения 1, 1В или 2 от приложението на настоящата спогодба, предложението ще бъде разгледано от Главната работна група за пътни превози към Икономическата комисия за Европа.“;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добавя се следният параграф 6:</w:t>
      </w:r>
    </w:p>
    <w:p>
      <w:pPr>
        <w:pStyle w:val="Text2"/>
        <w:rPr>
          <w:noProof/>
        </w:rPr>
      </w:pPr>
      <w:r>
        <w:rPr>
          <w:noProof/>
        </w:rPr>
        <w:t>„6</w:t>
      </w:r>
      <w:r>
        <w:rPr>
          <w:noProof/>
        </w:rPr>
        <w:tab/>
      </w:r>
      <w:r>
        <w:rPr>
          <w:noProof/>
          <w:color w:val="000000"/>
          <w:szCs w:val="24"/>
        </w:rPr>
        <w:t>Ако предложение за изменение на допълнение 1В от приложението към настоящата спогодба поражда необходимост от изменение на други разпоредби в спогодбата, измененията на допълнение 1В не могат да влязат в сила преди влизането в сила на измененията на тези други разпоредби, в съответствие с посоченото в член 21. Ако в такъв случай измененията на допълнение 1В са представени едновременно с измененията, отнасящи се за други разпоредби от спогодбата, датата на тяхното влизане в сила трябва да бъде датата, произтичаща от прилагането на процедурата по член 21.“;</w:t>
      </w:r>
    </w:p>
    <w:p>
      <w:pPr>
        <w:pStyle w:val="Point0number"/>
        <w:widowControl w:val="0"/>
        <w:spacing w:before="0"/>
        <w:rPr>
          <w:rFonts w:eastAsia="Times New Roman"/>
          <w:noProof/>
          <w:color w:val="000000"/>
          <w:szCs w:val="24"/>
        </w:rPr>
      </w:pPr>
      <w:r>
        <w:rPr>
          <w:noProof/>
        </w:rPr>
        <w:t xml:space="preserve">Добавя се ново допълнение 1В на основата на техническите спецификации, които трябва да бъдат приети от Комисията съгласно Регламент (ЕС) 2020/1054 </w:t>
      </w:r>
      <w:r>
        <w:rPr>
          <w:noProof/>
          <w:color w:val="000000"/>
          <w:shd w:val="clear" w:color="auto" w:fill="FFFFFF"/>
        </w:rPr>
        <w:t>на Европейския парламент и на Съвета</w:t>
      </w:r>
      <w:r>
        <w:rPr>
          <w:rStyle w:val="FootnoteReference"/>
          <w:noProof/>
          <w:lang w:bidi="en-US"/>
        </w:rPr>
        <w:footnoteReference w:id="3"/>
      </w:r>
      <w:r>
        <w:rPr>
          <w:noProof/>
        </w:rPr>
        <w:t>, адаптирани към контекста на AETR;</w:t>
      </w:r>
    </w:p>
    <w:p>
      <w:pPr>
        <w:pStyle w:val="Point0number"/>
        <w:widowControl w:val="0"/>
        <w:spacing w:before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>В допълнение 2, глава III, „Сертификат за одобрение на продукти в съответствие с Допълнение 1Б“ се заменя със следното:</w:t>
      </w:r>
    </w:p>
    <w:p>
      <w:pPr>
        <w:widowControl w:val="0"/>
        <w:spacing w:before="0"/>
        <w:rPr>
          <w:rFonts w:eastAsia="Times New Roman"/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>„III. Сертификат за одобрение на продукти в съответствие с Допълнение 1Б/1В (1)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noProof/>
          <w:color w:val="000000"/>
          <w:sz w:val="22"/>
        </w:rPr>
        <w:t>След като договарящата страна даде своето одобрение, тя издава на заявителя сертификат за одобрение, съставен в съответствие с посочения по-долу образец. Договарящите страни използват копия от този документ, за да съобщят на други договарящи страни за предоставените одобрения или евентуални отнемания на одобрения.</w:t>
      </w:r>
      <w:bookmarkStart w:id="1" w:name="bookmark77"/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/>
          <w:bCs/>
          <w:noProof/>
          <w:color w:val="000000"/>
          <w:sz w:val="22"/>
        </w:rPr>
        <w:t>Сертификат за одобрение на продукти в съответствие с Допълнение 1Б</w:t>
      </w:r>
      <w:bookmarkEnd w:id="1"/>
      <w:r>
        <w:rPr>
          <w:b/>
          <w:bCs/>
          <w:noProof/>
          <w:color w:val="000000"/>
          <w:sz w:val="22"/>
        </w:rPr>
        <w:t>/1В (1)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Наименование на компетентния орган</w:t>
      </w:r>
      <w:r>
        <w:rPr>
          <w:noProof/>
        </w:rPr>
        <w:tab/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Съобщение относно (2):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Одобрение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Отменяне на одобрение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 модел на контролен уред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 компонент на контролен уред (3)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 карта на водач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 карта за монтаж и настройки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 карта на превозвач</w:t>
      </w:r>
    </w:p>
    <w:p>
      <w:pPr>
        <w:widowControl w:val="0"/>
        <w:spacing w:before="0"/>
        <w:rPr>
          <w:rFonts w:eastAsia="Times New Roman"/>
          <w:noProof/>
          <w:color w:val="000000"/>
          <w:sz w:val="22"/>
        </w:rPr>
      </w:pPr>
      <w:r>
        <w:rPr>
          <w:bCs/>
          <w:noProof/>
          <w:color w:val="000000"/>
          <w:sz w:val="22"/>
        </w:rPr>
        <w:t>На инспекторска карта</w:t>
      </w:r>
    </w:p>
    <w:p>
      <w:pPr>
        <w:widowControl w:val="0"/>
        <w:spacing w:after="0" w:line="326" w:lineRule="exact"/>
        <w:rPr>
          <w:rFonts w:eastAsia="Times New Roman"/>
          <w:noProof/>
          <w:color w:val="000000"/>
          <w:sz w:val="22"/>
        </w:rPr>
      </w:pPr>
      <w:r>
        <w:rPr>
          <w:noProof/>
          <w:color w:val="000000"/>
          <w:sz w:val="22"/>
        </w:rPr>
        <w:t>Одобрение № ......</w:t>
      </w:r>
    </w:p>
    <w:p>
      <w:pPr>
        <w:pStyle w:val="Point0number"/>
        <w:numPr>
          <w:ilvl w:val="0"/>
          <w:numId w:val="9"/>
        </w:numPr>
        <w:spacing w:after="0"/>
        <w:rPr>
          <w:rFonts w:eastAsia="Times New Roman"/>
          <w:noProof/>
          <w:color w:val="000000"/>
          <w:sz w:val="20"/>
          <w:szCs w:val="20"/>
        </w:rPr>
      </w:pPr>
      <w:r>
        <w:rPr>
          <w:noProof/>
          <w:sz w:val="20"/>
          <w:szCs w:val="20"/>
        </w:rPr>
        <w:t>Производствена или търговска марка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Наименование на модела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Име на производителя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Адрес на производителя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Представено за одобрение на ................</w:t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Изпитвателна лаборатория или лаборатории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Дата и номер на протоколите ...... </w:t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Дата на одобряването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Дата на отменяне на одобрението</w:t>
      </w:r>
      <w:r>
        <w:rPr>
          <w:noProof/>
        </w:rPr>
        <w:tab/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Модел(и) на компонент(и) на контролния уред, с които </w:t>
      </w:r>
    </w:p>
    <w:p>
      <w:pPr>
        <w:widowControl w:val="0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color w:val="000000"/>
          <w:sz w:val="20"/>
          <w:szCs w:val="20"/>
        </w:rPr>
        <w:t>е предназначен да бъде използван компонентът ….</w:t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Място</w:t>
      </w:r>
      <w:r>
        <w:rPr>
          <w:noProof/>
        </w:rPr>
        <w:tab/>
      </w:r>
      <w:r>
        <w:rPr>
          <w:noProof/>
          <w:sz w:val="20"/>
          <w:szCs w:val="20"/>
        </w:rPr>
        <w:t>.</w:t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Дата ...............................</w:t>
      </w:r>
    </w:p>
    <w:p>
      <w:pPr>
        <w:pStyle w:val="Point0number"/>
        <w:spacing w:before="0" w:after="0"/>
        <w:rPr>
          <w:rFonts w:asciiTheme="minorHAnsi" w:hAnsiTheme="minorHAnsi" w:cstheme="minorBidi"/>
          <w:noProof/>
          <w:sz w:val="20"/>
          <w:szCs w:val="20"/>
        </w:rPr>
      </w:pPr>
      <w:r>
        <w:rPr>
          <w:noProof/>
          <w:sz w:val="20"/>
          <w:szCs w:val="20"/>
        </w:rPr>
        <w:t>Приложени описателни документи ...............................</w:t>
      </w:r>
    </w:p>
    <w:p>
      <w:pPr>
        <w:pStyle w:val="Point0number"/>
        <w:spacing w:before="0" w:after="0"/>
        <w:rPr>
          <w:noProof/>
          <w:sz w:val="20"/>
          <w:szCs w:val="20"/>
        </w:rPr>
      </w:pPr>
      <w:r>
        <w:rPr>
          <w:noProof/>
          <w:sz w:val="20"/>
          <w:szCs w:val="20"/>
        </w:rPr>
        <w:t>Забележки (включително поставяне на пломби, ако е необходимо) .................................</w:t>
      </w:r>
    </w:p>
    <w:p>
      <w:pPr>
        <w:widowControl w:val="0"/>
        <w:pBdr>
          <w:top w:val="single" w:sz="4" w:space="1" w:color="auto"/>
        </w:pBdr>
        <w:spacing w:before="0" w:after="0" w:line="326" w:lineRule="exact"/>
        <w:rPr>
          <w:noProof/>
          <w:sz w:val="22"/>
        </w:rPr>
      </w:pPr>
      <w:r>
        <w:rPr>
          <w:noProof/>
          <w:sz w:val="22"/>
        </w:rPr>
        <w:t>………………………………………………………………………..</w:t>
      </w:r>
    </w:p>
    <w:p>
      <w:pPr>
        <w:widowControl w:val="0"/>
        <w:pBdr>
          <w:top w:val="single" w:sz="4" w:space="1" w:color="auto"/>
        </w:pBdr>
        <w:spacing w:before="0" w:after="0" w:line="326" w:lineRule="exact"/>
        <w:rPr>
          <w:noProof/>
          <w:sz w:val="22"/>
        </w:rPr>
      </w:pPr>
      <w:r>
        <w:rPr>
          <w:noProof/>
          <w:sz w:val="22"/>
        </w:rPr>
        <w:t>………………………………………………………………………..</w:t>
      </w:r>
    </w:p>
    <w:p>
      <w:pPr>
        <w:widowControl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</w:rPr>
        <w:tab/>
      </w:r>
      <w:r>
        <w:rPr>
          <w:noProof/>
          <w:color w:val="000000"/>
          <w:szCs w:val="24"/>
        </w:rPr>
        <w:t>………………………..</w:t>
      </w:r>
    </w:p>
    <w:p>
      <w:pPr>
        <w:widowControl w:val="0"/>
        <w:spacing w:before="0" w:after="0"/>
        <w:rPr>
          <w:rFonts w:eastAsia="Times New Roman"/>
          <w:noProof/>
          <w:color w:val="000000"/>
          <w:sz w:val="20"/>
          <w:szCs w:val="20"/>
        </w:rPr>
      </w:pPr>
      <w:r>
        <w:rPr>
          <w:noProof/>
        </w:rPr>
        <w:tab/>
      </w:r>
      <w:r>
        <w:rPr>
          <w:noProof/>
          <w:color w:val="000000"/>
          <w:sz w:val="20"/>
          <w:szCs w:val="20"/>
        </w:rPr>
        <w:t>(Подпис)</w:t>
      </w:r>
    </w:p>
    <w:p>
      <w:pPr>
        <w:widowControl w:val="0"/>
        <w:spacing w:before="0" w:after="0"/>
        <w:rPr>
          <w:rFonts w:eastAsia="Times New Roman"/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1) Посочете дали става въпрос за допълнение 1Б или допълнение 1В</w:t>
      </w:r>
    </w:p>
    <w:p>
      <w:pPr>
        <w:widowControl w:val="0"/>
        <w:spacing w:before="0" w:after="0"/>
        <w:rPr>
          <w:rFonts w:eastAsia="Times New Roman"/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2) Отбележете съответните графи</w:t>
      </w:r>
    </w:p>
    <w:p>
      <w:pPr>
        <w:widowControl w:val="0"/>
        <w:spacing w:before="0" w:after="420"/>
        <w:rPr>
          <w:rFonts w:eastAsia="Times New Roman"/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3) Посочете за кой компонент става въпрос в сведението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2016/799 на Комисията от 18 март 2016 г. за прилагане на Регламент (ЕС) № 165/2014 на Европейския парламент и на Съвета по отношение на определянето на изискванията за конструкцията, изпитването, монтирането, експлоатацията и ремонта на тахографите и техните компоненти (ОВ L 139, 26.5.2016 г., стр. 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2020/1054 на Европейския парламент и на Съвета от 15 юли 2020 година за изменение на Регламент (ЕО) № 561/2006 по отношение на минималните изисквания за максималното дневно и седмично време на управление, минималните прекъсвания и дневните и седмичните почивки, и на Регламент (ЕС) № 165/2014 по отношение на установяването на местоположението чрез тахографи  (ОВ L 249, 31.7.2020 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27C65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9BED8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3A0F6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48E02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6F25C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8DCD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5BA3E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6E2C9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1-19 16:39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 \u1079?\u1072? \u1088?\u1077?\u1096?\u1077?\u1085?\u1080?\u1077? \u1085?\u1072? \u1057?\u1098?\u1074?\u1077?\u1090?\u1072? 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77?\u1082?\u1089?\u1087?\u1077?\u1088?\u1090?\u1085?\u1072?\u1090?\u1072? \u1075?\u1088?\u1091?\u1087?\u1072? \u1087?\u1086? \u1045?\u1074?\u1088?\u1086?\u1087?\u1077?\u1081?\u1089?\u1082?\u1072?\u1090?\u1072? \u1089?\u1087?\u1086?\u1075?\u1086?\u1076?\u1073?\u1072? \u1079?\u1072? \u1088?\u1072?\u1073?\u1086?\u1090?\u1072?\u1090?\u1072? \u1085?\u1072? \u1077?\u1082?\u1080?\u1087?\u1072?\u1078?\u1080?\u1090?\u1077? \u1085?\u1072? \u1087?\u1088?\u1077?\u1074?\u1086?\u1079?\u1085?\u1080?\u1090?\u1077? \u1089?\u1088?\u1077?\u1076?\u1089?\u1090?\u1074?\u1072?, \u1080?\u1079?\u1074?\u1098?\u1088?\u1096?\u1074?\u1072?\u1097?\u1080? \u1084?\u1077?\u1078?\u1076?\u1091?\u1085?\u1072?\u1088?\u1086?\u1076?\u1085?\u1080? \u1072?\u1074?\u1090?\u1086?\u1084?\u1086?\u1073?\u1080?\u1083?\u1085?\u1080? \u1087?\u1088?\u1077?\u1074?\u1086?\u1079?\u1080? (AETR), \u1082?\u1072?\u1082?\u1090?\u1086? \u1080? \u1074? \u1088?\u1072?\u1084?\u1082?\u1080?\u1090?\u1077? \u1085?\u1072? \u1088?\u1072?\u1073?\u1086?\u1090?\u1085?\u1072?\u1090?\u1072? \u1075?\u1088?\u1091?\u1087?\u1072? \u1087?\u1086? \u1072?\u1074?\u1090?\u1086?\u1084?\u1086?\u1073?\u1080?\u1083?\u1085?\u1080?\u1103? \u1090?\u1088?\u1072?\u1085?\u1089?\u1087?\u1086?\u1088?\u1090? \u1082?\u1098?\u1084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"/>
    <w:docVar w:name="LW_ACCOMPAGNANT.CP" w:val="\u1082?\u1098?\u1084? \u1087?\u1088?\u1077?\u1076?\u1083?\u1086?\u1078?\u1077?\u1085?\u1080?\u1077? \u1079?\u1072? \u1088?\u1077?\u1096?\u1077?\u1085?\u1080?\u1077? \u1085?\u1072? \u1057?\u1098?\u1074?\u1077?\u1090?\u1072? 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77?\u1082?\u1089?\u1087?\u1077?\u1088?\u1090?\u1085?\u1072?\u1090?\u1072? \u1075?\u1088?\u1091?\u1087?\u1072? \u1087?\u1086? \u1045?\u1074?\u1088?\u1086?\u1087?\u1077?\u1081?\u1089?\u1082?\u1072?\u1090?\u1072? \u1089?\u1087?\u1086?\u1075?\u1086?\u1076?\u1073?\u1072? \u1079?\u1072? \u1088?\u1072?\u1073?\u1086?\u1090?\u1072?\u1090?\u1072? \u1085?\u1072? \u1077?\u1082?\u1080?\u1087?\u1072?\u1078?\u1080?\u1090?\u1077? \u1085?\u1072? \u1087?\u1088?\u1077?\u1074?\u1086?\u1079?\u1085?\u1080?\u1090?\u1077? \u1089?\u1088?\u1077?\u1076?\u1089?\u1090?\u1074?\u1072?, \u1080?\u1079?\u1074?\u1098?\u1088?\u1096?\u1074?\u1072?\u1097?\u1080? \u1084?\u1077?\u1078?\u1076?\u1091?\u1085?\u1072?\u1088?\u1086?\u1076?\u1085?\u1080? \u1072?\u1074?\u1090?\u1086?\u1084?\u1086?\u1073?\u1080?\u1083?\u1085?\u1080? \u1087?\u1088?\u1077?\u1074?\u1086?\u1079?\u1080? (AETR), \u1082?\u1072?\u1082?\u1090?\u1086? \u1080? \u1074? \u1088?\u1072?\u1084?\u1082?\u1080?\u1090?\u1077? \u1085?\u1072? \u1088?\u1072?\u1073?\u1086?\u1090?\u1085?\u1072?\u1090?\u1072? \u1075?\u1088?\u1091?\u1087?\u1072? \u1087?\u1086? \u1072?\u1074?\u1090?\u1086?\u1084?\u1086?\u1073?\u1080?\u1083?\u1085?\u1080?\u1103? \u1090?\u1088?\u1072?\u1085?\u1089?\u1087?\u1086?\u1088?\u1090? \u1082?\u1098?\u1084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D0363E1-0F2F-42DA-976F-A640B60E796A"/>
    <w:docVar w:name="LW_COVERPAGE_TYPE" w:val="1"/>
    <w:docVar w:name="LW_CROSSREFERENCE" w:val="&lt;UNUSED&gt;"/>
    <w:docVar w:name="LW_DocType" w:val="ANNEX"/>
    <w:docVar w:name="LW_EMISSION" w:val="25.1.2021"/>
    <w:docVar w:name="LW_EMISSION_ISODATE" w:val="2021-01-2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D16B-368A-4486-B9C4-D2C17CAF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876</Words>
  <Characters>4999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BACOSCA Livia Maria (MOVE)</dc:creator>
  <cp:lastModifiedBy>WES PDFC Administrator</cp:lastModifiedBy>
  <cp:revision>9</cp:revision>
  <cp:lastPrinted>2020-08-18T16:50:00Z</cp:lastPrinted>
  <dcterms:created xsi:type="dcterms:W3CDTF">2021-01-15T16:02:00Z</dcterms:created>
  <dcterms:modified xsi:type="dcterms:W3CDTF">2021-01-19T15:39:00Z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