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5404947-EAF6-4848-8A50-F3D1B3C6E447" style="width:450.75pt;height:3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 xml:space="preserve">ANNEX </w:t>
      </w:r>
    </w:p>
    <w:p>
      <w:pPr>
        <w:rPr>
          <w:noProof/>
          <w:lang w:val="en-US" w:bidi="en-US"/>
        </w:rPr>
      </w:pPr>
      <w:r>
        <w:rPr>
          <w:noProof/>
          <w:lang w:val="en-US" w:bidi="en-US"/>
        </w:rPr>
        <w:t>The AETR is amended as follows:</w:t>
      </w:r>
    </w:p>
    <w:p>
      <w:pPr>
        <w:pStyle w:val="Point0number"/>
        <w:numPr>
          <w:ilvl w:val="0"/>
          <w:numId w:val="11"/>
        </w:numPr>
        <w:rPr>
          <w:noProof/>
          <w:lang w:val="en-US" w:bidi="en-US"/>
        </w:rPr>
      </w:pPr>
      <w:r>
        <w:rPr>
          <w:noProof/>
          <w:lang w:val="en-US" w:bidi="en-US"/>
        </w:rPr>
        <w:t xml:space="preserve">in Article 1, the following point(x) is added : </w:t>
      </w:r>
    </w:p>
    <w:p>
      <w:pPr>
        <w:pStyle w:val="Text1"/>
        <w:rPr>
          <w:noProof/>
          <w:lang w:val="en-US" w:bidi="en-US"/>
        </w:rPr>
      </w:pPr>
      <w:r>
        <w:rPr>
          <w:noProof/>
          <w:lang w:val="en-US" w:bidi="en-US"/>
        </w:rPr>
        <w:t>(x)</w:t>
      </w:r>
      <w:r>
        <w:rPr>
          <w:noProof/>
          <w:lang w:val="en-US" w:bidi="en-US"/>
        </w:rPr>
        <w:tab/>
      </w:r>
      <w:r>
        <w:rPr>
          <w:noProof/>
        </w:rPr>
        <w:t>“Regional integration organisation” means any organisation which is constituted by sovereign States of a given region, which has competence in respect of certain matters governed by this Agreement and has been duly authorized to sign and to ratify, accept, approve or accede to this Agreement.</w:t>
      </w:r>
    </w:p>
    <w:p>
      <w:pPr>
        <w:pStyle w:val="Point0number"/>
        <w:rPr>
          <w:noProof/>
          <w:lang w:val="en-US" w:bidi="en-US"/>
        </w:rPr>
      </w:pPr>
      <w:r>
        <w:rPr>
          <w:noProof/>
          <w:lang w:val="en-US" w:bidi="en-US"/>
        </w:rPr>
        <w:t>in Article 10, the following paragraph 4 is added:</w:t>
      </w:r>
    </w:p>
    <w:p>
      <w:pPr>
        <w:pStyle w:val="Text1"/>
        <w:rPr>
          <w:noProof/>
          <w:lang w:val="en-US" w:bidi="en-US"/>
        </w:rPr>
      </w:pPr>
      <w:r>
        <w:rPr>
          <w:noProof/>
          <w:lang w:val="en-US" w:bidi="en-US"/>
        </w:rPr>
        <w:t>‘</w:t>
      </w:r>
      <w:r>
        <w:rPr>
          <w:noProof/>
          <w:lang w:val="en-US"/>
        </w:rPr>
        <w:t>4</w:t>
      </w:r>
      <w:r>
        <w:rPr>
          <w:noProof/>
          <w:lang w:val="en-US" w:bidi="en-US"/>
        </w:rPr>
        <w:tab/>
        <w:t xml:space="preserve">From the date of entry into force of Appendix 1C of the Annex to this Agreement, vehicles with a control device conforming to </w:t>
      </w:r>
      <w:r>
        <w:rPr>
          <w:noProof/>
          <w:lang w:val="en-US"/>
        </w:rPr>
        <w:t xml:space="preserve">Commission </w:t>
      </w:r>
      <w:r>
        <w:rPr>
          <w:noProof/>
          <w:lang w:val="en-US" w:bidi="en-US"/>
        </w:rPr>
        <w:t>I</w:t>
      </w:r>
      <w:r>
        <w:rPr>
          <w:noProof/>
          <w:lang w:val="en-US"/>
        </w:rPr>
        <w:t>mplementing Regulation (EU) 2016/799</w:t>
      </w:r>
      <w:r>
        <w:rPr>
          <w:rStyle w:val="FootnoteReference"/>
          <w:noProof/>
          <w:lang w:val="en-US"/>
        </w:rPr>
        <w:footnoteReference w:id="2"/>
      </w:r>
      <w:r>
        <w:rPr>
          <w:noProof/>
          <w:lang w:val="en-US"/>
        </w:rPr>
        <w:t xml:space="preserve"> </w:t>
      </w:r>
      <w:r>
        <w:rPr>
          <w:noProof/>
          <w:lang w:val="en-US" w:bidi="en-US"/>
        </w:rPr>
        <w:t>and its amending acts or to Appendix 1C of the Annex to this Agreement as regards construction, installation, use and testing shall be considered as conforming to the requirements of this Agreement’.</w:t>
      </w:r>
    </w:p>
    <w:p>
      <w:pPr>
        <w:pStyle w:val="Point0number"/>
        <w:rPr>
          <w:noProof/>
          <w:lang w:val="en-US" w:bidi="en-US"/>
        </w:rPr>
      </w:pPr>
      <w:r>
        <w:rPr>
          <w:noProof/>
          <w:lang w:val="en-US" w:bidi="en-US"/>
        </w:rPr>
        <w:t>in Article 13(2), the following point (c) is added:</w:t>
      </w:r>
    </w:p>
    <w:p>
      <w:pPr>
        <w:pStyle w:val="Text1"/>
        <w:rPr>
          <w:noProof/>
          <w:lang w:val="en-US" w:bidi="en-US"/>
        </w:rPr>
      </w:pPr>
      <w:r>
        <w:rPr>
          <w:noProof/>
          <w:lang w:val="en-US" w:bidi="en-US"/>
        </w:rPr>
        <w:t>‘(c)</w:t>
      </w:r>
      <w:r>
        <w:rPr>
          <w:noProof/>
          <w:lang w:val="en-US" w:bidi="en-US"/>
        </w:rPr>
        <w:tab/>
        <w:t>Appendix 1C shall become mandatory for countries which are Contracting Parties to this Agreement no later than 31 December 2025. As a consequence, all vehicles covered by this Agreement, put into service for the first time from 1</w:t>
      </w:r>
      <w:r>
        <w:rPr>
          <w:noProof/>
          <w:vertAlign w:val="superscript"/>
          <w:lang w:val="en-US" w:bidi="en-US"/>
        </w:rPr>
        <w:t>st</w:t>
      </w:r>
      <w:r>
        <w:rPr>
          <w:noProof/>
          <w:lang w:val="en-US" w:bidi="en-US"/>
        </w:rPr>
        <w:t xml:space="preserve"> January 2026, shall be equipped with a digital control device conforming to those new requirements. From the date of entry into force of the relevant amendments to this Agreement, Contracting Parties, which have not yet implemented these amendments in their countries, shall accept and control on their territory vehicles registered in another Contracting Party to this Agreement, which are already equipped with such a digital control device.</w:t>
      </w:r>
    </w:p>
    <w:p>
      <w:pPr>
        <w:pStyle w:val="Text1"/>
        <w:rPr>
          <w:noProof/>
          <w:lang w:val="en-US" w:bidi="en-US"/>
        </w:rPr>
      </w:pPr>
      <w:r>
        <w:rPr>
          <w:noProof/>
          <w:lang w:val="en-US" w:bidi="en-US"/>
        </w:rPr>
        <w:t>From 1</w:t>
      </w:r>
      <w:r>
        <w:rPr>
          <w:noProof/>
          <w:vertAlign w:val="superscript"/>
          <w:lang w:val="en-US" w:bidi="en-US"/>
        </w:rPr>
        <w:t>st</w:t>
      </w:r>
      <w:r>
        <w:rPr>
          <w:noProof/>
          <w:lang w:val="en-US" w:bidi="en-US"/>
        </w:rPr>
        <w:t xml:space="preserve"> January 2028 all vehicles used in international transport shall be fitted with a digital control device conforming to Appendix 1C.</w:t>
      </w:r>
    </w:p>
    <w:p>
      <w:pPr>
        <w:pStyle w:val="Text1"/>
        <w:rPr>
          <w:noProof/>
          <w:lang w:val="en-US" w:bidi="en-US"/>
        </w:rPr>
      </w:pPr>
      <w:r>
        <w:rPr>
          <w:noProof/>
          <w:lang w:val="en-US" w:bidi="en-US"/>
        </w:rPr>
        <w:t>The Contracting Parties shall take the necessary steps to be able to issue the driver cards referred to in Appendix 1C no later than 1</w:t>
      </w:r>
      <w:r>
        <w:rPr>
          <w:noProof/>
          <w:vertAlign w:val="superscript"/>
          <w:lang w:val="en-US" w:bidi="en-US"/>
        </w:rPr>
        <w:t>st</w:t>
      </w:r>
      <w:r>
        <w:rPr>
          <w:noProof/>
          <w:lang w:val="en-US" w:bidi="en-US"/>
        </w:rPr>
        <w:t xml:space="preserve"> October 2025.’;</w:t>
      </w:r>
    </w:p>
    <w:p>
      <w:pPr>
        <w:pStyle w:val="Point0number"/>
        <w:rPr>
          <w:noProof/>
          <w:lang w:val="en-US" w:bidi="en-US"/>
        </w:rPr>
      </w:pPr>
      <w:r>
        <w:rPr>
          <w:noProof/>
          <w:lang w:val="en-US" w:bidi="en-US"/>
        </w:rPr>
        <w:t>Article 14 is amended as follows:</w:t>
      </w:r>
    </w:p>
    <w:p>
      <w:pPr>
        <w:pStyle w:val="Point1letter"/>
        <w:numPr>
          <w:ilvl w:val="3"/>
          <w:numId w:val="10"/>
        </w:numPr>
        <w:rPr>
          <w:noProof/>
          <w:lang w:val="en-US" w:bidi="en-US"/>
        </w:rPr>
      </w:pPr>
      <w:r>
        <w:rPr>
          <w:noProof/>
          <w:lang w:val="en-US" w:bidi="en-US"/>
        </w:rPr>
        <w:t>the following paragraph 1a is inserted:</w:t>
      </w:r>
    </w:p>
    <w:p>
      <w:pPr>
        <w:pStyle w:val="Text2"/>
        <w:rPr>
          <w:noProof/>
          <w:szCs w:val="24"/>
        </w:rPr>
      </w:pPr>
      <w:r>
        <w:rPr>
          <w:noProof/>
          <w:szCs w:val="24"/>
        </w:rPr>
        <w:t>‘1a.</w:t>
      </w:r>
      <w:r>
        <w:rPr>
          <w:noProof/>
          <w:szCs w:val="24"/>
        </w:rPr>
        <w:tab/>
        <w:t xml:space="preserve">This Agreement shall also be open for signature by regional integration organisations. </w:t>
      </w:r>
    </w:p>
    <w:p>
      <w:pPr>
        <w:pStyle w:val="Text2"/>
        <w:rPr>
          <w:noProof/>
          <w:szCs w:val="24"/>
        </w:rPr>
      </w:pPr>
      <w:r>
        <w:rPr>
          <w:noProof/>
          <w:szCs w:val="24"/>
        </w:rPr>
        <w:t>For the purposes of amending Appendices 1, 1B, 1C, 2 and 3, the representative of a regional integration organisation Contracting Party to the Agreement delivers the votes of its constituent Member States without their presence being necessary in the vote.’;</w:t>
      </w:r>
    </w:p>
    <w:p>
      <w:pPr>
        <w:pStyle w:val="Point1letter"/>
        <w:rPr>
          <w:noProof/>
          <w:lang w:val="en-US" w:bidi="en-US"/>
        </w:rPr>
      </w:pPr>
      <w:r>
        <w:rPr>
          <w:noProof/>
          <w:lang w:val="en-US" w:bidi="en-US"/>
        </w:rPr>
        <w:t>paragraph 5 is replaced by the following:</w:t>
      </w:r>
    </w:p>
    <w:p>
      <w:pPr>
        <w:pStyle w:val="Text2"/>
        <w:rPr>
          <w:noProof/>
          <w:szCs w:val="24"/>
          <w:lang w:val="en-US" w:bidi="en-US"/>
        </w:rPr>
      </w:pPr>
      <w:r>
        <w:rPr>
          <w:noProof/>
          <w:szCs w:val="24"/>
        </w:rPr>
        <w:t>‘5.</w:t>
      </w:r>
      <w:r>
        <w:rPr>
          <w:noProof/>
          <w:szCs w:val="24"/>
        </w:rPr>
        <w:tab/>
        <w:t>In respect of each State or regional integration organisation which ratifies, or accedes to, this Agreement after the deposit of the eighth instrument of ratification or accession as referred to in paragraph 4 of this article, the Agreement shall enter into force one hundred and eighty days after the deposit by that State or regional integration organisation of its instrument of ratification or accession.’;</w:t>
      </w:r>
    </w:p>
    <w:p>
      <w:pPr>
        <w:pStyle w:val="Point0number"/>
        <w:rPr>
          <w:noProof/>
          <w:lang w:val="en-US" w:bidi="en-US"/>
        </w:rPr>
      </w:pPr>
      <w:r>
        <w:rPr>
          <w:noProof/>
          <w:lang w:val="en-US" w:bidi="en-US"/>
        </w:rPr>
        <w:t>Article 22 is amended as follows:</w:t>
      </w:r>
    </w:p>
    <w:p>
      <w:pPr>
        <w:pStyle w:val="Point1letter"/>
        <w:rPr>
          <w:noProof/>
          <w:lang w:val="en-US" w:bidi="en-US"/>
        </w:rPr>
      </w:pPr>
      <w:r>
        <w:rPr>
          <w:noProof/>
          <w:lang w:val="en-US" w:bidi="en-US"/>
        </w:rPr>
        <w:t>paragraphs 1 and 2 are replaced by the following:</w:t>
      </w:r>
    </w:p>
    <w:p>
      <w:pPr>
        <w:pStyle w:val="Text2"/>
        <w:rPr>
          <w:noProof/>
          <w:lang w:val="en-US" w:bidi="en-US"/>
        </w:rPr>
      </w:pPr>
      <w:r>
        <w:rPr>
          <w:noProof/>
          <w:lang w:val="en-US" w:bidi="en-US"/>
        </w:rPr>
        <w:t>‘1.</w:t>
      </w:r>
      <w:r>
        <w:rPr>
          <w:noProof/>
          <w:lang w:val="en-US" w:bidi="en-US"/>
        </w:rPr>
        <w:tab/>
        <w:t xml:space="preserve">Appendices 1, 1C and 2 of the Annex to this Agreement may be amended by the procedure specified in this article. </w:t>
      </w:r>
    </w:p>
    <w:p>
      <w:pPr>
        <w:pStyle w:val="Text2"/>
        <w:rPr>
          <w:noProof/>
          <w:lang w:val="en-US" w:bidi="en-US"/>
        </w:rPr>
      </w:pPr>
      <w:r>
        <w:rPr>
          <w:noProof/>
          <w:lang w:val="en-US" w:bidi="en-US"/>
        </w:rPr>
        <w:t>2.</w:t>
      </w:r>
      <w:r>
        <w:rPr>
          <w:noProof/>
          <w:lang w:val="en-US" w:bidi="en-US"/>
        </w:rPr>
        <w:tab/>
        <w:t>At the request of a Contracting Party, any amendments proposed to Appendices 1, 1C or 2 of the Annex to this Agreement shall be considered by the Principal Working Party on Road Transport of the Economic Commission for Europe.’;</w:t>
      </w:r>
    </w:p>
    <w:p>
      <w:pPr>
        <w:pStyle w:val="Point1letter"/>
        <w:rPr>
          <w:noProof/>
          <w:lang w:val="en-US" w:bidi="en-US"/>
        </w:rPr>
      </w:pPr>
      <w:r>
        <w:rPr>
          <w:noProof/>
          <w:lang w:val="en-US" w:bidi="en-US"/>
        </w:rPr>
        <w:t>the following paragraph 6 is added:</w:t>
      </w:r>
    </w:p>
    <w:p>
      <w:pPr>
        <w:pStyle w:val="Text2"/>
        <w:rPr>
          <w:noProof/>
          <w:lang w:val="en-US" w:bidi="en-US"/>
        </w:rPr>
      </w:pPr>
      <w:r>
        <w:rPr>
          <w:noProof/>
          <w:lang w:val="en-US" w:bidi="en-US"/>
        </w:rPr>
        <w:t>‘6.</w:t>
      </w:r>
      <w:r>
        <w:rPr>
          <w:noProof/>
          <w:lang w:val="en-US" w:bidi="en-US"/>
        </w:rPr>
        <w:tab/>
      </w:r>
      <w:r>
        <w:rPr>
          <w:rFonts w:eastAsia="Times New Roman"/>
          <w:noProof/>
          <w:color w:val="000000"/>
          <w:szCs w:val="24"/>
          <w:lang w:val="en-US" w:bidi="en-US"/>
        </w:rPr>
        <w:t>If a proposal for the amendment of Appendix 1C of the Annex to this Agreement requires the amendment of other provisions of the Agreement, the amendments to Appendix 1C cannot enter into force before the date of entry into force of the amendments to those other provisions pursuant to Article 21. If, in such a case, the amendments to Appendix 1C are presented simultaneously with the amendments to other provisions of the Agreement, the date of their entry into force shall be the date resulting from the application of the procedure outlined in Article 21.’;</w:t>
      </w:r>
    </w:p>
    <w:p>
      <w:pPr>
        <w:pStyle w:val="Point0number"/>
        <w:widowControl w:val="0"/>
        <w:spacing w:before="0"/>
        <w:rPr>
          <w:rFonts w:eastAsia="Times New Roman"/>
          <w:noProof/>
          <w:color w:val="000000"/>
          <w:szCs w:val="24"/>
          <w:lang w:val="en-US" w:bidi="en-US"/>
        </w:rPr>
      </w:pPr>
      <w:r>
        <w:rPr>
          <w:noProof/>
          <w:lang w:val="en-US" w:bidi="en-US"/>
        </w:rPr>
        <w:t>a new Appendix 1C is inserted, based on the technical specifications to be adopted by the Commission under Regulation (EU) 2020/1054</w:t>
      </w:r>
      <w:r>
        <w:rPr>
          <w:rStyle w:val="FootnoteReference"/>
          <w:noProof/>
          <w:lang w:val="en-US" w:bidi="en-US"/>
        </w:rPr>
        <w:footnoteReference w:id="3"/>
      </w:r>
      <w:r>
        <w:rPr>
          <w:noProof/>
          <w:lang w:val="en-US" w:bidi="en-US"/>
        </w:rPr>
        <w:t xml:space="preserve"> </w:t>
      </w:r>
      <w:r>
        <w:rPr>
          <w:noProof/>
          <w:color w:val="000000"/>
          <w:shd w:val="clear" w:color="auto" w:fill="FFFFFF"/>
        </w:rPr>
        <w:t>of the European Parliament and of the Council</w:t>
      </w:r>
      <w:r>
        <w:rPr>
          <w:noProof/>
          <w:lang w:val="en-US" w:bidi="en-US"/>
        </w:rPr>
        <w:t>, as adapted to the AETR context;</w:t>
      </w:r>
    </w:p>
    <w:p>
      <w:pPr>
        <w:pStyle w:val="Point0number"/>
        <w:widowControl w:val="0"/>
        <w:spacing w:before="0"/>
        <w:rPr>
          <w:rFonts w:eastAsia="Times New Roman"/>
          <w:noProof/>
          <w:color w:val="000000"/>
          <w:szCs w:val="24"/>
          <w:lang w:val="en-US" w:bidi="en-US"/>
        </w:rPr>
      </w:pPr>
      <w:r>
        <w:rPr>
          <w:rFonts w:eastAsia="Times New Roman"/>
          <w:noProof/>
          <w:color w:val="000000"/>
          <w:szCs w:val="24"/>
          <w:lang w:val="en-US" w:bidi="en-US"/>
        </w:rPr>
        <w:t>in Appendix 2, Chapter III ‘Approval certificate for products in accordance with Appendix 1B’ is replaced by the following:</w:t>
      </w:r>
    </w:p>
    <w:p>
      <w:pPr>
        <w:widowControl w:val="0"/>
        <w:spacing w:before="0"/>
        <w:rPr>
          <w:rFonts w:eastAsia="Times New Roman"/>
          <w:b/>
          <w:noProof/>
          <w:color w:val="000000"/>
          <w:szCs w:val="24"/>
          <w:lang w:val="en-US" w:bidi="en-US"/>
        </w:rPr>
      </w:pPr>
      <w:r>
        <w:rPr>
          <w:rFonts w:eastAsia="Times New Roman"/>
          <w:b/>
          <w:noProof/>
          <w:color w:val="000000"/>
          <w:szCs w:val="24"/>
          <w:lang w:val="en-US" w:bidi="en-US"/>
        </w:rPr>
        <w:t>'III. Approval certificate for products in accordance with Appendix 1B/1C (1)</w:t>
      </w:r>
    </w:p>
    <w:p>
      <w:pPr>
        <w:widowControl w:val="0"/>
        <w:spacing w:before="0"/>
        <w:rPr>
          <w:rFonts w:eastAsia="Times New Roman"/>
          <w:noProof/>
          <w:color w:val="000000"/>
          <w:sz w:val="22"/>
          <w:lang w:val="en-US" w:bidi="en-US"/>
        </w:rPr>
      </w:pPr>
      <w:r>
        <w:rPr>
          <w:rFonts w:eastAsia="Times New Roman"/>
          <w:noProof/>
          <w:color w:val="000000"/>
          <w:sz w:val="22"/>
          <w:lang w:val="en-US" w:bidi="en-US"/>
        </w:rPr>
        <w:t xml:space="preserve">Once the Contracting </w:t>
      </w:r>
      <w:r>
        <w:rPr>
          <w:rFonts w:eastAsia="Times New Roman"/>
          <w:noProof/>
          <w:color w:val="000000"/>
          <w:sz w:val="22"/>
          <w:lang w:val="cs-CZ" w:eastAsia="cs-CZ" w:bidi="cs-CZ"/>
        </w:rPr>
        <w:t xml:space="preserve">Party </w:t>
      </w:r>
      <w:r>
        <w:rPr>
          <w:rFonts w:eastAsia="Times New Roman"/>
          <w:noProof/>
          <w:color w:val="000000"/>
          <w:sz w:val="22"/>
          <w:lang w:val="en-US" w:bidi="en-US"/>
        </w:rPr>
        <w:t>has effected an approval it issues the applicant with an approval certificate, drawn up in accordance with the model below. Contracting Parties use copies of this document in order to communicate to other Contracting Parties approvals granted or any withdrawals.</w:t>
      </w:r>
      <w:bookmarkStart w:id="1" w:name="bookmark77"/>
    </w:p>
    <w:p>
      <w:pPr>
        <w:widowControl w:val="0"/>
        <w:spacing w:before="0"/>
        <w:rPr>
          <w:rFonts w:eastAsia="Times New Roman"/>
          <w:noProof/>
          <w:color w:val="000000"/>
          <w:sz w:val="22"/>
          <w:lang w:val="en-US" w:bidi="en-US"/>
        </w:rPr>
      </w:pPr>
      <w:r>
        <w:rPr>
          <w:rFonts w:eastAsia="Times New Roman"/>
          <w:b/>
          <w:bCs/>
          <w:noProof/>
          <w:color w:val="000000"/>
          <w:sz w:val="22"/>
          <w:lang w:val="en-US" w:bidi="en-US"/>
        </w:rPr>
        <w:t>Approval certificate for products in accordance with Appendix 1B</w:t>
      </w:r>
      <w:bookmarkEnd w:id="1"/>
      <w:r>
        <w:rPr>
          <w:rFonts w:eastAsia="Times New Roman"/>
          <w:b/>
          <w:bCs/>
          <w:noProof/>
          <w:color w:val="000000"/>
          <w:sz w:val="22"/>
          <w:lang w:val="en-US" w:bidi="en-US"/>
        </w:rPr>
        <w:t>/1C (1)</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Name of the competent administration</w:t>
      </w:r>
      <w:r>
        <w:rPr>
          <w:rFonts w:eastAsia="Times New Roman"/>
          <w:bCs/>
          <w:noProof/>
          <w:color w:val="000000"/>
          <w:sz w:val="22"/>
          <w:lang w:val="en-US" w:bidi="en-US"/>
        </w:rPr>
        <w:tab/>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Communication concerning (2):</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Approval</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Withdrawal of an approval</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Of a control device model</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Of a control device component (3)</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Of a driver card</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Of a workshop card</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Of a company card</w:t>
      </w:r>
    </w:p>
    <w:p>
      <w:pPr>
        <w:widowControl w:val="0"/>
        <w:spacing w:before="0"/>
        <w:rPr>
          <w:rFonts w:eastAsia="Times New Roman"/>
          <w:noProof/>
          <w:color w:val="000000"/>
          <w:sz w:val="22"/>
          <w:lang w:val="en-US" w:bidi="en-US"/>
        </w:rPr>
      </w:pPr>
      <w:r>
        <w:rPr>
          <w:rFonts w:eastAsia="Times New Roman"/>
          <w:bCs/>
          <w:noProof/>
          <w:color w:val="000000"/>
          <w:sz w:val="22"/>
          <w:lang w:val="en-US" w:bidi="en-US"/>
        </w:rPr>
        <w:t>Of an inspector’s card</w:t>
      </w:r>
    </w:p>
    <w:p>
      <w:pPr>
        <w:widowControl w:val="0"/>
        <w:spacing w:after="0" w:line="326" w:lineRule="exact"/>
        <w:rPr>
          <w:rFonts w:eastAsia="Times New Roman"/>
          <w:noProof/>
          <w:color w:val="000000"/>
          <w:sz w:val="22"/>
          <w:lang w:val="en-US" w:bidi="en-US"/>
        </w:rPr>
      </w:pPr>
      <w:r>
        <w:rPr>
          <w:rFonts w:eastAsia="Times New Roman"/>
          <w:noProof/>
          <w:color w:val="000000"/>
          <w:sz w:val="22"/>
          <w:lang w:val="en-US" w:bidi="en-US"/>
        </w:rPr>
        <w:t>Approval No………………………………</w:t>
      </w:r>
    </w:p>
    <w:p>
      <w:pPr>
        <w:pStyle w:val="Point0number"/>
        <w:numPr>
          <w:ilvl w:val="0"/>
          <w:numId w:val="9"/>
        </w:numPr>
        <w:spacing w:after="0"/>
        <w:rPr>
          <w:rFonts w:eastAsia="Times New Roman"/>
          <w:noProof/>
          <w:color w:val="000000"/>
          <w:sz w:val="20"/>
          <w:szCs w:val="20"/>
          <w:lang w:val="en-US" w:bidi="en-US"/>
        </w:rPr>
      </w:pPr>
      <w:r>
        <w:rPr>
          <w:noProof/>
          <w:sz w:val="20"/>
          <w:szCs w:val="20"/>
        </w:rPr>
        <w:t>Manufacturing or commercial mark</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lang w:val="en-US" w:bidi="en-US"/>
        </w:rPr>
        <w:t>Name of model</w:t>
      </w:r>
      <w:r>
        <w:rPr>
          <w:noProof/>
          <w:sz w:val="20"/>
          <w:szCs w:val="20"/>
          <w:lang w:val="en-US" w:bidi="en-US"/>
        </w:rPr>
        <w:tab/>
      </w:r>
    </w:p>
    <w:p>
      <w:pPr>
        <w:pStyle w:val="Point0number"/>
        <w:spacing w:before="0" w:after="0"/>
        <w:rPr>
          <w:rFonts w:asciiTheme="minorHAnsi" w:hAnsiTheme="minorHAnsi" w:cstheme="minorBidi"/>
          <w:noProof/>
          <w:sz w:val="20"/>
          <w:szCs w:val="20"/>
        </w:rPr>
      </w:pPr>
      <w:r>
        <w:rPr>
          <w:noProof/>
          <w:sz w:val="20"/>
          <w:szCs w:val="20"/>
          <w:lang w:val="en-US" w:bidi="en-US"/>
        </w:rPr>
        <w:t>Name of manufacturer</w:t>
      </w:r>
      <w:r>
        <w:rPr>
          <w:noProof/>
          <w:sz w:val="20"/>
          <w:szCs w:val="20"/>
          <w:lang w:val="en-US" w:bidi="en-US"/>
        </w:rPr>
        <w:tab/>
      </w:r>
    </w:p>
    <w:p>
      <w:pPr>
        <w:pStyle w:val="Point0number"/>
        <w:spacing w:before="0" w:after="0"/>
        <w:rPr>
          <w:rFonts w:asciiTheme="minorHAnsi" w:hAnsiTheme="minorHAnsi" w:cstheme="minorBidi"/>
          <w:noProof/>
          <w:sz w:val="20"/>
          <w:szCs w:val="20"/>
        </w:rPr>
      </w:pPr>
      <w:r>
        <w:rPr>
          <w:noProof/>
          <w:sz w:val="20"/>
          <w:szCs w:val="20"/>
          <w:lang w:val="en-US" w:bidi="en-US"/>
        </w:rPr>
        <w:t>Address of manufacturer</w:t>
      </w:r>
      <w:r>
        <w:rPr>
          <w:noProof/>
          <w:sz w:val="20"/>
          <w:szCs w:val="20"/>
          <w:lang w:val="en-US" w:bidi="en-US"/>
        </w:rPr>
        <w:tab/>
      </w:r>
    </w:p>
    <w:p>
      <w:pPr>
        <w:pStyle w:val="Point0number"/>
        <w:spacing w:before="0" w:after="0"/>
        <w:rPr>
          <w:rFonts w:asciiTheme="minorHAnsi" w:hAnsiTheme="minorHAnsi" w:cstheme="minorBidi"/>
          <w:noProof/>
          <w:sz w:val="20"/>
          <w:szCs w:val="20"/>
        </w:rPr>
      </w:pPr>
      <w:r>
        <w:rPr>
          <w:noProof/>
          <w:sz w:val="20"/>
          <w:szCs w:val="20"/>
          <w:lang w:val="en-US" w:bidi="en-US"/>
        </w:rPr>
        <w:t>Submitted for approval on………………………………………</w:t>
      </w:r>
    </w:p>
    <w:p>
      <w:pPr>
        <w:pStyle w:val="Point0number"/>
        <w:spacing w:before="0" w:after="0"/>
        <w:rPr>
          <w:rFonts w:asciiTheme="minorHAnsi" w:hAnsiTheme="minorHAnsi" w:cstheme="minorBidi"/>
          <w:noProof/>
          <w:sz w:val="20"/>
          <w:szCs w:val="20"/>
        </w:rPr>
      </w:pPr>
      <w:r>
        <w:rPr>
          <w:noProof/>
          <w:sz w:val="20"/>
          <w:szCs w:val="20"/>
          <w:lang w:val="en-US" w:bidi="en-US"/>
        </w:rPr>
        <w:t>Test laboratory or laboratories</w:t>
      </w:r>
      <w:r>
        <w:rPr>
          <w:noProof/>
          <w:sz w:val="20"/>
          <w:szCs w:val="20"/>
          <w:lang w:val="en-US" w:bidi="en-US"/>
        </w:rPr>
        <w:tab/>
      </w:r>
    </w:p>
    <w:p>
      <w:pPr>
        <w:pStyle w:val="Point0number"/>
        <w:spacing w:before="0" w:after="0"/>
        <w:rPr>
          <w:rFonts w:asciiTheme="minorHAnsi" w:hAnsiTheme="minorHAnsi" w:cstheme="minorBidi"/>
          <w:noProof/>
          <w:sz w:val="20"/>
          <w:szCs w:val="20"/>
        </w:rPr>
      </w:pPr>
      <w:r>
        <w:rPr>
          <w:noProof/>
          <w:sz w:val="20"/>
          <w:szCs w:val="20"/>
          <w:lang w:val="en-US" w:bidi="en-US"/>
        </w:rPr>
        <w:t>Date and No. of reports………………………………………..</w:t>
      </w:r>
    </w:p>
    <w:p>
      <w:pPr>
        <w:pStyle w:val="Point0number"/>
        <w:spacing w:before="0" w:after="0"/>
        <w:rPr>
          <w:rFonts w:asciiTheme="minorHAnsi" w:hAnsiTheme="minorHAnsi" w:cstheme="minorBidi"/>
          <w:noProof/>
          <w:sz w:val="20"/>
          <w:szCs w:val="20"/>
        </w:rPr>
      </w:pPr>
      <w:r>
        <w:rPr>
          <w:noProof/>
          <w:sz w:val="20"/>
          <w:szCs w:val="20"/>
          <w:lang w:val="en-US" w:bidi="en-US"/>
        </w:rPr>
        <w:t>Date of approval</w:t>
      </w:r>
      <w:r>
        <w:rPr>
          <w:noProof/>
          <w:sz w:val="20"/>
          <w:szCs w:val="20"/>
          <w:lang w:val="en-US" w:bidi="en-US"/>
        </w:rPr>
        <w:tab/>
      </w:r>
    </w:p>
    <w:p>
      <w:pPr>
        <w:pStyle w:val="Point0number"/>
        <w:spacing w:before="0" w:after="0"/>
        <w:rPr>
          <w:rFonts w:asciiTheme="minorHAnsi" w:hAnsiTheme="minorHAnsi" w:cstheme="minorBidi"/>
          <w:noProof/>
          <w:sz w:val="20"/>
          <w:szCs w:val="20"/>
        </w:rPr>
      </w:pPr>
      <w:r>
        <w:rPr>
          <w:noProof/>
          <w:sz w:val="20"/>
          <w:szCs w:val="20"/>
          <w:lang w:val="en-US" w:bidi="en-US"/>
        </w:rPr>
        <w:t>Date of withdrawal of approval</w:t>
      </w:r>
      <w:r>
        <w:rPr>
          <w:noProof/>
          <w:sz w:val="20"/>
          <w:szCs w:val="20"/>
          <w:lang w:val="en-US" w:bidi="en-US"/>
        </w:rPr>
        <w:tab/>
      </w:r>
    </w:p>
    <w:p>
      <w:pPr>
        <w:pStyle w:val="Point0number"/>
        <w:spacing w:before="0" w:after="0"/>
        <w:rPr>
          <w:rFonts w:asciiTheme="minorHAnsi" w:hAnsiTheme="minorHAnsi" w:cstheme="minorBidi"/>
          <w:noProof/>
          <w:sz w:val="20"/>
          <w:szCs w:val="20"/>
        </w:rPr>
      </w:pPr>
      <w:r>
        <w:rPr>
          <w:noProof/>
          <w:sz w:val="20"/>
          <w:szCs w:val="20"/>
          <w:lang w:val="en-US" w:bidi="en-US"/>
        </w:rPr>
        <w:t xml:space="preserve">Model (s) of component(s) of control device with which the </w:t>
      </w:r>
    </w:p>
    <w:p>
      <w:pPr>
        <w:widowControl w:val="0"/>
        <w:spacing w:before="0" w:after="0"/>
        <w:rPr>
          <w:rFonts w:asciiTheme="minorHAnsi" w:hAnsiTheme="minorHAnsi" w:cstheme="minorBidi"/>
          <w:noProof/>
          <w:sz w:val="20"/>
          <w:szCs w:val="20"/>
        </w:rPr>
      </w:pPr>
      <w:r>
        <w:rPr>
          <w:rFonts w:eastAsia="Times New Roman"/>
          <w:noProof/>
          <w:color w:val="000000"/>
          <w:sz w:val="20"/>
          <w:szCs w:val="20"/>
          <w:lang w:val="en-US" w:bidi="en-US"/>
        </w:rPr>
        <w:t>component is intended to be used…………………………………….</w:t>
      </w:r>
    </w:p>
    <w:p>
      <w:pPr>
        <w:pStyle w:val="Point0number"/>
        <w:spacing w:before="0" w:after="0"/>
        <w:rPr>
          <w:rFonts w:asciiTheme="minorHAnsi" w:hAnsiTheme="minorHAnsi" w:cstheme="minorBidi"/>
          <w:noProof/>
          <w:sz w:val="20"/>
          <w:szCs w:val="20"/>
        </w:rPr>
      </w:pPr>
      <w:r>
        <w:rPr>
          <w:noProof/>
          <w:sz w:val="20"/>
          <w:szCs w:val="20"/>
          <w:lang w:val="en-US" w:bidi="en-US"/>
        </w:rPr>
        <w:t>Place</w:t>
      </w:r>
      <w:r>
        <w:rPr>
          <w:noProof/>
          <w:sz w:val="20"/>
          <w:szCs w:val="20"/>
          <w:lang w:val="en-US" w:bidi="en-US"/>
        </w:rPr>
        <w:tab/>
        <w:t>.</w:t>
      </w:r>
    </w:p>
    <w:p>
      <w:pPr>
        <w:pStyle w:val="Point0number"/>
        <w:spacing w:before="0" w:after="0"/>
        <w:rPr>
          <w:rFonts w:asciiTheme="minorHAnsi" w:hAnsiTheme="minorHAnsi" w:cstheme="minorBidi"/>
          <w:noProof/>
          <w:sz w:val="20"/>
          <w:szCs w:val="20"/>
        </w:rPr>
      </w:pPr>
      <w:r>
        <w:rPr>
          <w:noProof/>
          <w:sz w:val="20"/>
          <w:szCs w:val="20"/>
        </w:rPr>
        <w:t>Date…………………………………………………………….</w:t>
      </w:r>
    </w:p>
    <w:p>
      <w:pPr>
        <w:pStyle w:val="Point0number"/>
        <w:spacing w:before="0" w:after="0"/>
        <w:rPr>
          <w:rFonts w:asciiTheme="minorHAnsi" w:hAnsiTheme="minorHAnsi" w:cstheme="minorBidi"/>
          <w:noProof/>
          <w:sz w:val="20"/>
          <w:szCs w:val="20"/>
        </w:rPr>
      </w:pPr>
      <w:r>
        <w:rPr>
          <w:noProof/>
          <w:sz w:val="20"/>
          <w:szCs w:val="20"/>
        </w:rPr>
        <w:t>Descriptive documents annexed……………………………….</w:t>
      </w:r>
    </w:p>
    <w:p>
      <w:pPr>
        <w:pStyle w:val="Point0number"/>
        <w:spacing w:before="0" w:after="0"/>
        <w:rPr>
          <w:noProof/>
          <w:sz w:val="20"/>
          <w:szCs w:val="20"/>
        </w:rPr>
      </w:pPr>
      <w:r>
        <w:rPr>
          <w:noProof/>
          <w:sz w:val="20"/>
          <w:szCs w:val="20"/>
        </w:rPr>
        <w:t>Remarks (including the affixing of seals if required)…………</w:t>
      </w:r>
    </w:p>
    <w:p>
      <w:pPr>
        <w:widowControl w:val="0"/>
        <w:pBdr>
          <w:top w:val="single" w:sz="4" w:space="1" w:color="auto"/>
        </w:pBdr>
        <w:spacing w:before="0" w:after="0" w:line="326" w:lineRule="exact"/>
        <w:rPr>
          <w:noProof/>
          <w:sz w:val="22"/>
        </w:rPr>
      </w:pPr>
      <w:r>
        <w:rPr>
          <w:noProof/>
          <w:sz w:val="22"/>
        </w:rPr>
        <w:t>………………………………………………………………………..</w:t>
      </w:r>
    </w:p>
    <w:p>
      <w:pPr>
        <w:widowControl w:val="0"/>
        <w:pBdr>
          <w:top w:val="single" w:sz="4" w:space="1" w:color="auto"/>
        </w:pBdr>
        <w:spacing w:before="0" w:after="0" w:line="326" w:lineRule="exact"/>
        <w:rPr>
          <w:noProof/>
          <w:sz w:val="22"/>
        </w:rPr>
      </w:pPr>
      <w:r>
        <w:rPr>
          <w:noProof/>
          <w:sz w:val="22"/>
        </w:rPr>
        <w:t>………………………………………………………………………..</w:t>
      </w:r>
    </w:p>
    <w:p>
      <w:pPr>
        <w:widowControl w:val="0"/>
        <w:spacing w:before="0" w:after="0"/>
        <w:rPr>
          <w:rFonts w:eastAsia="Times New Roman"/>
          <w:noProof/>
          <w:color w:val="000000"/>
          <w:szCs w:val="24"/>
          <w:lang w:val="en-US" w:bidi="en-US"/>
        </w:rPr>
      </w:pPr>
      <w:r>
        <w:rPr>
          <w:rFonts w:eastAsia="Times New Roman"/>
          <w:noProof/>
          <w:color w:val="000000"/>
          <w:szCs w:val="24"/>
          <w:lang w:val="en-US" w:bidi="en-US"/>
        </w:rPr>
        <w:tab/>
        <w:t>………………………..</w:t>
      </w:r>
    </w:p>
    <w:p>
      <w:pPr>
        <w:widowControl w:val="0"/>
        <w:spacing w:before="0" w:after="0"/>
        <w:rPr>
          <w:rFonts w:eastAsia="Times New Roman"/>
          <w:noProof/>
          <w:color w:val="000000"/>
          <w:sz w:val="20"/>
          <w:szCs w:val="20"/>
          <w:lang w:val="en-US" w:bidi="en-US"/>
        </w:rPr>
      </w:pPr>
      <w:r>
        <w:rPr>
          <w:rFonts w:eastAsia="Times New Roman"/>
          <w:noProof/>
          <w:color w:val="000000"/>
          <w:szCs w:val="24"/>
          <w:lang w:val="en-US" w:bidi="en-US"/>
        </w:rPr>
        <w:tab/>
      </w:r>
      <w:r>
        <w:rPr>
          <w:rFonts w:eastAsia="Times New Roman"/>
          <w:noProof/>
          <w:color w:val="000000"/>
          <w:sz w:val="20"/>
          <w:szCs w:val="20"/>
          <w:lang w:val="en-US" w:bidi="en-US"/>
        </w:rPr>
        <w:t>(Signature)</w:t>
      </w:r>
    </w:p>
    <w:p>
      <w:pPr>
        <w:widowControl w:val="0"/>
        <w:spacing w:before="0" w:after="0"/>
        <w:rPr>
          <w:rFonts w:eastAsia="Times New Roman"/>
          <w:noProof/>
          <w:color w:val="000000"/>
          <w:sz w:val="20"/>
          <w:szCs w:val="20"/>
          <w:lang w:val="en-US" w:bidi="en-US"/>
        </w:rPr>
      </w:pPr>
      <w:r>
        <w:rPr>
          <w:rFonts w:eastAsia="Times New Roman"/>
          <w:noProof/>
          <w:color w:val="000000"/>
          <w:sz w:val="20"/>
          <w:szCs w:val="20"/>
          <w:lang w:val="en-US" w:bidi="en-US"/>
        </w:rPr>
        <w:t>(1) Specify Appendix 1B or 1C</w:t>
      </w:r>
    </w:p>
    <w:p>
      <w:pPr>
        <w:widowControl w:val="0"/>
        <w:spacing w:before="0" w:after="0"/>
        <w:rPr>
          <w:rFonts w:eastAsia="Times New Roman"/>
          <w:noProof/>
          <w:color w:val="000000"/>
          <w:sz w:val="20"/>
          <w:szCs w:val="20"/>
          <w:lang w:val="en-US" w:bidi="en-US"/>
        </w:rPr>
      </w:pPr>
      <w:r>
        <w:rPr>
          <w:rFonts w:eastAsia="Times New Roman"/>
          <w:noProof/>
          <w:color w:val="000000"/>
          <w:sz w:val="20"/>
          <w:szCs w:val="20"/>
          <w:lang w:val="en-US" w:bidi="en-US"/>
        </w:rPr>
        <w:t>(2) Tick the relevant boxes</w:t>
      </w:r>
    </w:p>
    <w:p>
      <w:pPr>
        <w:widowControl w:val="0"/>
        <w:spacing w:before="0" w:after="420"/>
        <w:rPr>
          <w:rFonts w:eastAsia="Times New Roman"/>
          <w:noProof/>
          <w:color w:val="000000"/>
          <w:sz w:val="20"/>
          <w:szCs w:val="20"/>
          <w:lang w:val="en-US" w:bidi="en-US"/>
        </w:rPr>
      </w:pPr>
      <w:r>
        <w:rPr>
          <w:rFonts w:eastAsia="Times New Roman"/>
          <w:noProof/>
          <w:color w:val="000000"/>
          <w:sz w:val="20"/>
          <w:szCs w:val="20"/>
          <w:lang w:val="en-US" w:bidi="en-US"/>
        </w:rPr>
        <w:t>(3) Specify the component concerned in the communication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Commission Implementing Regulation (EU) 2016/799 of 18 March 2016 implementing Regulation (EU) No 165/2014 of the European Parliament and of the Council laying down the requirements for the construction, testing, installation, operation and repair of tachographs and their components (OJ L 139, 26.5.2016, p. 1).</w:t>
      </w:r>
    </w:p>
  </w:footnote>
  <w:footnote w:id="3">
    <w:p>
      <w:pPr>
        <w:pStyle w:val="FootnoteText"/>
      </w:pPr>
      <w:r>
        <w:rPr>
          <w:rStyle w:val="FootnoteReference"/>
        </w:rPr>
        <w:footnoteRef/>
      </w:r>
      <w:r>
        <w:tab/>
        <w:t>Regulation (EU) 2020/1054 of the European Parliament and of the Council of 15 July 2020 amending Regulation (EC) No 561/2006 as regards minimum requirements on maximum daily and weekly driving times, minimum breaks and daily and weekly rest periods and Regulation (EU) No 165/2014 as regards positioning by means of tachographs (OJ L 249, 31.7.2020,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7C6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BED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0F6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8E02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F25C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DCD3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BA3EC6"/>
    <w:lvl w:ilvl="0">
      <w:start w:val="1"/>
      <w:numFmt w:val="decimal"/>
      <w:pStyle w:val="ListNumber"/>
      <w:lvlText w:val="%1."/>
      <w:lvlJc w:val="left"/>
      <w:pPr>
        <w:tabs>
          <w:tab w:val="num" w:pos="360"/>
        </w:tabs>
        <w:ind w:left="360" w:hanging="360"/>
      </w:pPr>
    </w:lvl>
  </w:abstractNum>
  <w:abstractNum w:abstractNumId="7">
    <w:nsid w:val="FFFFFF89"/>
    <w:multiLevelType w:val="singleLevel"/>
    <w:tmpl w:val="F6E2C9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1-19 16:37: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proposal for a Council Decision on the position to be adopted, on behalf of the European Union, in the Group of Experts on the European agreement concerning the work of crews of vehicles engaged in international road transport (AETR) and in the Working Party on Road Transport of the United Nations Economic Commission for Europe"/>
    <w:docVar w:name="LW_ACCOMPAGNANT.CP" w:val="to the proposal for a Council Decision on the position to be adopted, on behalf of the European Union, in the Group of Experts on the European agreement concerning the work of crews of vehicles engaged in international road transport (AETR) and in the Working Party on Road Transport of the United Nations Economic Commission for Europe"/>
    <w:docVar w:name="LW_ANNEX_NBR_FIRST" w:val="1"/>
    <w:docVar w:name="LW_ANNEX_NBR_LAST" w:val="1"/>
    <w:docVar w:name="LW_ANNEX_UNIQUE" w:val="1"/>
    <w:docVar w:name="LW_CORRIGENDUM" w:val="&lt;UNUSED&gt;"/>
    <w:docVar w:name="LW_COVERPAGE_EXISTS" w:val="True"/>
    <w:docVar w:name="LW_COVERPAGE_GUID" w:val="F5404947-EAF6-4848-8A50-F3D1B3C6E447"/>
    <w:docVar w:name="LW_COVERPAGE_TYPE" w:val="1"/>
    <w:docVar w:name="LW_CROSSREFERENCE" w:val="&lt;UNUSED&gt;"/>
    <w:docVar w:name="LW_DocType" w:val="ANNEX"/>
    <w:docVar w:name="LW_EMISSION" w:val="25.1.2021"/>
    <w:docVar w:name="LW_EMISSION_ISODATE" w:val="2021-01-2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21)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700E-8447-4BD9-9095-6E50F696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Pages>
  <Words>872</Words>
  <Characters>4640</Characters>
  <Application>Microsoft Office Word</Application>
  <DocSecurity>0</DocSecurity>
  <Lines>103</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BACOSCA Livia Maria (MOVE)</dc:creator>
  <cp:lastModifiedBy>WES PDFC Administrator</cp:lastModifiedBy>
  <cp:revision>9</cp:revision>
  <cp:lastPrinted>2020-08-18T16:50:00Z</cp:lastPrinted>
  <dcterms:created xsi:type="dcterms:W3CDTF">2021-01-15T10:07:00Z</dcterms:created>
  <dcterms:modified xsi:type="dcterms:W3CDTF">2021-01-19T15:37:00Z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