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C83D8A6-1121-4191-BFF4-5399607FDC27" style="width:450.8pt;height:365.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 389/2012 на Съвета</w:t>
      </w:r>
      <w:r>
        <w:rPr>
          <w:rStyle w:val="FootnoteReference"/>
          <w:noProof/>
        </w:rPr>
        <w:footnoteReference w:id="2"/>
      </w:r>
      <w:r>
        <w:rPr>
          <w:noProof/>
        </w:rPr>
        <w:t xml:space="preserve"> се определя правното основание за административното сътрудничество между държавите членки.</w:t>
      </w:r>
    </w:p>
    <w:p>
      <w:pPr>
        <w:rPr>
          <w:noProof/>
        </w:rPr>
      </w:pPr>
      <w:r>
        <w:rPr>
          <w:noProof/>
        </w:rPr>
        <w:t>Настоящото предложение е свързано с глава V от Директива 2020/262 на Съвета</w:t>
      </w:r>
      <w:r>
        <w:rPr>
          <w:rStyle w:val="FootnoteReference"/>
          <w:noProof/>
        </w:rPr>
        <w:footnoteReference w:id="3"/>
      </w:r>
      <w:r>
        <w:rPr>
          <w:noProof/>
        </w:rPr>
        <w:t xml:space="preserve">. То се отнася до съдържанието на регистрите в електронната база данни, поддържана от държавите членки, по отношение на сертифицираните изпращачи и сертифицираните получатели, които изпращат или получават стоки само в редки случаи. </w:t>
      </w:r>
    </w:p>
    <w:p>
      <w:pPr>
        <w:rPr>
          <w:noProof/>
        </w:rPr>
      </w:pPr>
      <w:r>
        <w:rPr>
          <w:noProof/>
        </w:rPr>
        <w:t>По отношение на сертифициран изпращач или сертифициран получател, който изпраща или получава акцизни стоки само в редки случаи, държавите членки могат да предоставят временно сертифициране, ограничено до определено количество акцизни стоки, само един получател или изпращач и определен период от време.</w:t>
      </w:r>
    </w:p>
    <w:p>
      <w:pPr>
        <w:rPr>
          <w:noProof/>
        </w:rPr>
      </w:pPr>
      <w:r>
        <w:rPr>
          <w:noProof/>
        </w:rPr>
        <w:t>В предложението се определя информацията, която трябва да бъде въвеждана в регистрите, поддържани от държавите членки, по отношение на сертифицираните изпращачи и сертифицираните получатели, които придвижват стоки само в редки случаи. Тази информация се отнася до количеството на стоките, самоличността на икономическия оператор в края на движението на стоките и срока на временното сертифициране.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Предложението е свързано с Директива (ЕС) 2020/262 на Съвета, в която се дават определения на сертифицираните изпращачи и сертифицираните получатели. Сертифицираните изпращачи и сертифицираните получатели са икономическите оператори, участващи в движението на акцизни стоки, които са освободени за потребление на територията на една държава членка, след което се придвижват към територията на друга държава членка. Целта на настоящото предложение е да се разшири обхватът на член 19 от Регламент (ЕС) № 389/2012 на Съвета, за да се определи информацията, която държавите членки трябва да въвеждат в регистрите на тези икономически оператори, когато придвижват акцизни стоки само в редки случаи.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Настоящото изменение е от техническо естество и съответно не оказва въздействие върху други политики на Съюза.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се основава на член 113 от Договора за функционирането на Европейския съюз (ДФЕС). В този член се предвижда Съветът, като действа с единодушие, в съответствие със специалната законодателна процедура и след консултация с Европейския парламент и Икономическия и социален комитет, да </w:t>
      </w:r>
      <w:r>
        <w:rPr>
          <w:noProof/>
        </w:rPr>
        <w:lastRenderedPageBreak/>
        <w:t>приема разпоредби за хармонизиране на правилата на държавите членки в областта на косвеното данъчно облагане.</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rPr>
          <w:noProof/>
        </w:rPr>
      </w:pPr>
      <w:r>
        <w:rPr>
          <w:noProof/>
        </w:rPr>
        <w:t>Принципът на субсидиарност се прилага, тъй като предложението не е от изключителната компетентност на Европейския съюз.</w:t>
      </w:r>
    </w:p>
    <w:p>
      <w:pPr>
        <w:pBdr>
          <w:top w:val="nil"/>
          <w:left w:val="nil"/>
          <w:bottom w:val="nil"/>
          <w:right w:val="nil"/>
          <w:between w:val="nil"/>
          <w:bar w:val="nil"/>
        </w:pBdr>
        <w:spacing w:before="0" w:after="240"/>
        <w:rPr>
          <w:rFonts w:eastAsia="Arial Unicode MS"/>
          <w:noProof/>
        </w:rPr>
      </w:pPr>
      <w:r>
        <w:rPr>
          <w:noProof/>
        </w:rPr>
        <w:t>Целите на предложението не могат да бъдат постигнати в достатъчна степен от държавите членки и могат да бъдат постигнати по-добре на равнището на Европейския съюз. Действащите национални процедури за регистрация се различават съществено и не са подходящи като основа за автоматизацията на тези процедури.</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Предложеното изменение не надхвърля действията, необходими за преодоляването на разглежданите проблеми, и така допринася за постигането на целите на Договора по отношение на гладкото и ефективното функциониране на вътрешния пазар.</w:t>
      </w:r>
    </w:p>
    <w:p>
      <w:pPr>
        <w:pBdr>
          <w:top w:val="nil"/>
          <w:left w:val="nil"/>
          <w:bottom w:val="nil"/>
          <w:right w:val="nil"/>
          <w:between w:val="nil"/>
          <w:bar w:val="nil"/>
        </w:pBdr>
        <w:spacing w:before="0" w:after="240"/>
        <w:rPr>
          <w:noProof/>
        </w:rPr>
      </w:pPr>
      <w:r>
        <w:rPr>
          <w:noProof/>
        </w:rPr>
        <w:t xml:space="preserve">Настоящото предложение е съобразено с принципа на пропорционалността, определен в член 5, параграф 4 от Договора за Европейския съюз. </w:t>
      </w:r>
    </w:p>
    <w:p>
      <w:pPr>
        <w:pBdr>
          <w:top w:val="nil"/>
          <w:left w:val="nil"/>
          <w:bottom w:val="nil"/>
          <w:right w:val="nil"/>
          <w:between w:val="nil"/>
          <w:bar w:val="nil"/>
        </w:pBdr>
        <w:spacing w:before="0" w:after="240"/>
        <w:rPr>
          <w:noProof/>
        </w:rPr>
      </w:pPr>
      <w:r>
        <w:rPr>
          <w:noProof/>
        </w:rPr>
        <w:t>Целта на предложението е за държавите членки да се въведат задължения по отношение на икономическите оператори, които придвижват стоки по реда на глава V, раздел 2 от Директива (ЕС) 2020/262 на Съвета. Без това предложение няма да е възможно да се въведе пълна автоматизация на движението на стоки, освободени за потребление.</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Регламент на Съвета.</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rPr>
          <w:noProof/>
        </w:rPr>
      </w:pPr>
      <w:r>
        <w:rPr>
          <w:noProof/>
        </w:rPr>
        <w:t xml:space="preserve">Оценката на въздействието беше изготвена при преработването на Директива 2008/118/ЕО. Директива 2008/118/ЕО на Съвета относно общия режим на облагане с акциз, след като неколкократно претърпя съществени изменения, с оглед постигане на яснота беше отменена с Директива (ЕС) 2020/262 на Съвета. Предложението за преработване на текста беше придружено от оценка на въздействието на Директива 2008/118/ЕО на Съвета, насочена към определени области, една от които беше автоматизацията на движенията в рамките на ЕС на акцизни стоки, освободени за потребление. В Директива (ЕС) 2020/262 на Съвета се урежда компютризирането на движенията на акцизни стоки, освободени за потребление от сертифицираните изпращачи и сертифицираните получатели, което не е предвидено в Директива 2008/118/ЕО, и също така се определят условията за временното сертифициране, когато сертифицираните изпращачи или сертифицираните получатели придвижват акцизни стоки само в редки случаи.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Оценката на Директива 2008/118/ЕО беше извършена в рамките на Програмата на Комисията за пригодност и резултатност на регулаторната рамка.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Настоящото предложение е в съответствие с основните права, по-специално правото на неприкосновеност на личния живот, гарантирано от съществуващата разпоредба за защита на данните, съдържаща се в Регламент (ЕС) № 389/2012.</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Няма да са необходими допълнителни ресурси от бюджета на ЕС.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rPr>
          <w:noProof/>
        </w:rPr>
      </w:pPr>
    </w:p>
    <w:p>
      <w:pPr>
        <w:rPr>
          <w:noProof/>
        </w:rPr>
      </w:pPr>
      <w:r>
        <w:rPr>
          <w:noProof/>
        </w:rPr>
        <w:t>С предложението се изменя обхватът на член 19 от Регламент (ЕС) № 389/2012, за да се включи информацията, която държавите членки трябва да въвеждат в регистрите на електронната база данни по отношение на сертифицираните изпращачи и сертифицираните получатели, които придвижват акцизни стоки само в редки случаи и получават временно сертифициране.</w:t>
      </w:r>
    </w:p>
    <w:p>
      <w:pPr>
        <w:rPr>
          <w:noProof/>
        </w:rPr>
      </w:pPr>
      <w:r>
        <w:rPr>
          <w:noProof/>
        </w:rPr>
        <w:t xml:space="preserve">За регистрираните изпращачи компетентните органи на държавите членки трябва да включват в регистъра съдържанието на временното сертифициране, а именно количеството акцизни стоки, самоличността на получателя в държавата членка на получаване и срока на валидност на разрешението. </w:t>
      </w:r>
    </w:p>
    <w:p>
      <w:pPr>
        <w:rPr>
          <w:noProof/>
        </w:rPr>
      </w:pPr>
      <w:r>
        <w:rPr>
          <w:noProof/>
        </w:rPr>
        <w:t xml:space="preserve">За регистрираните получатели компетентните органи на държавите членки трябва да включват в регистъра съдържанието на временното сертифициране, а именно количеството акцизни стоки, самоличността на изпращача в държавата членка на изпращане и срока на валидност на разрешението. </w:t>
      </w:r>
    </w:p>
    <w:p>
      <w:pPr>
        <w:rPr>
          <w:noProof/>
        </w:rPr>
      </w:pPr>
    </w:p>
    <w:p>
      <w:pPr>
        <w:spacing w:before="0" w:after="200" w:line="276" w:lineRule="auto"/>
        <w:jc w:val="left"/>
        <w:rPr>
          <w:noProof/>
        </w:rPr>
      </w:pPr>
      <w:r>
        <w:rPr>
          <w:noProof/>
        </w:rPr>
        <w:br w:type="page"/>
      </w:r>
    </w:p>
    <w:p>
      <w:pPr>
        <w:pStyle w:val="Rfrenceinterinstitutionnelle"/>
        <w:rPr>
          <w:noProof/>
        </w:rPr>
      </w:pPr>
      <w:r>
        <w:rPr>
          <w:noProof/>
        </w:rPr>
        <w:lastRenderedPageBreak/>
        <w:t>2021/0015 (CNS)</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389/2012 на Съвета относно административното сътрудничество в областта на акцизите, що се отнася до съдържанието на електронните регистри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4"/>
      </w:r>
      <w:r>
        <w:rPr>
          <w:noProof/>
        </w:rPr>
        <w:t>,</w:t>
      </w:r>
    </w:p>
    <w:p>
      <w:pPr>
        <w:rPr>
          <w:noProof/>
        </w:rPr>
      </w:pPr>
      <w:r>
        <w:rPr>
          <w:noProof/>
        </w:rPr>
        <w:t xml:space="preserve">като взе предвид становището на Европейския икономически и социален комитет, </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В член 19 от Регламент (ЕС) № 389/2012 на Съвета</w:t>
      </w:r>
      <w:r>
        <w:rPr>
          <w:rStyle w:val="FootnoteReference"/>
          <w:noProof/>
        </w:rPr>
        <w:footnoteReference w:id="5"/>
      </w:r>
      <w:r>
        <w:rPr>
          <w:noProof/>
        </w:rPr>
        <w:t xml:space="preserve"> се предвижда задължение за държавите членки да поддържат електронни регистри на разрешенията на икономическите оператори и складовете, участващи в движението на акцизни стоки под режим отложено плащане на акциз.</w:t>
      </w:r>
    </w:p>
    <w:p>
      <w:pPr>
        <w:pStyle w:val="ManualConsidrant"/>
        <w:rPr>
          <w:noProof/>
        </w:rPr>
      </w:pPr>
      <w:r>
        <w:t>(2)</w:t>
      </w:r>
      <w:r>
        <w:tab/>
      </w:r>
      <w:r>
        <w:rPr>
          <w:noProof/>
        </w:rPr>
        <w:t>С Директива (ЕС) 2020/262 на Съвета</w:t>
      </w:r>
      <w:r>
        <w:rPr>
          <w:rStyle w:val="FootnoteReference"/>
          <w:noProof/>
        </w:rPr>
        <w:footnoteReference w:id="6"/>
      </w:r>
      <w:r>
        <w:rPr>
          <w:noProof/>
        </w:rPr>
        <w:t xml:space="preserve"> се разширява използването на компютърната система съгласно Решение (ЕС) 2020/263 на Европейския парламент и на Съвета</w:t>
      </w:r>
      <w:r>
        <w:rPr>
          <w:rStyle w:val="FootnoteReference"/>
          <w:noProof/>
        </w:rPr>
        <w:footnoteReference w:id="7"/>
      </w:r>
      <w:r>
        <w:rPr>
          <w:noProof/>
        </w:rPr>
        <w:t>, която понастоящем се използва за надзор на движението на акцизни стоки под режим отложено плащане на акциз, така че да се използва за надзора на акцизните стоки, които са освободени за потребление на територията на една държава членка и след това се придвижват към територията на друга държава членка, за да бъдат доставени с търговска цел.</w:t>
      </w:r>
    </w:p>
    <w:p>
      <w:pPr>
        <w:pStyle w:val="ManualConsidrant"/>
        <w:rPr>
          <w:noProof/>
        </w:rPr>
      </w:pPr>
      <w:r>
        <w:t>(3)</w:t>
      </w:r>
      <w:r>
        <w:tab/>
      </w:r>
      <w:r>
        <w:rPr>
          <w:noProof/>
        </w:rPr>
        <w:t xml:space="preserve">За да се даде възможност за правилното функциониране на компютърната система чрез осигуряване на съхранението на пълни, актуални и точни данни, е необходимо да се измени обхватът на член 19 от Регламент (ЕС) № 389/2012, за да се определи информацията, която държавите членки следва да въвеждат в регистрите на електронната база данни по отношение на сертифицираните </w:t>
      </w:r>
      <w:r>
        <w:rPr>
          <w:noProof/>
        </w:rPr>
        <w:lastRenderedPageBreak/>
        <w:t>изпращачи и сертифицирани получатели, които придвижват акцизни стоки само в редки случаи.</w:t>
      </w:r>
    </w:p>
    <w:p>
      <w:pPr>
        <w:pStyle w:val="ManualConsidrant"/>
        <w:rPr>
          <w:noProof/>
        </w:rPr>
      </w:pPr>
      <w:r>
        <w:t>(4)</w:t>
      </w:r>
      <w:r>
        <w:tab/>
      </w:r>
      <w:r>
        <w:rPr>
          <w:noProof/>
        </w:rPr>
        <w:t>Тъй като целта на настоящия регламент, а именно определянето на информацията, която държавите членки следва да включват в електронния регистър по отношение на сертифицираните изпращачи и сертифицирани получатели, които придвижват акцизни стоки само в редки случаи, не може да бъде постигната в достатъчна степен от държавите членки, а може, поради необходимостта от осигуряване на хармонизирано функциониране на компютърната система и улесняване на борбата с измамите,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ManualConsidrant"/>
        <w:rPr>
          <w:noProof/>
        </w:rPr>
      </w:pPr>
      <w:r>
        <w:t>(5)</w:t>
      </w:r>
      <w:r>
        <w:tab/>
      </w:r>
      <w:r>
        <w:rPr>
          <w:noProof/>
        </w:rPr>
        <w:t>Настоящият регламент зачита основните права и спазва принципите, признати в Хартата на основните права на Европейския съюз, по-специално правото на защита на личните данни. С оглед на ограниченията, установени с настоящия регламент, обработването на такива данни, извършвано за целите на настоящия регламент, не надхвърля необходимото и пропорционалното за целите на защитата на законните фискални интереси на държавите членки.</w:t>
      </w:r>
    </w:p>
    <w:p>
      <w:pPr>
        <w:pStyle w:val="ManualConsidrant"/>
        <w:rPr>
          <w:noProof/>
        </w:rPr>
      </w:pPr>
      <w:r>
        <w:t>(6)</w:t>
      </w:r>
      <w:r>
        <w:tab/>
      </w:r>
      <w:r>
        <w:rPr>
          <w:noProof/>
        </w:rPr>
        <w:t>В съответствие с член 42 от Регламент (ЕС) 2018/1725 на Европейския парламент и на Съвета бяха проведени консултации с Европейския надзорен орган по защита на данните</w:t>
      </w:r>
      <w:r>
        <w:rPr>
          <w:rStyle w:val="FootnoteReference"/>
          <w:noProof/>
        </w:rPr>
        <w:footnoteReference w:id="8"/>
      </w:r>
      <w:r>
        <w:rPr>
          <w:noProof/>
        </w:rPr>
        <w:t xml:space="preserve">. </w:t>
      </w:r>
    </w:p>
    <w:p>
      <w:pPr>
        <w:pStyle w:val="ManualConsidrant"/>
        <w:rPr>
          <w:noProof/>
        </w:rPr>
      </w:pPr>
      <w:r>
        <w:t>(7)</w:t>
      </w:r>
      <w:r>
        <w:tab/>
      </w:r>
      <w:r>
        <w:rPr>
          <w:noProof/>
        </w:rPr>
        <w:t>Настоящият регламент следва да се прилага от 13 февруари 2023 г., за да се хармонизира началната дата на неговото прилагане с началната дата на прилагане на разпоредбите на Директива (ЕС) 2020/262 относно автоматизацията на движенията на акцизни стоки, които са освободени за потребление на територията на една държава членка и се придвижват към територията на друга държава членка, за да бъдат доставени с търговска цел на територията на тази друга държава членка, и за да имат държавите членки достатъчно време да се подготвят за промените, произтичащи от настоящия регламент.</w:t>
      </w:r>
    </w:p>
    <w:p>
      <w:pPr>
        <w:pStyle w:val="ManualConsidrant"/>
        <w:rPr>
          <w:noProof/>
        </w:rPr>
      </w:pPr>
      <w:r>
        <w:t>(8)</w:t>
      </w:r>
      <w:r>
        <w:tab/>
      </w:r>
      <w:r>
        <w:rPr>
          <w:noProof/>
        </w:rPr>
        <w:t>Поради това Регламент (ЕС) № 389/2012 следва да бъде съответно изменен,</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 xml:space="preserve">В член 19, параграф 2 от Регламент (ЕС) № 389/2012 се добавят следните букви: </w:t>
      </w:r>
    </w:p>
    <w:p>
      <w:pPr>
        <w:ind w:left="1440" w:hanging="1080"/>
        <w:rPr>
          <w:iCs/>
          <w:noProof/>
        </w:rPr>
      </w:pPr>
      <w:r>
        <w:rPr>
          <w:noProof/>
        </w:rPr>
        <w:t>„л)</w:t>
      </w:r>
      <w:r>
        <w:rPr>
          <w:noProof/>
        </w:rPr>
        <w:tab/>
        <w:t>за сертифицираните изпращачи, посочени в член 35, параграф 8 от Директива (ЕС) 2020/262, които придвижват акцизни стоки само в редки случаи — количеството акцизни стоки, самоличността на получателя в държавата членка на получаване и срока на валидност на временното сертифициране;</w:t>
      </w:r>
    </w:p>
    <w:p>
      <w:pPr>
        <w:rPr>
          <w:noProof/>
        </w:rPr>
      </w:pPr>
    </w:p>
    <w:p>
      <w:pPr>
        <w:ind w:left="1440" w:hanging="1080"/>
        <w:rPr>
          <w:iCs/>
          <w:noProof/>
        </w:rPr>
      </w:pPr>
      <w:r>
        <w:rPr>
          <w:noProof/>
        </w:rPr>
        <w:lastRenderedPageBreak/>
        <w:t xml:space="preserve">м) </w:t>
      </w:r>
      <w:r>
        <w:rPr>
          <w:noProof/>
        </w:rPr>
        <w:tab/>
        <w:t>за сертифицираните получатели, посочени в член 35, параграф 8 от Директива (ЕС) 2020/262, които придвижват акцизни стоки само в редки случаи — количеството акцизни стоки, самоличността на изпращача в държавата членка на изпращане и срока на валидност на временното сертифициране.</w:t>
      </w:r>
      <w:r>
        <w:rPr>
          <w:noProof/>
          <w:color w:val="444444"/>
          <w:sz w:val="27"/>
          <w:szCs w:val="27"/>
          <w:shd w:val="clear" w:color="auto" w:fill="FFFFFF"/>
        </w:rPr>
        <w:t>“</w:t>
      </w:r>
    </w:p>
    <w:p>
      <w:pPr>
        <w:rPr>
          <w:noProof/>
        </w:rPr>
      </w:pPr>
    </w:p>
    <w:p>
      <w:pPr>
        <w:rPr>
          <w:noProof/>
        </w:rPr>
      </w:pPr>
    </w:p>
    <w:p>
      <w:pPr>
        <w:pStyle w:val="Titrearticle"/>
        <w:rPr>
          <w:noProof/>
        </w:rPr>
      </w:pPr>
      <w:r>
        <w:rPr>
          <w:noProof/>
        </w:rPr>
        <w:t>Член 2</w:t>
      </w:r>
    </w:p>
    <w:p>
      <w:pPr>
        <w:pStyle w:val="Titrearticle"/>
        <w:jc w:val="left"/>
        <w:rPr>
          <w:i w:val="0"/>
          <w:noProof/>
        </w:rPr>
      </w:pPr>
      <w:r>
        <w:rPr>
          <w:i w:val="0"/>
          <w:noProof/>
        </w:rPr>
        <w:t xml:space="preserve">Настоящият регламент влиза в сила на двадесетия ден след деня на публикуването му в </w:t>
      </w:r>
      <w:r>
        <w:rPr>
          <w:iCs/>
          <w:noProof/>
        </w:rPr>
        <w:t>Официален вестник на Европейския съюз</w:t>
      </w:r>
      <w:r>
        <w:rPr>
          <w:i w:val="0"/>
          <w:noProof/>
        </w:rPr>
        <w:t>.</w:t>
      </w:r>
    </w:p>
    <w:p>
      <w:pPr>
        <w:rPr>
          <w:noProof/>
        </w:rPr>
      </w:pPr>
      <w:r>
        <w:rPr>
          <w:noProof/>
        </w:rPr>
        <w:t>Той се прилага от 13 февруари 2023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121, 8.5.2012 г., стр. 1.</w:t>
      </w:r>
    </w:p>
  </w:footnote>
  <w:footnote w:id="3">
    <w:p>
      <w:pPr>
        <w:pStyle w:val="FootnoteText"/>
      </w:pPr>
      <w:r>
        <w:rPr>
          <w:rStyle w:val="FootnoteReference"/>
        </w:rPr>
        <w:footnoteRef/>
      </w:r>
      <w:r>
        <w:tab/>
        <w:t>ОВ L 58, 27.2.2020 г., стр. 4</w:t>
      </w:r>
    </w:p>
  </w:footnote>
  <w:footnote w:id="4">
    <w:p>
      <w:pPr>
        <w:pStyle w:val="FootnoteText"/>
      </w:pPr>
      <w:r>
        <w:rPr>
          <w:rStyle w:val="FootnoteReference"/>
        </w:rPr>
        <w:footnoteRef/>
      </w:r>
      <w:r>
        <w:tab/>
        <w:t>ОВ С [...], [...] г., стр. [...].</w:t>
      </w:r>
    </w:p>
  </w:footnote>
  <w:footnote w:id="5">
    <w:p>
      <w:pPr>
        <w:pStyle w:val="FootnoteText"/>
      </w:pPr>
      <w:r>
        <w:rPr>
          <w:rStyle w:val="FootnoteReference"/>
        </w:rPr>
        <w:footnoteRef/>
      </w:r>
      <w:r>
        <w:tab/>
        <w:t>Регламент (ЕС) № 389/2012 на Съвета от 2 май 2012 г. относно административното сътрудничество в областта на акцизите и за отмяна на Регламент (ЕО) № 2073/2004 (ОВ L 121, 8.5.2012 г., стр. 1).</w:t>
      </w:r>
    </w:p>
  </w:footnote>
  <w:footnote w:id="6">
    <w:p>
      <w:pPr>
        <w:pStyle w:val="FootnoteText"/>
      </w:pPr>
      <w:r>
        <w:rPr>
          <w:rStyle w:val="FootnoteReference"/>
        </w:rPr>
        <w:footnoteRef/>
      </w:r>
      <w:r>
        <w:tab/>
        <w:t>Директива (ЕС) 2020/262 на Съвета от 19 декември 2019 г. за определяне на общия режим на облагане с акциз (ОВ L 58, 27.2.2020 г., стр. 4).</w:t>
      </w:r>
    </w:p>
  </w:footnote>
  <w:footnote w:id="7">
    <w:p>
      <w:pPr>
        <w:pStyle w:val="FootnoteText"/>
      </w:pPr>
      <w:r>
        <w:rPr>
          <w:rStyle w:val="FootnoteReference"/>
        </w:rPr>
        <w:footnoteRef/>
      </w:r>
      <w:r>
        <w:tab/>
        <w:t>Решение (ЕС) 2020/263 на Европейския парламент и на Съвета от 15 януари 2020 г. за компютризиране на движението и контрола върху акцизните стоки (OB L 58, 27.2.2020 г., стр. 43).</w:t>
      </w:r>
    </w:p>
  </w:footnote>
  <w:footnote w:id="8">
    <w:p>
      <w:pPr>
        <w:pStyle w:val="FootnoteText"/>
      </w:pPr>
      <w:r>
        <w:rPr>
          <w:rStyle w:val="FootnoteReference"/>
        </w:rPr>
        <w:footnoteRef/>
      </w:r>
      <w:r>
        <w:tab/>
        <w:t>Регламент (EС) 2018/1725 на Европейския парламент и на Съвета от 23 октомври 2018 г. (ОВ L 295, 21.11.2018 г., стр.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35EDF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023A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7271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EAB2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BA4D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C1AB3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D0B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BD82C1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09:39: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C83D8A6-1121-4191-BFF4-5399607FDC27"/>
    <w:docVar w:name="LW_COVERPAGE_TYPE" w:val="1"/>
    <w:docVar w:name="LW_CROSSREFERENCE" w:val="&lt;UNUSED&gt;"/>
    <w:docVar w:name="LW_DocType" w:val="COM"/>
    <w:docVar w:name="LW_EMISSION" w:val="26.1.2021"/>
    <w:docVar w:name="LW_EMISSION_ISODATE" w:val="2021-01-26"/>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015"/>
    <w:docVar w:name="LW_REF.II.NEW.CP_YEAR" w:val="2021"/>
    <w:docVar w:name="LW_REF.INST.NEW" w:val="COM"/>
    <w:docVar w:name="LW_REF.INST.NEW_ADOPTED" w:val="final"/>
    <w:docVar w:name="LW_REF.INST.NEW_TEXT" w:val="(2021) 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389/2012 \u1085?\u1072? \u1057?\u1098?\u1074?\u1077?\u1090?\u1072? \u1086?\u1090?\u1085?\u1086?\u1089?\u1085?\u1086? \u1072?\u1076?\u1084?\u1080?\u1085?\u1080?\u1089?\u1090?\u1088?\u1072?\u1090?\u1080?\u1074?\u1085?\u1086?\u1090?\u1086? \u1089?\u1098?\u1090?\u1088?\u1091?\u1076?\u1085?\u1080?\u1095?\u1077?\u1089?\u1090?\u1074?\u1086? \u1074? \u1086?\u1073?\u1083?\u1072?\u1089?\u1090?\u1090?\u1072? \u1085?\u1072? \u1072?\u1082?\u1094?\u1080?\u1079?\u1080?\u1090?\u1077?, \u1097?\u1086? \u1089?\u1077? \u1086?\u1090?\u1085?\u1072?\u1089?\u1103? \u1076?\u1086? \u1089?\u1098?\u1076?\u1098?\u1088?\u1078?\u1072?\u1085?\u1080?\u1077?\u1090?\u1086? \u1085?\u1072? \u1077?\u1083?\u1077?\u1082?\u1090?\u1088?\u1086?\u1085?\u1085?\u1080?\u1090?\u1077? \u1088?\u1077?\u1075?\u1080?\u1089?\u1090?\u1088?\u108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6E909D6-42EB-45AE-B522-4062EBB9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1628</Words>
  <Characters>9823</Characters>
  <Application>Microsoft Office Word</Application>
  <DocSecurity>0</DocSecurity>
  <Lines>196</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2021-01-15T10:40:00Z</dcterms:created>
  <dcterms:modified xsi:type="dcterms:W3CDTF">2021-01-19T08:39:00Z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