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FBC89070-1F67-4A8C-A849-E8B1A47E6560" style="width:450.4pt;height:334.05pt">
            <v:imagedata r:id="rId8" o:title=""/>
          </v:shape>
        </w:pict>
      </w:r>
    </w:p>
    <w:bookmarkEnd w:id="0"/>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spacing w:after="0"/>
        <w:rPr>
          <w:rFonts w:ascii="Times New Roman" w:hAnsi="Times New Roman"/>
          <w:noProof/>
          <w:sz w:val="24"/>
          <w:szCs w:val="24"/>
        </w:rPr>
      </w:pPr>
      <w:bookmarkStart w:id="1" w:name="_GoBack"/>
      <w:bookmarkEnd w:id="1"/>
    </w:p>
    <w:p>
      <w:pPr>
        <w:spacing w:after="0"/>
        <w:rPr>
          <w:rFonts w:ascii="Times New Roman" w:hAnsi="Times New Roman"/>
          <w:noProof/>
          <w:sz w:val="24"/>
          <w:szCs w:val="24"/>
        </w:rPr>
      </w:pPr>
    </w:p>
    <w:p>
      <w:pPr>
        <w:spacing w:after="0"/>
        <w:rPr>
          <w:rFonts w:ascii="Times New Roman" w:hAnsi="Times New Roman"/>
          <w:noProof/>
          <w:sz w:val="24"/>
          <w:szCs w:val="24"/>
        </w:rPr>
      </w:pPr>
    </w:p>
    <w:sdt>
      <w:sdtPr>
        <w:rPr>
          <w:rFonts w:ascii="Calibri" w:eastAsia="Calibri" w:hAnsi="Calibri" w:cstheme="minorBidi"/>
          <w:b w:val="0"/>
          <w:noProof/>
          <w:sz w:val="22"/>
          <w:szCs w:val="22"/>
        </w:rPr>
        <w:id w:val="1409118759"/>
        <w:docPartObj>
          <w:docPartGallery w:val="Table of Contents"/>
          <w:docPartUnique/>
        </w:docPartObj>
      </w:sdtPr>
      <w:sdtEndPr>
        <w:rPr>
          <w:rFonts w:asciiTheme="minorHAnsi" w:eastAsiaTheme="minorHAnsi" w:hAnsiTheme="minorHAnsi"/>
          <w:bCs/>
        </w:rPr>
      </w:sdtEndPr>
      <w:sdtContent>
        <w:p>
          <w:pPr>
            <w:pStyle w:val="TOCHeading"/>
            <w:rPr>
              <w:noProof/>
            </w:rPr>
          </w:pPr>
          <w:r>
            <w:rPr>
              <w:noProof/>
            </w:rPr>
            <w:t>Съдържание</w:t>
          </w:r>
        </w:p>
        <w:p>
          <w:pPr>
            <w:pStyle w:val="TOC1"/>
            <w:rPr>
              <w:rFonts w:asciiTheme="minorHAnsi" w:eastAsiaTheme="minorEastAsia" w:hAnsiTheme="minorHAnsi" w:cstheme="minorBidi"/>
              <w:noProof/>
              <w:sz w:val="22"/>
              <w:szCs w:val="22"/>
              <w:lang w:val="en-US"/>
            </w:rPr>
          </w:pPr>
          <w:r>
            <w:rPr>
              <w:noProof/>
            </w:rPr>
            <w:fldChar w:fldCharType="begin"/>
          </w:r>
          <w:r>
            <w:rPr>
              <w:noProof/>
            </w:rPr>
            <w:instrText xml:space="preserve"> TOC \o "1-2" \h \z \u </w:instrText>
          </w:r>
          <w:r>
            <w:rPr>
              <w:noProof/>
            </w:rPr>
            <w:fldChar w:fldCharType="separate"/>
          </w:r>
          <w:hyperlink w:anchor="_Toc61436885" w:history="1">
            <w:r>
              <w:rPr>
                <w:rStyle w:val="Hyperlink"/>
                <w:bCs/>
                <w:smallCaps/>
                <w:noProof/>
              </w:rPr>
              <w:t>1.</w:t>
            </w:r>
            <w:r>
              <w:rPr>
                <w:rFonts w:asciiTheme="minorHAnsi" w:eastAsiaTheme="minorEastAsia" w:hAnsiTheme="minorHAnsi" w:cstheme="minorBidi"/>
                <w:noProof/>
                <w:sz w:val="22"/>
                <w:szCs w:val="22"/>
                <w:lang w:val="en-US"/>
              </w:rPr>
              <w:tab/>
            </w:r>
            <w:r>
              <w:rPr>
                <w:rStyle w:val="Hyperlink"/>
                <w:bCs/>
                <w:smallCaps/>
                <w:noProof/>
              </w:rPr>
              <w:t>Бюджетна процедура за ЕФГЗ за 2020 г.</w:t>
            </w:r>
            <w:r>
              <w:rPr>
                <w:noProof/>
                <w:webHidden/>
              </w:rPr>
              <w:tab/>
            </w:r>
            <w:r>
              <w:rPr>
                <w:noProof/>
                <w:webHidden/>
              </w:rPr>
              <w:fldChar w:fldCharType="begin"/>
            </w:r>
            <w:r>
              <w:rPr>
                <w:noProof/>
                <w:webHidden/>
              </w:rPr>
              <w:instrText xml:space="preserve"> PAGEREF _Toc61436885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61436886" w:history="1">
            <w:r>
              <w:rPr>
                <w:rStyle w:val="Hyperlink"/>
                <w:bCs/>
                <w:smallCaps/>
                <w:noProof/>
              </w:rPr>
              <w:t>2.</w:t>
            </w:r>
            <w:r>
              <w:rPr>
                <w:rFonts w:asciiTheme="minorHAnsi" w:eastAsiaTheme="minorEastAsia" w:hAnsiTheme="minorHAnsi" w:cstheme="minorBidi"/>
                <w:noProof/>
                <w:sz w:val="22"/>
                <w:szCs w:val="22"/>
                <w:lang w:val="en-US"/>
              </w:rPr>
              <w:tab/>
            </w:r>
            <w:r>
              <w:rPr>
                <w:rStyle w:val="Hyperlink"/>
                <w:bCs/>
                <w:smallCaps/>
                <w:noProof/>
              </w:rPr>
              <w:t>Целеви приходи за ЕФГЗ</w:t>
            </w:r>
            <w:r>
              <w:rPr>
                <w:noProof/>
                <w:webHidden/>
              </w:rPr>
              <w:tab/>
            </w:r>
            <w:r>
              <w:rPr>
                <w:noProof/>
                <w:webHidden/>
              </w:rPr>
              <w:fldChar w:fldCharType="begin"/>
            </w:r>
            <w:r>
              <w:rPr>
                <w:noProof/>
                <w:webHidden/>
              </w:rPr>
              <w:instrText xml:space="preserve"> PAGEREF _Toc61436886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61436887" w:history="1">
            <w:r>
              <w:rPr>
                <w:rStyle w:val="Hyperlink"/>
                <w:bCs/>
                <w:smallCaps/>
                <w:noProof/>
              </w:rPr>
              <w:t>3.</w:t>
            </w:r>
            <w:r>
              <w:rPr>
                <w:rFonts w:asciiTheme="minorHAnsi" w:eastAsiaTheme="minorEastAsia" w:hAnsiTheme="minorHAnsi" w:cstheme="minorBidi"/>
                <w:noProof/>
                <w:sz w:val="22"/>
                <w:szCs w:val="22"/>
                <w:lang w:val="en-US"/>
              </w:rPr>
              <w:tab/>
            </w:r>
            <w:r>
              <w:rPr>
                <w:rStyle w:val="Hyperlink"/>
                <w:bCs/>
                <w:smallCaps/>
                <w:noProof/>
              </w:rPr>
              <w:t>Бележки по предварителните данни за изпълнението на бюджета на ЕФГЗ за 2020 г.</w:t>
            </w:r>
            <w:r>
              <w:rPr>
                <w:noProof/>
                <w:webHidden/>
              </w:rPr>
              <w:tab/>
            </w:r>
            <w:r>
              <w:rPr>
                <w:noProof/>
                <w:webHidden/>
              </w:rPr>
              <w:fldChar w:fldCharType="begin"/>
            </w:r>
            <w:r>
              <w:rPr>
                <w:noProof/>
                <w:webHidden/>
              </w:rPr>
              <w:instrText xml:space="preserve"> PAGEREF _Toc61436887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50"/>
              <w:tab w:val="right" w:leader="dot" w:pos="9062"/>
            </w:tabs>
            <w:rPr>
              <w:rFonts w:asciiTheme="minorHAnsi" w:eastAsiaTheme="minorEastAsia" w:hAnsiTheme="minorHAnsi" w:cstheme="minorBidi"/>
              <w:noProof/>
              <w:lang w:val="en-US"/>
            </w:rPr>
          </w:pPr>
          <w:hyperlink w:anchor="_Toc61436888" w:history="1">
            <w:r>
              <w:rPr>
                <w:rStyle w:val="Hyperlink"/>
                <w:rFonts w:ascii="Times New Roman" w:eastAsia="Times New Roman" w:hAnsi="Times New Roman"/>
                <w:bCs/>
                <w:iCs/>
                <w:noProof/>
              </w:rPr>
              <w:t>3.1.</w:t>
            </w:r>
            <w:r>
              <w:rPr>
                <w:rFonts w:asciiTheme="minorHAnsi" w:eastAsiaTheme="minorEastAsia" w:hAnsiTheme="minorHAnsi" w:cstheme="minorBidi"/>
                <w:noProof/>
                <w:lang w:val="en-US"/>
              </w:rPr>
              <w:tab/>
            </w:r>
            <w:r>
              <w:rPr>
                <w:rStyle w:val="Hyperlink"/>
                <w:rFonts w:ascii="Times New Roman" w:hAnsi="Times New Roman"/>
                <w:bCs/>
                <w:iCs/>
                <w:noProof/>
              </w:rPr>
              <w:t>Пазарни мерки</w:t>
            </w:r>
            <w:r>
              <w:rPr>
                <w:noProof/>
                <w:webHidden/>
              </w:rPr>
              <w:tab/>
            </w:r>
            <w:r>
              <w:rPr>
                <w:noProof/>
                <w:webHidden/>
              </w:rPr>
              <w:fldChar w:fldCharType="begin"/>
            </w:r>
            <w:r>
              <w:rPr>
                <w:noProof/>
                <w:webHidden/>
              </w:rPr>
              <w:instrText xml:space="preserve"> PAGEREF _Toc61436888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50"/>
              <w:tab w:val="right" w:leader="dot" w:pos="9062"/>
            </w:tabs>
            <w:rPr>
              <w:rFonts w:asciiTheme="minorHAnsi" w:eastAsiaTheme="minorEastAsia" w:hAnsiTheme="minorHAnsi" w:cstheme="minorBidi"/>
              <w:noProof/>
              <w:lang w:val="en-US"/>
            </w:rPr>
          </w:pPr>
          <w:hyperlink w:anchor="_Toc61436889" w:history="1">
            <w:r>
              <w:rPr>
                <w:rStyle w:val="Hyperlink"/>
                <w:rFonts w:ascii="Times New Roman" w:eastAsia="Times New Roman" w:hAnsi="Times New Roman"/>
                <w:bCs/>
                <w:iCs/>
                <w:noProof/>
              </w:rPr>
              <w:t>3.2.</w:t>
            </w:r>
            <w:r>
              <w:rPr>
                <w:rFonts w:asciiTheme="minorHAnsi" w:eastAsiaTheme="minorEastAsia" w:hAnsiTheme="minorHAnsi" w:cstheme="minorBidi"/>
                <w:noProof/>
                <w:lang w:val="en-US"/>
              </w:rPr>
              <w:tab/>
            </w:r>
            <w:r>
              <w:rPr>
                <w:rStyle w:val="Hyperlink"/>
                <w:rFonts w:ascii="Times New Roman" w:hAnsi="Times New Roman"/>
                <w:bCs/>
                <w:iCs/>
                <w:noProof/>
              </w:rPr>
              <w:t>Директни плащания</w:t>
            </w:r>
            <w:r>
              <w:rPr>
                <w:noProof/>
                <w:webHidden/>
              </w:rPr>
              <w:tab/>
            </w:r>
            <w:r>
              <w:rPr>
                <w:noProof/>
                <w:webHidden/>
              </w:rPr>
              <w:fldChar w:fldCharType="begin"/>
            </w:r>
            <w:r>
              <w:rPr>
                <w:noProof/>
                <w:webHidden/>
              </w:rPr>
              <w:instrText xml:space="preserve"> PAGEREF _Toc61436889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61436890" w:history="1">
            <w:r>
              <w:rPr>
                <w:rStyle w:val="Hyperlink"/>
                <w:bCs/>
                <w:smallCaps/>
                <w:noProof/>
              </w:rPr>
              <w:t>4.</w:t>
            </w:r>
            <w:r>
              <w:rPr>
                <w:rFonts w:asciiTheme="minorHAnsi" w:eastAsiaTheme="minorEastAsia" w:hAnsiTheme="minorHAnsi" w:cstheme="minorBidi"/>
                <w:noProof/>
                <w:sz w:val="22"/>
                <w:szCs w:val="22"/>
                <w:lang w:val="en-US"/>
              </w:rPr>
              <w:tab/>
            </w:r>
            <w:r>
              <w:rPr>
                <w:rStyle w:val="Hyperlink"/>
                <w:bCs/>
                <w:smallCaps/>
                <w:noProof/>
              </w:rPr>
              <w:t>Изпълнение на целевите приходи по линия на ЕФГЗ</w:t>
            </w:r>
            <w:r>
              <w:rPr>
                <w:noProof/>
                <w:webHidden/>
              </w:rPr>
              <w:tab/>
            </w:r>
            <w:r>
              <w:rPr>
                <w:noProof/>
                <w:webHidden/>
              </w:rPr>
              <w:fldChar w:fldCharType="begin"/>
            </w:r>
            <w:r>
              <w:rPr>
                <w:noProof/>
                <w:webHidden/>
              </w:rPr>
              <w:instrText xml:space="preserve"> PAGEREF _Toc61436890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61436891" w:history="1">
            <w:r>
              <w:rPr>
                <w:rStyle w:val="Hyperlink"/>
                <w:bCs/>
                <w:smallCaps/>
                <w:noProof/>
              </w:rPr>
              <w:t>5.</w:t>
            </w:r>
            <w:r>
              <w:rPr>
                <w:rFonts w:asciiTheme="minorHAnsi" w:eastAsiaTheme="minorEastAsia" w:hAnsiTheme="minorHAnsi" w:cstheme="minorBidi"/>
                <w:noProof/>
                <w:sz w:val="22"/>
                <w:szCs w:val="22"/>
                <w:lang w:val="en-US"/>
              </w:rPr>
              <w:tab/>
            </w:r>
            <w:r>
              <w:rPr>
                <w:rStyle w:val="Hyperlink"/>
                <w:bCs/>
                <w:smallCaps/>
                <w:noProof/>
              </w:rPr>
              <w:t>Заключения</w:t>
            </w:r>
            <w:r>
              <w:rPr>
                <w:noProof/>
                <w:webHidden/>
              </w:rPr>
              <w:tab/>
            </w:r>
            <w:r>
              <w:rPr>
                <w:noProof/>
                <w:webHidden/>
              </w:rPr>
              <w:fldChar w:fldCharType="begin"/>
            </w:r>
            <w:r>
              <w:rPr>
                <w:noProof/>
                <w:webHidden/>
              </w:rPr>
              <w:instrText xml:space="preserve"> PAGEREF _Toc61436891 \h </w:instrText>
            </w:r>
            <w:r>
              <w:rPr>
                <w:noProof/>
                <w:webHidden/>
              </w:rPr>
            </w:r>
            <w:r>
              <w:rPr>
                <w:noProof/>
                <w:webHidden/>
              </w:rPr>
              <w:fldChar w:fldCharType="separate"/>
            </w:r>
            <w:r>
              <w:rPr>
                <w:noProof/>
                <w:webHidden/>
              </w:rPr>
              <w:t>6</w:t>
            </w:r>
            <w:r>
              <w:rPr>
                <w:noProof/>
                <w:webHidden/>
              </w:rPr>
              <w:fldChar w:fldCharType="end"/>
            </w:r>
          </w:hyperlink>
        </w:p>
        <w:p>
          <w:pPr>
            <w:rPr>
              <w:noProof/>
            </w:rPr>
          </w:pPr>
          <w:r>
            <w:rPr>
              <w:rFonts w:ascii="Times New Roman" w:eastAsia="Times New Roman" w:hAnsi="Times New Roman" w:cs="Times New Roman"/>
              <w:noProof/>
              <w:sz w:val="24"/>
              <w:szCs w:val="24"/>
            </w:rPr>
            <w:fldChar w:fldCharType="end"/>
          </w:r>
        </w:p>
      </w:sdtContent>
    </w:sdt>
    <w:p>
      <w:pPr>
        <w:spacing w:after="0"/>
        <w:rPr>
          <w:rFonts w:ascii="Times New Roman" w:hAnsi="Times New Roman"/>
          <w:noProof/>
          <w:sz w:val="24"/>
          <w:szCs w:val="24"/>
        </w:rPr>
      </w:pPr>
    </w:p>
    <w:tbl>
      <w:tblPr>
        <w:tblW w:w="0" w:type="auto"/>
        <w:tblLook w:val="01E0" w:firstRow="1" w:lastRow="1" w:firstColumn="1" w:lastColumn="1" w:noHBand="0" w:noVBand="0"/>
      </w:tblPr>
      <w:tblGrid>
        <w:gridCol w:w="2172"/>
        <w:gridCol w:w="7116"/>
      </w:tblGrid>
      <w:tr>
        <w:tc>
          <w:tcPr>
            <w:tcW w:w="1908" w:type="dxa"/>
            <w:hideMark/>
          </w:tcPr>
          <w:p>
            <w:pPr>
              <w:spacing w:before="120" w:after="120"/>
              <w:ind w:right="612"/>
              <w:rPr>
                <w:rFonts w:ascii="Times New Roman" w:hAnsi="Times New Roman"/>
                <w:smallCaps/>
                <w:noProof/>
              </w:rPr>
            </w:pPr>
            <w:r>
              <w:rPr>
                <w:rFonts w:ascii="Times New Roman" w:hAnsi="Times New Roman"/>
                <w:smallCaps/>
                <w:noProof/>
              </w:rPr>
              <w:t>Приложение:</w:t>
            </w:r>
          </w:p>
          <w:p>
            <w:pPr>
              <w:spacing w:before="120" w:after="120"/>
              <w:ind w:right="612"/>
              <w:rPr>
                <w:rFonts w:ascii="Times New Roman" w:hAnsi="Times New Roman"/>
                <w:smallCaps/>
                <w:noProof/>
                <w:sz w:val="24"/>
                <w:szCs w:val="24"/>
              </w:rPr>
            </w:pP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Предварителни данни за усвояването на бюджетни кредити по линия на ЕФГЗ до 31.12.2020 г.</w:t>
            </w:r>
          </w:p>
        </w:tc>
      </w:tr>
    </w:tbl>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keepNext/>
        <w:spacing w:before="360" w:after="120" w:line="240" w:lineRule="auto"/>
        <w:jc w:val="both"/>
        <w:outlineLvl w:val="0"/>
        <w:rPr>
          <w:noProof/>
        </w:rPr>
      </w:pP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2" w:name="_Toc229306111"/>
      <w:bookmarkStart w:id="3" w:name="_Toc413145207"/>
      <w:bookmarkStart w:id="4" w:name="_Toc61436885"/>
      <w:bookmarkStart w:id="5" w:name="_Toc244054012"/>
      <w:bookmarkStart w:id="6" w:name="_Toc244054013"/>
      <w:r>
        <w:rPr>
          <w:rFonts w:ascii="Times New Roman" w:hAnsi="Times New Roman"/>
          <w:b/>
          <w:bCs/>
          <w:smallCaps/>
          <w:noProof/>
          <w:sz w:val="24"/>
          <w:szCs w:val="32"/>
        </w:rPr>
        <w:t>Бюджетна процедура за ЕФГЗ за 2020 г.</w:t>
      </w:r>
      <w:bookmarkEnd w:id="2"/>
      <w:bookmarkEnd w:id="3"/>
      <w:bookmarkEnd w:id="4"/>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На 27 ноември 2019 г. Европейският парламент прие общия бюджет на Европейския съюз за 2020 г. В него са предвидени по линия на Европейския фонд за гарантиране на земеделието (ЕФГЗ) бюджетни кредити за поети задължения и бюджетни кредити за плащания съответно в размер на 43 410 млн. евро и 43 380 млн. евро, предназначени за директни плащания и за разходи, свързани с пазара.</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lastRenderedPageBreak/>
        <w:t>Разликата между размера на бюджетните кредити за поети задължения и бюджетните кредити за плащания се дължи на факта, че за някои мерки, прилагани пряко от Комисията, се използват многогодишни бюджетни кредити. Те са свързани главно с мерките за насърчаване на селскостопанските продукти и с мерките за стратегическо планиране и координиране на политиките.</w:t>
      </w:r>
    </w:p>
    <w:p>
      <w:pPr>
        <w:pStyle w:val="ListParagraph"/>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7" w:name="_Toc413145208"/>
      <w:bookmarkStart w:id="8" w:name="_Toc61436886"/>
      <w:bookmarkEnd w:id="5"/>
      <w:r>
        <w:rPr>
          <w:rFonts w:ascii="Times New Roman" w:hAnsi="Times New Roman"/>
          <w:b/>
          <w:bCs/>
          <w:smallCaps/>
          <w:noProof/>
          <w:sz w:val="24"/>
          <w:szCs w:val="32"/>
        </w:rPr>
        <w:t>Целеви приходи за ЕФГЗ</w:t>
      </w:r>
      <w:bookmarkEnd w:id="6"/>
      <w:bookmarkEnd w:id="7"/>
      <w:bookmarkEnd w:id="8"/>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На основание на разпоредбите на член 43 от Регламент (ЕС) № 1306/2013 приходите от финансови корекции по силата на решения за счетоводно уравняване и уравняване по съответствие и вследствие на нередности представляват целеви приходи за финансирането на разходите по линия на ЕФГЗ.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В съответствие с посочените разпоредби целевите приходи могат да се използват за финансиране на всякакви разходи по линия на ЕФГЗ. Частта от тези приходи, която не е усвоена в рамките на бюджетната година, се пренася автоматично за следващата бюджетна година</w:t>
      </w:r>
      <w:r>
        <w:rPr>
          <w:rFonts w:ascii="Times New Roman" w:eastAsia="Times New Roman" w:hAnsi="Times New Roman" w:cs="Times New Roman"/>
          <w:noProof/>
          <w:sz w:val="24"/>
          <w:szCs w:val="24"/>
          <w:vertAlign w:val="superscript"/>
        </w:rPr>
        <w:footnoteReference w:id="1"/>
      </w:r>
      <w:r>
        <w:rPr>
          <w:rFonts w:ascii="Times New Roman" w:hAnsi="Times New Roman"/>
          <w:noProof/>
          <w:sz w:val="24"/>
          <w:szCs w:val="24"/>
        </w:rPr>
        <w:t>.</w:t>
      </w:r>
    </w:p>
    <w:p>
      <w:pPr>
        <w:spacing w:before="120" w:after="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Бюджетът на ЕФГЗ за 2020 г. включва:</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най-актуалните разчети на Комисията относно потребностите от финансиране за пазарни мерки и за директни плащания,</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разчетите относно целевите приходи, които се очаква да бъдат събрани през съответната бюджетна година,</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пренесените неусвоени целеви приходи от предходната бюджетна година.</w:t>
      </w:r>
    </w:p>
    <w:p>
      <w:pPr>
        <w:spacing w:before="120" w:after="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В предложението си относно бюджетните кредити за ЕФГЗ за 2020 г. Комисията взе предвид общия размер на очакваните целеви приходи и поиска в бюджета за 2020 г. кредити, чийто размер възлиза на разликата между очакваните потребности и очакваните целеви приходи. Бюджетният орган прие бюджета на ЕФГЗ, като взе предвид очакваните целеви приходи.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Според разчетите на Комисията наличните целеви приходи към момента на съставяне на бюджета за 2020 г. възлизаха на 1 071 млн. евро и включваха: </w:t>
      </w:r>
    </w:p>
    <w:p>
      <w:pPr>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Cs w:val="24"/>
        </w:rPr>
        <w:t>целевите приходи, които се очаква да се генерират през бюджетната 2020 година и чийто разчетен размер бе 719 млн. евро (592 млн. евро от корекции от уравняване по съответствие и 127 млн. евро вследствие на нередности);</w:t>
      </w:r>
    </w:p>
    <w:p>
      <w:pPr>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целевите приходи, които трябваше да бъдат пренесени от 2019 г. и чийто разчетен размер бе 352 млн. евро.</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Комисията разпредели тези разчетни приходи в размер на 1 071 млн. евро за следните схеми: </w:t>
      </w:r>
    </w:p>
    <w:p>
      <w:pPr>
        <w:numPr>
          <w:ilvl w:val="0"/>
          <w:numId w:val="5"/>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150 млн. евро за оперативните фондове за организациите на производителите на плодове и зеленчуци, и</w:t>
      </w:r>
    </w:p>
    <w:p>
      <w:pPr>
        <w:numPr>
          <w:ilvl w:val="0"/>
          <w:numId w:val="5"/>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921 млн. евро за схемата за основно плащане.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Сборът на одобрените бюджетни кредити и целевите приходи за тези схеми съответства на:</w:t>
      </w:r>
    </w:p>
    <w:p>
      <w:pPr>
        <w:numPr>
          <w:ilvl w:val="0"/>
          <w:numId w:val="6"/>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849 млн. евро за оперативните фондове за организациите на производители на плодове и зеленчуци, и</w:t>
      </w:r>
    </w:p>
    <w:p>
      <w:pPr>
        <w:numPr>
          <w:ilvl w:val="0"/>
          <w:numId w:val="6"/>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17 038 млн. евро за схемата за основно плащане.</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В приложението, в което се представят предварителните данни за изпълнението на бюджета за 2020 г., гореспоменатите целеви приходи не са отчетени в данните за бюджетните кредити по статиите за плодовете и зеленчуците и за отделените от производството директни плащания. Данните представляват одобрените бюджетни кредити по тези статии, възлизащи съответно на 700,5 млн. евро и 34 574 млн. евро.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С включването на целевите приходи по тези статии общият размер на средствата, предвидени в бюджета за 2020 г., е 850,5 млн. евро за сектора на плодовете и зеленчуците и 35 495 млн. евро за отделените от производството директни плащания. </w:t>
      </w:r>
    </w:p>
    <w:p>
      <w:pPr>
        <w:pStyle w:val="ListParagraph"/>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9" w:name="_Toc244054015"/>
      <w:bookmarkStart w:id="10" w:name="_Toc413145209"/>
      <w:bookmarkStart w:id="11" w:name="_Toc61436887"/>
      <w:r>
        <w:rPr>
          <w:rFonts w:ascii="Times New Roman" w:hAnsi="Times New Roman"/>
          <w:b/>
          <w:bCs/>
          <w:smallCaps/>
          <w:noProof/>
          <w:sz w:val="24"/>
          <w:szCs w:val="32"/>
        </w:rPr>
        <w:t>Бележки по предварителните данни за изпълнението на бюджета на ЕФГЗ за 2020 г.</w:t>
      </w:r>
      <w:bookmarkEnd w:id="9"/>
      <w:bookmarkEnd w:id="10"/>
      <w:bookmarkEnd w:id="11"/>
    </w:p>
    <w:p>
      <w:pPr>
        <w:spacing w:before="120" w:after="120" w:line="240" w:lineRule="auto"/>
        <w:ind w:left="850"/>
        <w:jc w:val="both"/>
        <w:rPr>
          <w:rFonts w:ascii="Times New Roman" w:eastAsia="Times New Roman" w:hAnsi="Times New Roman"/>
          <w:noProof/>
          <w:sz w:val="24"/>
          <w:szCs w:val="24"/>
        </w:rPr>
      </w:pPr>
      <w:bookmarkStart w:id="12" w:name="_Toc244054016"/>
      <w:r>
        <w:rPr>
          <w:rFonts w:ascii="Times New Roman" w:hAnsi="Times New Roman"/>
          <w:noProof/>
          <w:sz w:val="24"/>
          <w:szCs w:val="24"/>
        </w:rPr>
        <w:t>В настоящия доклад са представени предварителните данни за изпълнението на бюджета за 2020 г. по линия на ЕФГЗ, като подробни данни са дадени в приложението.</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В приложението към настоящия доклад са представени предварителните данни за изпълнението на бюджета за периода от 16 октомври 2019 г. до 31 декември 2020 г.</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Направените до 15 октомври 2020 г. разходи в размер на 43 835,5 млн. евро, които включват разходите по линия на ЕФГЗ при споделено управление, декларирани от държавите членки за периода между 16 октомври 2019 г. и 15 октомври 2020 г., както и намаляванията на месечните плащания по възстановяване на направените разходи, наложени в течение на бюджетната година. Освен това общите разходи включват разчет на разходите при пряко управление, възлизащи на около 23,1 млн. евро, които се предвижда да бъдат направени до 31 декември 2020 г.</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По-долу е представен кратък коментар за някои бюджетни статии, по които се наблюдават най-значителните отклонения между действително направените разходи и съответните бюджетни кредити, предвидени в бюджета за 2020 г.</w:t>
      </w:r>
    </w:p>
    <w:p>
      <w:pPr>
        <w:spacing w:before="120" w:after="120" w:line="240" w:lineRule="auto"/>
        <w:ind w:left="850"/>
        <w:jc w:val="both"/>
        <w:rPr>
          <w:rFonts w:ascii="Times New Roman" w:eastAsia="Times New Roman" w:hAnsi="Times New Roman" w:cs="Times New Roman"/>
          <w:noProof/>
          <w:sz w:val="24"/>
          <w:szCs w:val="24"/>
        </w:rPr>
      </w:pPr>
    </w:p>
    <w:p>
      <w:pPr>
        <w:pStyle w:val="ListParagraph"/>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rPr>
      </w:pPr>
      <w:bookmarkStart w:id="13" w:name="_Toc61436888"/>
      <w:r>
        <w:rPr>
          <w:rFonts w:ascii="Times New Roman" w:hAnsi="Times New Roman"/>
          <w:b/>
          <w:bCs/>
          <w:iCs/>
          <w:noProof/>
          <w:sz w:val="24"/>
          <w:szCs w:val="28"/>
        </w:rPr>
        <w:t>Пазарни мерки</w:t>
      </w:r>
      <w:bookmarkEnd w:id="12"/>
      <w:bookmarkEnd w:id="13"/>
    </w:p>
    <w:p>
      <w:pPr>
        <w:pStyle w:val="Text1"/>
        <w:rPr>
          <w:noProof/>
        </w:rPr>
      </w:pPr>
      <w:r>
        <w:rPr>
          <w:noProof/>
        </w:rPr>
        <w:t>Усвоените бюджетни кредити за интервенции на селскостопанските пазари възлизат на 2 662,4 млн. евро, което е с 83,6 млн. евро по-повече от бюджетните кредити. В тях са включени прогнозни 8,1 млн. евро разходи при пряко управление за мерки за насърчаване, които се планира да бъдат направени до 31 декември 2020 г. Като се вземат предвид обаче целевите приходи в размер на 150 млн. евро, разпределени за схемата за плодовете и зеленчуците, резултатът е неизпълнение в размер на 66,4 млн. евро.</w:t>
      </w:r>
    </w:p>
    <w:p>
      <w:pPr>
        <w:pStyle w:val="Text1"/>
        <w:rPr>
          <w:noProof/>
        </w:rPr>
      </w:pPr>
      <w:r>
        <w:rPr>
          <w:noProof/>
        </w:rPr>
        <w:t>Усвояването на бюджетни кредити беше значително по-ниско от очакваното за следните бюджетни статии: маслиново масло; насърчаване; свинското месо, яйцата и птичето месо и други животински продукти, и при училищните схеми. От друга страна, разходите за сектора на плодовете и зеленчуците, както и за лозаро-винарския сектор, надхвърлиха предвидените в бюджета нужди.</w:t>
      </w:r>
    </w:p>
    <w:p>
      <w:pPr>
        <w:spacing w:before="120" w:after="120" w:line="240" w:lineRule="auto"/>
        <w:ind w:left="850"/>
        <w:jc w:val="both"/>
        <w:rPr>
          <w:rFonts w:ascii="Times New Roman" w:eastAsia="Times New Roman" w:hAnsi="Times New Roman" w:cs="Times New Roman"/>
          <w:noProof/>
          <w:sz w:val="24"/>
          <w:szCs w:val="24"/>
        </w:rPr>
      </w:pPr>
    </w:p>
    <w:p>
      <w:pPr>
        <w:pStyle w:val="Heading3"/>
        <w:tabs>
          <w:tab w:val="clear" w:pos="850"/>
        </w:tabs>
        <w:ind w:left="490" w:firstLine="360"/>
        <w:rPr>
          <w:noProof/>
        </w:rPr>
      </w:pPr>
      <w:bookmarkStart w:id="14" w:name="_Toc25246907"/>
      <w:r>
        <w:rPr>
          <w:noProof/>
        </w:rPr>
        <w:t>Маслиново масло</w:t>
      </w:r>
      <w:bookmarkEnd w:id="14"/>
      <w:r>
        <w:rPr>
          <w:noProof/>
        </w:rPr>
        <w:t xml:space="preserve"> — 05 02 06</w:t>
      </w:r>
    </w:p>
    <w:p>
      <w:pPr>
        <w:pStyle w:val="Text1"/>
        <w:rPr>
          <w:noProof/>
        </w:rPr>
      </w:pPr>
      <w:r>
        <w:rPr>
          <w:noProof/>
        </w:rPr>
        <w:t xml:space="preserve">Окончателно усвоените средства по тази бюджетна статия показват неизпълнение от 11 млн. евро, което се дължи главно на по-ниски от очакваните плащания в една държава членка със значителен </w:t>
      </w:r>
      <w:r>
        <w:rPr>
          <w:rStyle w:val="tlid-translation"/>
          <w:noProof/>
        </w:rPr>
        <w:t>дял по тази бюджетна статия</w:t>
      </w:r>
      <w:r>
        <w:rPr>
          <w:noProof/>
        </w:rPr>
        <w:t>.</w:t>
      </w:r>
    </w:p>
    <w:p>
      <w:pPr>
        <w:pStyle w:val="Heading3"/>
        <w:tabs>
          <w:tab w:val="clear" w:pos="850"/>
        </w:tabs>
        <w:ind w:left="360" w:firstLine="0"/>
        <w:rPr>
          <w:noProof/>
        </w:rPr>
      </w:pPr>
    </w:p>
    <w:p>
      <w:pPr>
        <w:pStyle w:val="Heading3"/>
        <w:tabs>
          <w:tab w:val="clear" w:pos="850"/>
        </w:tabs>
        <w:ind w:left="490" w:firstLine="360"/>
        <w:rPr>
          <w:noProof/>
        </w:rPr>
      </w:pPr>
      <w:r>
        <w:rPr>
          <w:noProof/>
        </w:rPr>
        <w:t>Плодове и зеленчуци — 05 02 08</w:t>
      </w:r>
    </w:p>
    <w:p>
      <w:pPr>
        <w:pStyle w:val="Text1"/>
        <w:rPr>
          <w:noProof/>
        </w:rPr>
      </w:pPr>
      <w:r>
        <w:rPr>
          <w:noProof/>
        </w:rPr>
        <w:t xml:space="preserve">В явното преизпълнение от 153,5 млн. евро е отразено увеличението от 48,7 млн. евро с коригиращ бюджет № 9/2020, но при определянето на нуждите по тази бюджетна статия не са взети предвид прогнозните целеви приходи в размер на 150 млн. евро. С включването на тези прогнозни целеви приходи преизпълнението възлиза едва на 3,5 млн. евро или 0,4 % повече спрямо предвидения бюджет (вж. бележка под линия (*) в приложението). </w:t>
      </w:r>
    </w:p>
    <w:p>
      <w:pPr>
        <w:pStyle w:val="Text1"/>
        <w:rPr>
          <w:noProof/>
        </w:rPr>
      </w:pPr>
      <w:r>
        <w:rPr>
          <w:noProof/>
        </w:rPr>
        <w:t xml:space="preserve"> </w:t>
      </w:r>
    </w:p>
    <w:p>
      <w:pPr>
        <w:pStyle w:val="Heading3"/>
        <w:tabs>
          <w:tab w:val="clear" w:pos="850"/>
        </w:tabs>
        <w:ind w:left="490" w:firstLine="360"/>
        <w:rPr>
          <w:bCs w:val="0"/>
          <w:i w:val="0"/>
          <w:noProof/>
        </w:rPr>
      </w:pPr>
      <w:bookmarkStart w:id="15" w:name="_Toc525722902"/>
      <w:bookmarkStart w:id="16" w:name="_Toc525734906"/>
      <w:bookmarkStart w:id="17" w:name="_Toc525736637"/>
      <w:bookmarkStart w:id="18" w:name="_Toc526175165"/>
      <w:bookmarkEnd w:id="15"/>
      <w:bookmarkEnd w:id="16"/>
      <w:bookmarkEnd w:id="17"/>
      <w:bookmarkEnd w:id="18"/>
      <w:r>
        <w:rPr>
          <w:noProof/>
        </w:rPr>
        <w:t>Продукти от лозаро-винарския сектор – 05 02 09</w:t>
      </w:r>
    </w:p>
    <w:p>
      <w:pPr>
        <w:pStyle w:val="Text1"/>
        <w:rPr>
          <w:noProof/>
        </w:rPr>
      </w:pPr>
      <w:r>
        <w:rPr>
          <w:noProof/>
        </w:rPr>
        <w:t>Окончателното усвояване по тази бюджетна статия води до преизпълнение в размер на 30,5 млн. евро. Разходите включват подкрепа за извънредните кризисни мерки, приети в средата на 2020 г., за да се противодейства на последствията за лозаро-винарския сектор от пандемията от Covid-19.</w:t>
      </w:r>
    </w:p>
    <w:p>
      <w:pPr>
        <w:spacing w:before="120" w:after="120" w:line="240" w:lineRule="auto"/>
        <w:jc w:val="both"/>
        <w:rPr>
          <w:rFonts w:ascii="Times New Roman" w:eastAsia="Times New Roman" w:hAnsi="Times New Roman" w:cs="Times New Roman"/>
          <w:noProof/>
          <w:sz w:val="24"/>
          <w:szCs w:val="24"/>
        </w:rPr>
      </w:pPr>
    </w:p>
    <w:p>
      <w:pPr>
        <w:pStyle w:val="Heading3"/>
        <w:tabs>
          <w:tab w:val="clear" w:pos="850"/>
        </w:tabs>
        <w:ind w:left="490" w:firstLine="360"/>
        <w:rPr>
          <w:noProof/>
        </w:rPr>
      </w:pPr>
      <w:bookmarkStart w:id="19" w:name="_Toc34819028"/>
      <w:bookmarkStart w:id="20" w:name="_Toc25246911"/>
      <w:r>
        <w:rPr>
          <w:noProof/>
        </w:rPr>
        <w:t>Насърчаване</w:t>
      </w:r>
      <w:bookmarkEnd w:id="19"/>
      <w:r>
        <w:rPr>
          <w:noProof/>
        </w:rPr>
        <w:t xml:space="preserve"> — 05 02 10</w:t>
      </w:r>
    </w:p>
    <w:p>
      <w:pPr>
        <w:pStyle w:val="Text1"/>
        <w:rPr>
          <w:noProof/>
        </w:rPr>
      </w:pPr>
      <w:r>
        <w:rPr>
          <w:noProof/>
        </w:rPr>
        <w:t>Изпълнението показва неусвояване в размер на 9,3 млн. евро. От тази сума 8,1 млн. евро се очаква да бъдат усвоени по бюджетна позиция за пряко управление (05 02 10 02) преди края на годината.</w:t>
      </w:r>
    </w:p>
    <w:bookmarkEnd w:id="20"/>
    <w:p>
      <w:pPr>
        <w:pStyle w:val="Heading3"/>
        <w:tabs>
          <w:tab w:val="clear" w:pos="850"/>
        </w:tabs>
        <w:ind w:left="360" w:firstLine="0"/>
        <w:rPr>
          <w:noProof/>
        </w:rPr>
      </w:pPr>
      <w:r>
        <w:rPr>
          <w:noProof/>
        </w:rPr>
        <w:t xml:space="preserve"> </w:t>
      </w:r>
    </w:p>
    <w:p>
      <w:pPr>
        <w:pStyle w:val="Heading3"/>
        <w:tabs>
          <w:tab w:val="clear" w:pos="850"/>
        </w:tabs>
        <w:ind w:left="490" w:firstLine="360"/>
        <w:rPr>
          <w:noProof/>
        </w:rPr>
      </w:pPr>
      <w:r>
        <w:rPr>
          <w:noProof/>
        </w:rPr>
        <w:t>Свинското месо, яйцата и птичето месо и други животински продукти — 05 02 15</w:t>
      </w:r>
    </w:p>
    <w:p>
      <w:pPr>
        <w:pStyle w:val="Text1"/>
        <w:rPr>
          <w:rFonts w:ascii="Calibri" w:hAnsi="Calibri" w:cs="Calibri"/>
          <w:noProof/>
        </w:rPr>
      </w:pPr>
      <w:r>
        <w:rPr>
          <w:noProof/>
        </w:rPr>
        <w:t>По тази бюджетна статия разходите, декларирани от държавите членки, бяха по-ниски от предвидените в бюджета (-21,0 млн. евро). Основната причина за по-лошото изпълнение беше слабото усвояване (- 18,5 млн. евро) по извънредните мерки за подпомагане, свързани с огнищата на инфлуенца по птиците в една държава членка.</w:t>
      </w:r>
    </w:p>
    <w:p>
      <w:pPr>
        <w:pStyle w:val="Text1"/>
        <w:ind w:left="0"/>
        <w:rPr>
          <w:noProof/>
        </w:rPr>
      </w:pPr>
    </w:p>
    <w:p>
      <w:pPr>
        <w:pStyle w:val="Heading3"/>
        <w:tabs>
          <w:tab w:val="clear" w:pos="850"/>
        </w:tabs>
        <w:ind w:left="490" w:firstLine="360"/>
        <w:rPr>
          <w:noProof/>
        </w:rPr>
      </w:pPr>
      <w:r>
        <w:rPr>
          <w:noProof/>
        </w:rPr>
        <w:t xml:space="preserve">Схеми за училищата — 05 02 18 </w:t>
      </w:r>
    </w:p>
    <w:p>
      <w:pPr>
        <w:pStyle w:val="Text1"/>
        <w:rPr>
          <w:noProof/>
        </w:rPr>
      </w:pPr>
      <w:r>
        <w:rPr>
          <w:noProof/>
        </w:rPr>
        <w:t xml:space="preserve">Изпълнението беше с 52,9 млн. евро по-малко от предвиденото в бюджета. То отразява практическите последици от пандемията от COVID-19 върху прилагането на тази схема, по-специално за предлагането на млечни продукти и плодове и зеленчуци през учебната 2019/2020 година. </w:t>
      </w:r>
    </w:p>
    <w:p>
      <w:pPr>
        <w:spacing w:before="120" w:after="120" w:line="240" w:lineRule="auto"/>
        <w:ind w:left="850"/>
        <w:jc w:val="both"/>
        <w:rPr>
          <w:rFonts w:ascii="Times New Roman" w:eastAsia="Times New Roman" w:hAnsi="Times New Roman" w:cs="Times New Roman"/>
          <w:noProof/>
          <w:sz w:val="24"/>
          <w:szCs w:val="24"/>
        </w:rPr>
      </w:pPr>
    </w:p>
    <w:p>
      <w:pPr>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rPr>
      </w:pPr>
      <w:bookmarkStart w:id="21" w:name="_Toc61436889"/>
      <w:bookmarkStart w:id="22" w:name="_Toc244054022"/>
      <w:r>
        <w:rPr>
          <w:rFonts w:ascii="Times New Roman" w:hAnsi="Times New Roman"/>
          <w:b/>
          <w:bCs/>
          <w:iCs/>
          <w:noProof/>
          <w:sz w:val="24"/>
          <w:szCs w:val="28"/>
        </w:rPr>
        <w:t>Директни плащания</w:t>
      </w:r>
      <w:bookmarkEnd w:id="21"/>
      <w:r>
        <w:rPr>
          <w:rFonts w:ascii="Times New Roman" w:hAnsi="Times New Roman"/>
          <w:b/>
          <w:bCs/>
          <w:iCs/>
          <w:noProof/>
          <w:sz w:val="24"/>
          <w:szCs w:val="28"/>
        </w:rPr>
        <w:t xml:space="preserve"> </w:t>
      </w:r>
      <w:bookmarkEnd w:id="22"/>
    </w:p>
    <w:p>
      <w:pPr>
        <w:spacing w:before="120" w:after="120" w:line="240" w:lineRule="auto"/>
        <w:ind w:left="850"/>
        <w:jc w:val="both"/>
        <w:rPr>
          <w:rFonts w:ascii="Times New Roman" w:eastAsia="Times New Roman" w:hAnsi="Times New Roman" w:cs="Times New Roman"/>
          <w:noProof/>
          <w:sz w:val="24"/>
          <w:szCs w:val="24"/>
        </w:rPr>
      </w:pPr>
      <w:bookmarkStart w:id="23" w:name="_Toc244054023"/>
      <w:r>
        <w:rPr>
          <w:rFonts w:ascii="Times New Roman" w:hAnsi="Times New Roman"/>
          <w:noProof/>
          <w:sz w:val="24"/>
          <w:szCs w:val="24"/>
        </w:rPr>
        <w:t>Разходите за директни плащания възлизат на 40 933,8 млн. евро, което представлява 100,05 % от гласуваните бюджетни кредити (40 143 млн. евро) и действително наличните целеви приходи (769,2 млн. евро) по тази глава. Вследствие на това бюджетният недостиг по тази глава възлиза на 21,6 млн. евро.</w:t>
      </w:r>
    </w:p>
    <w:p>
      <w:pPr>
        <w:pStyle w:val="Heading3"/>
        <w:rPr>
          <w:noProof/>
        </w:rPr>
      </w:pPr>
      <w:r>
        <w:rPr>
          <w:noProof/>
        </w:rPr>
        <w:tab/>
      </w:r>
      <w:bookmarkStart w:id="24" w:name="_Toc25246914"/>
      <w:r>
        <w:rPr>
          <w:noProof/>
        </w:rPr>
        <w:t>Необвързани с производството директни плащания</w:t>
      </w:r>
      <w:bookmarkEnd w:id="24"/>
      <w:r>
        <w:rPr>
          <w:noProof/>
        </w:rPr>
        <w:t xml:space="preserve"> — 05 03 01</w:t>
      </w:r>
    </w:p>
    <w:p>
      <w:pPr>
        <w:pStyle w:val="Text1"/>
        <w:rPr>
          <w:noProof/>
        </w:rPr>
      </w:pPr>
      <w:r>
        <w:rPr>
          <w:noProof/>
        </w:rPr>
        <w:t>Като се вземат предвид наличните целеви приходи по тази бюджетна статия (769,2 млн. евро), изпълнението превишава заложените бюджетни кредити с 60,6 млн. евро. Като цяло изпълнението на схемите за директни плащания по тази бюджетна статия продължи да се подобрява в сравнение с предходните години, което отразява факта, че бюджетната 2020 година вече е петата година от изпълнението на реформата на ОСП от 2013 г.</w:t>
      </w:r>
    </w:p>
    <w:p>
      <w:pPr>
        <w:spacing w:before="120" w:after="120" w:line="240" w:lineRule="auto"/>
        <w:ind w:left="851"/>
        <w:jc w:val="both"/>
        <w:rPr>
          <w:rFonts w:ascii="Times New Roman" w:eastAsia="Times New Roman" w:hAnsi="Times New Roman" w:cs="Times New Roman"/>
          <w:bCs/>
          <w:i/>
          <w:noProof/>
          <w:sz w:val="24"/>
          <w:szCs w:val="26"/>
        </w:rPr>
      </w:pPr>
      <w:r>
        <w:rPr>
          <w:rFonts w:ascii="Times New Roman" w:hAnsi="Times New Roman"/>
          <w:bCs/>
          <w:i/>
          <w:noProof/>
          <w:sz w:val="24"/>
          <w:szCs w:val="26"/>
        </w:rPr>
        <w:t>Други директни плащания — 05 03 02</w:t>
      </w:r>
    </w:p>
    <w:p>
      <w:pPr>
        <w:spacing w:before="120" w:after="120" w:line="240" w:lineRule="auto"/>
        <w:ind w:left="851"/>
        <w:jc w:val="both"/>
        <w:rPr>
          <w:rFonts w:ascii="Times New Roman" w:eastAsia="Times New Roman" w:hAnsi="Times New Roman" w:cs="Times New Roman"/>
          <w:bCs/>
          <w:i/>
          <w:noProof/>
          <w:sz w:val="24"/>
          <w:szCs w:val="26"/>
        </w:rPr>
      </w:pPr>
      <w:r>
        <w:rPr>
          <w:rFonts w:ascii="Times New Roman" w:hAnsi="Times New Roman"/>
          <w:noProof/>
          <w:sz w:val="24"/>
          <w:szCs w:val="24"/>
        </w:rPr>
        <w:t>Окончателните разходи за „Други директни плащания“ са близки до заложената в бюджета сума</w:t>
      </w:r>
      <w:bookmarkStart w:id="25" w:name="_Toc244054027"/>
      <w:bookmarkEnd w:id="23"/>
      <w:r>
        <w:rPr>
          <w:rFonts w:ascii="Times New Roman" w:hAnsi="Times New Roman"/>
          <w:noProof/>
          <w:sz w:val="24"/>
          <w:szCs w:val="24"/>
        </w:rPr>
        <w:t xml:space="preserve"> (-39,0 млн. евро)</w:t>
      </w:r>
      <w:r>
        <w:rPr>
          <w:noProof/>
        </w:rPr>
        <w:t>.</w:t>
      </w:r>
      <w:r>
        <w:rPr>
          <w:rFonts w:ascii="Times New Roman" w:hAnsi="Times New Roman"/>
          <w:noProof/>
          <w:sz w:val="24"/>
          <w:szCs w:val="24"/>
        </w:rPr>
        <w:t xml:space="preserve"> Изпълнението беше по-добро в сравнение с 2019 г., по-специално поради очакваното намаляване на нуждите на схемата за дребни земеделски стопани. Непълното усвояване се дължи главно на схемата за доброволно обвързано с производството подпомагане.</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26" w:name="_Toc413145210"/>
      <w:bookmarkStart w:id="27" w:name="_Toc61436890"/>
      <w:r>
        <w:rPr>
          <w:rFonts w:ascii="Times New Roman" w:hAnsi="Times New Roman"/>
          <w:b/>
          <w:bCs/>
          <w:smallCaps/>
          <w:noProof/>
          <w:sz w:val="24"/>
          <w:szCs w:val="32"/>
        </w:rPr>
        <w:t>Изпълнение на целевите приходи по линия на ЕФГЗ</w:t>
      </w:r>
      <w:bookmarkEnd w:id="25"/>
      <w:bookmarkEnd w:id="26"/>
      <w:bookmarkEnd w:id="27"/>
    </w:p>
    <w:p>
      <w:pPr>
        <w:spacing w:after="0" w:line="240" w:lineRule="auto"/>
        <w:ind w:left="850"/>
        <w:jc w:val="both"/>
        <w:rPr>
          <w:rFonts w:ascii="Calibri" w:eastAsia="Times New Roman" w:hAnsi="Calibri" w:cs="Calibri"/>
          <w:noProof/>
          <w:color w:val="000000"/>
        </w:rPr>
      </w:pPr>
      <w:bookmarkStart w:id="28" w:name="_Toc244054028"/>
      <w:r>
        <w:rPr>
          <w:rFonts w:ascii="Times New Roman" w:hAnsi="Times New Roman"/>
          <w:noProof/>
          <w:sz w:val="24"/>
          <w:szCs w:val="24"/>
        </w:rPr>
        <w:t>От таблицата в приложението се вижда, че общите целеви приходи, налични в крайна сметка за 2020 г., възлизат на 919,2  млн. евро, като по-конкретно:</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приходи от корекции по силата на решения за счетоводно уравняване и за уравняване по съответствие в размер на 441,2 млн. евро, като до края на бюджетната година се очаква да постъпят незначителни суми. Събраните целеви приходи бяха с 150,8 млн. евро по-малко от прогнозираните към момента на приемане на бюджета, главно поради финансовото споразумение след решението на Съда на Европейския съюз по дело C-252/18P; </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приходи във връзка с нередности в размер на 127,9 млн. евро и </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остатъчни приходи от налога в сектора на млякото и млечните продукти — в размер на 1,9 млн. евро.</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На последно място, целевите приходи, пренесени от 2019 г. към 2020 г., бяха 348,2 млн. евро, което е близо с 4 млн. евро по-малко от разчета при приемането на бюджета за 2020 г. </w:t>
      </w:r>
    </w:p>
    <w:p>
      <w:pPr>
        <w:spacing w:before="120" w:after="120" w:line="240" w:lineRule="auto"/>
        <w:ind w:left="850"/>
        <w:jc w:val="both"/>
        <w:rPr>
          <w:noProof/>
        </w:rPr>
      </w:pPr>
      <w:r>
        <w:rPr>
          <w:rFonts w:ascii="Times New Roman" w:hAnsi="Times New Roman"/>
          <w:noProof/>
          <w:sz w:val="24"/>
          <w:szCs w:val="24"/>
        </w:rPr>
        <w:t xml:space="preserve">Евентуалният остатъкът от неизползваните през бюджетната 2020 година приходи ще бъде пренесен във финансовата 2021 г., за да бъде използван за финансиране на разходите по линия на ЕФГЗ през тази година. </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29" w:name="_Toc244054030"/>
      <w:bookmarkStart w:id="30" w:name="_Toc413145211"/>
      <w:bookmarkStart w:id="31" w:name="_Toc61436891"/>
      <w:bookmarkEnd w:id="28"/>
      <w:r>
        <w:rPr>
          <w:rFonts w:ascii="Times New Roman" w:hAnsi="Times New Roman"/>
          <w:b/>
          <w:bCs/>
          <w:smallCaps/>
          <w:noProof/>
          <w:sz w:val="24"/>
          <w:szCs w:val="32"/>
        </w:rPr>
        <w:t>Заключения</w:t>
      </w:r>
      <w:bookmarkEnd w:id="29"/>
      <w:bookmarkEnd w:id="30"/>
      <w:bookmarkEnd w:id="31"/>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 xml:space="preserve">Предварителните данни за изпълнението на бюджетните кредити по линия на ЕФГЗ за 2020 г. — за периода до 31 декември 2020 г., включително разчетните разходи по мерките за контрол при пряко управление от Комисията, показват преизпълнение с 926,5 млн. евро в сравнение с първоначално одобрените бюджетни кредити. Това преизпълнение беше покрито от наличните целеви приходи в размер на 919,2 млн. евро и от бюджетните кредити, гласувани с коригиращ бюджет № 9/2020.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Тъй като бюджетният недостиг беше очакван вследствие на декларациите и прогнозите на държавите членки за разходите през август, Комисията всъщност беше предложила увеличение от 48,7 млн. евро за ЕФГЗ, което беше прието с коригиращ бюджет № 9/2020. Следователно окончателното изпълнение на бюджета за 2020 г. ще зависи от получените целеви приходи и от финансовите корекции, които ще бъдат приложени към допълнителното плащане в полза на държавите членки.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Резервът при кризи (478 млн. евро) не бе мобилизиран през 2020 г.  Затова сумата от действително приложената през 2020 г. финансова дисциплина ще бъде на разположение за прехвърляне на бюджетните кредити към 2021 г. с цел възстановяване на разходите за директни плащания към бенефициерите.</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jc w:val="both"/>
        <w:rPr>
          <w:rFonts w:ascii="Times New Roman" w:hAnsi="Times New Roman"/>
        </w:rPr>
      </w:pPr>
      <w:r>
        <w:rPr>
          <w:rStyle w:val="FootnoteReference"/>
          <w:rFonts w:ascii="Times New Roman" w:hAnsi="Times New Roman"/>
        </w:rPr>
        <w:footnoteRef/>
      </w:r>
      <w:r>
        <w:tab/>
      </w:r>
      <w:r>
        <w:rPr>
          <w:rFonts w:ascii="Times New Roman" w:hAnsi="Times New Roman"/>
        </w:rPr>
        <w:t>В член 12, параграф 4, буква б) от Регламент (ЕС, Евратом) 2018/1046 на Европейския парламент и на Съвета за финансовите правила, приложими за общия бюджет на Съюза, се определя, че бюджетните кредити, съответстващи на вътрешни целеви приходи, може да бъдат пренасяни само за следващата финансова година</w:t>
      </w:r>
      <w:r>
        <w:t xml:space="preserve">. </w:t>
      </w:r>
      <w:r>
        <w:rPr>
          <w:rFonts w:ascii="Times New Roman" w:hAnsi="Times New Roman"/>
        </w:rPr>
        <w:t xml:space="preserve">Поради това и в интерес на доброто бюджетно управление тези целеви приходи по принцип се използват преди всички одобрени бюджетни кредити по съответната бюджетна статия.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71E7"/>
    <w:multiLevelType w:val="hybridMultilevel"/>
    <w:tmpl w:val="FE3E400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nsid w:val="51043F95"/>
    <w:multiLevelType w:val="hybridMultilevel"/>
    <w:tmpl w:val="EC6A612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
    <w:nsid w:val="53FE1147"/>
    <w:multiLevelType w:val="hybridMultilevel"/>
    <w:tmpl w:val="1778D2B2"/>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
    <w:nsid w:val="55EA2AD9"/>
    <w:multiLevelType w:val="hybridMultilevel"/>
    <w:tmpl w:val="FB28C2B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59E327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4A12FA4"/>
    <w:multiLevelType w:val="multilevel"/>
    <w:tmpl w:val="428ECF3E"/>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6C827C2A"/>
    <w:multiLevelType w:val="hybridMultilevel"/>
    <w:tmpl w:val="253E2B0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7">
    <w:nsid w:val="70B81573"/>
    <w:multiLevelType w:val="hybridMultilevel"/>
    <w:tmpl w:val="0A64E06A"/>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BC89070-1F67-4A8C-A849-E8B1A47E6560"/>
    <w:docVar w:name="LW_COVERPAGE_TYPE" w:val="1"/>
    <w:docVar w:name="LW_CROSSREFERENCE" w:val="&lt;UNUSED&gt;"/>
    <w:docVar w:name="LW_DocType" w:val="NORMAL"/>
    <w:docVar w:name="LW_EMISSION" w:val="27.1.2021"/>
    <w:docVar w:name="LW_EMISSION_ISODATE" w:val="2021-01-27"/>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79?\u1072? \u1088?\u1072?\u1079?\u1093?\u1086?\u1076?\u1080?\u1090?\u1077? \u1087?\u1086? \u1083?\u1080?\u1085?\u1080?\u1103? \u1085?\u1072? \u1045?\u1060?\u1043?\u1047?_x000d__x000d__x000d__x000d__x000d__x000d__x000b__x000d__x000d__x000d__x000d__x000d__x000d__x000b_\u1057?\u1080?\u1089?\u1090?\u1077?\u1084?\u1072? \u1079?\u1072? \u1088?\u1072?\u1085?\u1085?\u1086? \u1087?\u1088?\u1077?\u1076?\u1091?\u1087?\u1088?\u1077?\u1078?\u1076?\u1077?\u1085?\u1080?\u1077? \u8470? 11-12/2020_x000d__x000d__x000d__x000d__x000d__x000d__x000d__x000d_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nhideWhenUsed/>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szCs w:val="24"/>
    </w:rPr>
  </w:style>
  <w:style w:type="paragraph" w:styleId="TOC2">
    <w:name w:val="toc 2"/>
    <w:basedOn w:val="Normal"/>
    <w:next w:val="Normal"/>
    <w:autoRedefine/>
    <w:uiPriority w:val="39"/>
    <w:unhideWhenUsed/>
    <w:qFormat/>
    <w:pPr>
      <w:ind w:left="220"/>
    </w:pPr>
    <w:rPr>
      <w:rFonts w:ascii="Calibri" w:eastAsia="Calibri" w:hAnsi="Calibri" w:cs="Times New Roman"/>
    </w:rPr>
  </w:style>
  <w:style w:type="character" w:styleId="Hyperlink">
    <w:name w:val="Hyperlink"/>
    <w:uiPriority w:val="99"/>
    <w:unhideWhenUsed/>
    <w:rPr>
      <w:color w:val="0000FF"/>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cs="Times New Roman"/>
      <w:sz w:val="24"/>
      <w:szCs w:val="24"/>
    </w:rPr>
  </w:style>
  <w:style w:type="character" w:customStyle="1" w:styleId="Text1Char">
    <w:name w:val="Text 1 Char"/>
    <w:link w:val="Text1"/>
    <w:locked/>
    <w:rPr>
      <w:rFonts w:ascii="Times New Roman" w:eastAsia="Times New Roman" w:hAnsi="Times New Roman" w:cs="Times New Roman"/>
      <w:sz w:val="24"/>
      <w:szCs w:val="24"/>
    </w:rPr>
  </w:style>
  <w:style w:type="character" w:customStyle="1" w:styleId="tlid-translation">
    <w:name w:val="tlid-translation"/>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3">
    <w:name w:val="toc 3"/>
    <w:basedOn w:val="Normal"/>
    <w:next w:val="Normal"/>
    <w:autoRedefine/>
    <w:uiPriority w:val="39"/>
    <w:unhideWhenUsed/>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nhideWhenUsed/>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szCs w:val="24"/>
    </w:rPr>
  </w:style>
  <w:style w:type="paragraph" w:styleId="TOC2">
    <w:name w:val="toc 2"/>
    <w:basedOn w:val="Normal"/>
    <w:next w:val="Normal"/>
    <w:autoRedefine/>
    <w:uiPriority w:val="39"/>
    <w:unhideWhenUsed/>
    <w:qFormat/>
    <w:pPr>
      <w:ind w:left="220"/>
    </w:pPr>
    <w:rPr>
      <w:rFonts w:ascii="Calibri" w:eastAsia="Calibri" w:hAnsi="Calibri" w:cs="Times New Roman"/>
    </w:rPr>
  </w:style>
  <w:style w:type="character" w:styleId="Hyperlink">
    <w:name w:val="Hyperlink"/>
    <w:uiPriority w:val="99"/>
    <w:unhideWhenUsed/>
    <w:rPr>
      <w:color w:val="0000FF"/>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cs="Times New Roman"/>
      <w:sz w:val="24"/>
      <w:szCs w:val="24"/>
    </w:rPr>
  </w:style>
  <w:style w:type="character" w:customStyle="1" w:styleId="Text1Char">
    <w:name w:val="Text 1 Char"/>
    <w:link w:val="Text1"/>
    <w:locked/>
    <w:rPr>
      <w:rFonts w:ascii="Times New Roman" w:eastAsia="Times New Roman" w:hAnsi="Times New Roman" w:cs="Times New Roman"/>
      <w:sz w:val="24"/>
      <w:szCs w:val="24"/>
    </w:rPr>
  </w:style>
  <w:style w:type="character" w:customStyle="1" w:styleId="tlid-translation">
    <w:name w:val="tlid-translation"/>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3">
    <w:name w:val="toc 3"/>
    <w:basedOn w:val="Normal"/>
    <w:next w:val="Normal"/>
    <w:autoRedefine/>
    <w:uiPriority w:val="39"/>
    <w:unhideWhenUs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77790">
      <w:bodyDiv w:val="1"/>
      <w:marLeft w:val="0"/>
      <w:marRight w:val="0"/>
      <w:marTop w:val="0"/>
      <w:marBottom w:val="0"/>
      <w:divBdr>
        <w:top w:val="none" w:sz="0" w:space="0" w:color="auto"/>
        <w:left w:val="none" w:sz="0" w:space="0" w:color="auto"/>
        <w:bottom w:val="none" w:sz="0" w:space="0" w:color="auto"/>
        <w:right w:val="none" w:sz="0" w:space="0" w:color="auto"/>
      </w:divBdr>
    </w:div>
    <w:div w:id="540023475">
      <w:bodyDiv w:val="1"/>
      <w:marLeft w:val="0"/>
      <w:marRight w:val="0"/>
      <w:marTop w:val="0"/>
      <w:marBottom w:val="0"/>
      <w:divBdr>
        <w:top w:val="none" w:sz="0" w:space="0" w:color="auto"/>
        <w:left w:val="none" w:sz="0" w:space="0" w:color="auto"/>
        <w:bottom w:val="none" w:sz="0" w:space="0" w:color="auto"/>
        <w:right w:val="none" w:sz="0" w:space="0" w:color="auto"/>
      </w:divBdr>
    </w:div>
    <w:div w:id="627588847">
      <w:bodyDiv w:val="1"/>
      <w:marLeft w:val="0"/>
      <w:marRight w:val="0"/>
      <w:marTop w:val="0"/>
      <w:marBottom w:val="0"/>
      <w:divBdr>
        <w:top w:val="none" w:sz="0" w:space="0" w:color="auto"/>
        <w:left w:val="none" w:sz="0" w:space="0" w:color="auto"/>
        <w:bottom w:val="none" w:sz="0" w:space="0" w:color="auto"/>
        <w:right w:val="none" w:sz="0" w:space="0" w:color="auto"/>
      </w:divBdr>
    </w:div>
    <w:div w:id="934216713">
      <w:bodyDiv w:val="1"/>
      <w:marLeft w:val="0"/>
      <w:marRight w:val="0"/>
      <w:marTop w:val="0"/>
      <w:marBottom w:val="0"/>
      <w:divBdr>
        <w:top w:val="none" w:sz="0" w:space="0" w:color="auto"/>
        <w:left w:val="none" w:sz="0" w:space="0" w:color="auto"/>
        <w:bottom w:val="none" w:sz="0" w:space="0" w:color="auto"/>
        <w:right w:val="none" w:sz="0" w:space="0" w:color="auto"/>
      </w:divBdr>
    </w:div>
    <w:div w:id="1451901580">
      <w:bodyDiv w:val="1"/>
      <w:marLeft w:val="0"/>
      <w:marRight w:val="0"/>
      <w:marTop w:val="0"/>
      <w:marBottom w:val="0"/>
      <w:divBdr>
        <w:top w:val="none" w:sz="0" w:space="0" w:color="auto"/>
        <w:left w:val="none" w:sz="0" w:space="0" w:color="auto"/>
        <w:bottom w:val="none" w:sz="0" w:space="0" w:color="auto"/>
        <w:right w:val="none" w:sz="0" w:space="0" w:color="auto"/>
      </w:divBdr>
    </w:div>
    <w:div w:id="155126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1862</Words>
  <Characters>10093</Characters>
  <Application>Microsoft Office Word</Application>
  <DocSecurity>0</DocSecurity>
  <Lines>240</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2020-12-21T08:57:00Z</dcterms:created>
  <dcterms:modified xsi:type="dcterms:W3CDTF">2021-01-27T11:42:00Z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