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652" w:rsidRDefault="00BD4ED0" w:rsidP="00BD4ED0"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alt="B823AEA2-25CE-45D3-B51F-7CEC71823F2D" style="width:450.6pt;height:423pt">
            <v:imagedata r:id="rId8" o:title=""/>
          </v:shape>
        </w:pict>
      </w:r>
    </w:p>
    <w:p w:rsidR="00511652" w:rsidRDefault="00511652">
      <w:pPr>
        <w:rPr>
          <w:noProof/>
        </w:rPr>
        <w:sectPr w:rsidR="00511652" w:rsidSect="00BD4ED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511652" w:rsidRDefault="00BD4ED0">
      <w:pPr>
        <w:pStyle w:val="Annexetitre"/>
        <w:rPr>
          <w:rFonts w:eastAsia="Times New Roman"/>
          <w:i/>
          <w:noProof/>
          <w:szCs w:val="24"/>
        </w:rPr>
      </w:pPr>
      <w:bookmarkStart w:id="0" w:name="_GoBack"/>
      <w:bookmarkEnd w:id="0"/>
      <w:r>
        <w:rPr>
          <w:i/>
          <w:noProof/>
          <w:szCs w:val="24"/>
        </w:rPr>
        <w:lastRenderedPageBreak/>
        <w:t>ПРОЕКТ НА РЕШЕНИЕ</w:t>
      </w:r>
    </w:p>
    <w:p w:rsidR="00511652" w:rsidRDefault="00511652">
      <w:pPr>
        <w:rPr>
          <w:noProof/>
        </w:rPr>
      </w:pPr>
    </w:p>
    <w:p w:rsidR="00511652" w:rsidRDefault="00BD4ED0">
      <w:pPr>
        <w:spacing w:after="240"/>
        <w:rPr>
          <w:rFonts w:eastAsia="Times New Roman"/>
          <w:noProof/>
          <w:szCs w:val="24"/>
        </w:rPr>
      </w:pPr>
      <w:r>
        <w:rPr>
          <w:noProof/>
        </w:rPr>
        <w:t>СЪВМЕСТНИЯТ КОМИТЕТ</w:t>
      </w:r>
    </w:p>
    <w:p w:rsidR="00511652" w:rsidRDefault="00BD4ED0">
      <w:pPr>
        <w:spacing w:after="240"/>
        <w:rPr>
          <w:rFonts w:eastAsia="Times New Roman"/>
          <w:noProof/>
          <w:szCs w:val="24"/>
        </w:rPr>
      </w:pPr>
      <w:r>
        <w:rPr>
          <w:noProof/>
        </w:rPr>
        <w:t xml:space="preserve">Като взе предвид Протокола за Ирландия/Северна Ирландия към Споразумението за оттеглянето на Обединеното </w:t>
      </w:r>
      <w:r>
        <w:rPr>
          <w:noProof/>
        </w:rPr>
        <w:t>кралство Великобритания и Северна Ирландия от Европейския съюз и Европейската общност за атомна енергия, и по-специално член 5, параграф 2 от него,</w:t>
      </w:r>
    </w:p>
    <w:p w:rsidR="00511652" w:rsidRDefault="00BD4ED0">
      <w:pPr>
        <w:spacing w:after="240"/>
        <w:rPr>
          <w:rFonts w:eastAsia="Times New Roman"/>
          <w:noProof/>
          <w:szCs w:val="24"/>
        </w:rPr>
      </w:pPr>
      <w:r>
        <w:rPr>
          <w:noProof/>
        </w:rPr>
        <w:t>РЕШИ:</w:t>
      </w:r>
    </w:p>
    <w:p w:rsidR="00511652" w:rsidRDefault="00BD4ED0">
      <w:pPr>
        <w:pStyle w:val="Titrearticle"/>
        <w:rPr>
          <w:noProof/>
        </w:rPr>
      </w:pPr>
      <w:r>
        <w:rPr>
          <w:noProof/>
        </w:rPr>
        <w:t>Член 1</w:t>
      </w:r>
    </w:p>
    <w:p w:rsidR="00511652" w:rsidRDefault="00BD4ED0">
      <w:pPr>
        <w:keepNext/>
        <w:spacing w:after="360"/>
        <w:jc w:val="center"/>
        <w:rPr>
          <w:rFonts w:eastAsia="Times New Roman"/>
          <w:i/>
          <w:noProof/>
          <w:szCs w:val="24"/>
        </w:rPr>
      </w:pPr>
      <w:r>
        <w:rPr>
          <w:i/>
          <w:noProof/>
          <w:szCs w:val="24"/>
        </w:rPr>
        <w:t>Предмет</w:t>
      </w:r>
    </w:p>
    <w:p w:rsidR="00511652" w:rsidRDefault="00BD4ED0">
      <w:pPr>
        <w:spacing w:after="240"/>
        <w:rPr>
          <w:rFonts w:eastAsia="Times New Roman"/>
          <w:noProof/>
          <w:szCs w:val="24"/>
        </w:rPr>
      </w:pPr>
      <w:r>
        <w:rPr>
          <w:noProof/>
        </w:rPr>
        <w:t>С настоящото решение се определят правилата за прилагане на член 5, параграф 2 от Прото</w:t>
      </w:r>
      <w:r>
        <w:rPr>
          <w:noProof/>
        </w:rPr>
        <w:t>кола за Ирландия/Северна Ирландия (по-долу „Протокола“) по отношение на:</w:t>
      </w:r>
    </w:p>
    <w:p w:rsidR="00511652" w:rsidRDefault="00BD4ED0">
      <w:pPr>
        <w:pStyle w:val="Point0"/>
        <w:rPr>
          <w:noProof/>
        </w:rPr>
      </w:pPr>
      <w:r>
        <w:rPr>
          <w:noProof/>
        </w:rPr>
        <w:t>а)</w:t>
      </w:r>
      <w:r>
        <w:rPr>
          <w:noProof/>
        </w:rPr>
        <w:tab/>
        <w:t>условията, при които се счита, че стока, въведена в Северна Ирландия от държави извън Съюза, няма да бъде обект на търговска преработка в Северна Ирландия;</w:t>
      </w:r>
    </w:p>
    <w:p w:rsidR="00511652" w:rsidRDefault="00BD4ED0">
      <w:pPr>
        <w:pStyle w:val="Point0"/>
        <w:rPr>
          <w:rFonts w:eastAsia="Times New Roman"/>
          <w:noProof/>
          <w:color w:val="000000"/>
          <w:szCs w:val="24"/>
        </w:rPr>
      </w:pPr>
      <w:r>
        <w:rPr>
          <w:noProof/>
        </w:rPr>
        <w:t>б)</w:t>
      </w:r>
      <w:r>
        <w:rPr>
          <w:noProof/>
        </w:rPr>
        <w:tab/>
        <w:t>критериите, при които</w:t>
      </w:r>
      <w:r>
        <w:rPr>
          <w:noProof/>
        </w:rPr>
        <w:t xml:space="preserve"> се счита, че за стока, въведена в Северна Ирландия от държави извън Съюза, не съществува риск впоследствие да бъде изпратена в Съюза.</w:t>
      </w:r>
    </w:p>
    <w:p w:rsidR="00511652" w:rsidRDefault="00BD4ED0">
      <w:pPr>
        <w:pStyle w:val="Titrearticle"/>
        <w:rPr>
          <w:rFonts w:eastAsia="Times New Roman"/>
          <w:i w:val="0"/>
          <w:noProof/>
          <w:szCs w:val="24"/>
        </w:rPr>
      </w:pPr>
      <w:r>
        <w:rPr>
          <w:noProof/>
        </w:rPr>
        <w:t>Член 2</w:t>
      </w:r>
    </w:p>
    <w:p w:rsidR="00511652" w:rsidRDefault="00BD4ED0">
      <w:pPr>
        <w:keepNext/>
        <w:spacing w:after="360"/>
        <w:jc w:val="center"/>
        <w:rPr>
          <w:rFonts w:eastAsia="Times New Roman"/>
          <w:noProof/>
          <w:szCs w:val="24"/>
        </w:rPr>
      </w:pPr>
      <w:r>
        <w:rPr>
          <w:i/>
          <w:noProof/>
          <w:szCs w:val="24"/>
        </w:rPr>
        <w:t>Нетърговска преработка</w:t>
      </w:r>
    </w:p>
    <w:p w:rsidR="00511652" w:rsidRDefault="00BD4ED0">
      <w:pPr>
        <w:spacing w:after="240"/>
        <w:rPr>
          <w:rFonts w:eastAsia="Times New Roman"/>
          <w:noProof/>
          <w:szCs w:val="24"/>
        </w:rPr>
      </w:pPr>
      <w:r>
        <w:rPr>
          <w:noProof/>
        </w:rPr>
        <w:t xml:space="preserve">Дадена стока не се счита за обект на търговска преработка, когато:  </w:t>
      </w:r>
    </w:p>
    <w:p w:rsidR="00511652" w:rsidRDefault="00BD4ED0">
      <w:pPr>
        <w:pStyle w:val="Point0"/>
        <w:rPr>
          <w:rFonts w:eastAsia="Times New Roman"/>
          <w:noProof/>
          <w:szCs w:val="24"/>
        </w:rPr>
      </w:pPr>
      <w:r>
        <w:rPr>
          <w:noProof/>
        </w:rPr>
        <w:t>а)</w:t>
      </w:r>
      <w:r>
        <w:rPr>
          <w:noProof/>
        </w:rPr>
        <w:tab/>
      </w:r>
      <w:r>
        <w:rPr>
          <w:noProof/>
        </w:rPr>
        <w:t xml:space="preserve">лицето, което подава декларация за допускане за свободно обращение на тази стока или от чието име се подава такава декларация („вносителят“), е имало общ годишен оборот от по-малко от 500 000 GBP през последната пълна финансова година; или </w:t>
      </w:r>
    </w:p>
    <w:p w:rsidR="00511652" w:rsidRDefault="00BD4ED0">
      <w:pPr>
        <w:pStyle w:val="Point0"/>
        <w:rPr>
          <w:rFonts w:eastAsia="Times New Roman"/>
          <w:noProof/>
          <w:szCs w:val="24"/>
        </w:rPr>
      </w:pPr>
      <w:bookmarkStart w:id="1" w:name="_gjdgxs"/>
      <w:bookmarkEnd w:id="1"/>
      <w:r>
        <w:rPr>
          <w:noProof/>
        </w:rPr>
        <w:t>б)</w:t>
      </w:r>
      <w:r>
        <w:rPr>
          <w:noProof/>
        </w:rPr>
        <w:tab/>
        <w:t>преработката</w:t>
      </w:r>
      <w:r>
        <w:rPr>
          <w:noProof/>
        </w:rPr>
        <w:t xml:space="preserve"> се извършва в Северна Ирландия и има за единствена цел:</w:t>
      </w:r>
    </w:p>
    <w:p w:rsidR="00511652" w:rsidRDefault="00BD4ED0">
      <w:pPr>
        <w:pStyle w:val="Point1"/>
        <w:rPr>
          <w:noProof/>
        </w:rPr>
      </w:pPr>
      <w:r>
        <w:rPr>
          <w:noProof/>
        </w:rPr>
        <w:t>i)</w:t>
      </w:r>
      <w:r>
        <w:rPr>
          <w:noProof/>
        </w:rPr>
        <w:tab/>
        <w:t>продажбата на храни на краен потребител в Обединеното кралство;</w:t>
      </w:r>
    </w:p>
    <w:p w:rsidR="00511652" w:rsidRDefault="00BD4ED0">
      <w:pPr>
        <w:pStyle w:val="Point1"/>
        <w:rPr>
          <w:noProof/>
        </w:rPr>
      </w:pPr>
      <w:r>
        <w:rPr>
          <w:noProof/>
        </w:rPr>
        <w:t>ii)</w:t>
      </w:r>
      <w:r>
        <w:rPr>
          <w:noProof/>
        </w:rPr>
        <w:tab/>
        <w:t>строителство, при което преработените стоки съставляват постоянна част от конструкция, изградена и разположена в Северна Ирланди</w:t>
      </w:r>
      <w:r>
        <w:rPr>
          <w:noProof/>
        </w:rPr>
        <w:t>я от вносителя;</w:t>
      </w:r>
    </w:p>
    <w:p w:rsidR="00511652" w:rsidRDefault="00BD4ED0">
      <w:pPr>
        <w:pStyle w:val="Point1"/>
        <w:rPr>
          <w:noProof/>
        </w:rPr>
      </w:pPr>
      <w:r>
        <w:rPr>
          <w:noProof/>
        </w:rPr>
        <w:t>iii)</w:t>
      </w:r>
      <w:r>
        <w:rPr>
          <w:noProof/>
        </w:rPr>
        <w:tab/>
        <w:t>пряко предоставяне на получателя на здравни услуги или грижи от вносителя в Северна Ирландия;</w:t>
      </w:r>
    </w:p>
    <w:p w:rsidR="00511652" w:rsidRDefault="00BD4ED0">
      <w:pPr>
        <w:pStyle w:val="Point1"/>
        <w:rPr>
          <w:noProof/>
        </w:rPr>
      </w:pPr>
      <w:r>
        <w:rPr>
          <w:noProof/>
        </w:rPr>
        <w:t>iv)</w:t>
      </w:r>
      <w:r>
        <w:rPr>
          <w:noProof/>
        </w:rPr>
        <w:tab/>
        <w:t>дейности с нестопанска цел в Северна Ирландия, при които няма последваща продажба на преработената стока от вносителя; или</w:t>
      </w:r>
    </w:p>
    <w:p w:rsidR="00511652" w:rsidRDefault="00BD4ED0">
      <w:pPr>
        <w:pStyle w:val="Point1"/>
        <w:rPr>
          <w:noProof/>
        </w:rPr>
      </w:pPr>
      <w:r>
        <w:rPr>
          <w:noProof/>
        </w:rPr>
        <w:t>v)</w:t>
      </w:r>
      <w:r>
        <w:rPr>
          <w:noProof/>
        </w:rPr>
        <w:tab/>
        <w:t>крайната уп</w:t>
      </w:r>
      <w:r>
        <w:rPr>
          <w:noProof/>
        </w:rPr>
        <w:t>отреба на фуражи в помещения, разположени в Северна Ирландия, от вносителя.</w:t>
      </w:r>
    </w:p>
    <w:p w:rsidR="00511652" w:rsidRDefault="00BD4ED0">
      <w:pPr>
        <w:pStyle w:val="Titrearticle"/>
        <w:rPr>
          <w:rFonts w:eastAsia="Times New Roman"/>
          <w:i w:val="0"/>
          <w:noProof/>
          <w:szCs w:val="24"/>
        </w:rPr>
      </w:pPr>
      <w:r>
        <w:rPr>
          <w:noProof/>
        </w:rPr>
        <w:t>Член 3</w:t>
      </w:r>
    </w:p>
    <w:p w:rsidR="00511652" w:rsidRDefault="00BD4ED0">
      <w:pPr>
        <w:keepNext/>
        <w:spacing w:after="360"/>
        <w:jc w:val="center"/>
        <w:rPr>
          <w:rFonts w:eastAsia="Times New Roman"/>
          <w:i/>
          <w:noProof/>
          <w:szCs w:val="24"/>
        </w:rPr>
      </w:pPr>
      <w:r>
        <w:rPr>
          <w:i/>
          <w:noProof/>
          <w:szCs w:val="24"/>
        </w:rPr>
        <w:t>Критерии, при които се счита, че за дадена стока не съществува риск впоследствие да бъде изпратена в Съюза</w:t>
      </w:r>
    </w:p>
    <w:p w:rsidR="00511652" w:rsidRDefault="00BD4ED0">
      <w:pPr>
        <w:pStyle w:val="NumPar1"/>
        <w:numPr>
          <w:ilvl w:val="0"/>
          <w:numId w:val="9"/>
        </w:numPr>
        <w:rPr>
          <w:noProof/>
        </w:rPr>
      </w:pPr>
      <w:r>
        <w:rPr>
          <w:noProof/>
        </w:rPr>
        <w:t>За дадена стока се счита, че не съществува риск впоследствие да бъ</w:t>
      </w:r>
      <w:r>
        <w:rPr>
          <w:noProof/>
        </w:rPr>
        <w:t>де изпратена в Съюза, когато се счита, че тя не е обект на търговска преработка в съответствие с член 2, и когато:</w:t>
      </w:r>
    </w:p>
    <w:p w:rsidR="00511652" w:rsidRDefault="00511652">
      <w:pPr>
        <w:pBdr>
          <w:top w:val="nil"/>
          <w:left w:val="nil"/>
          <w:bottom w:val="nil"/>
          <w:right w:val="nil"/>
          <w:between w:val="nil"/>
        </w:pBdr>
        <w:spacing w:after="0"/>
        <w:ind w:left="357"/>
        <w:rPr>
          <w:rFonts w:eastAsia="Times New Roman"/>
          <w:noProof/>
          <w:color w:val="000000"/>
          <w:szCs w:val="24"/>
        </w:rPr>
      </w:pPr>
    </w:p>
    <w:p w:rsidR="00511652" w:rsidRDefault="00BD4ED0">
      <w:pPr>
        <w:pStyle w:val="Point1"/>
        <w:rPr>
          <w:noProof/>
        </w:rPr>
      </w:pPr>
      <w:r>
        <w:rPr>
          <w:noProof/>
        </w:rPr>
        <w:t>а)</w:t>
      </w:r>
      <w:r>
        <w:rPr>
          <w:noProof/>
        </w:rPr>
        <w:tab/>
        <w:t>в случай на стоки, въведени в Северна Ирландия от друга част на Обединеното кралство чрез директен транспорт,</w:t>
      </w:r>
    </w:p>
    <w:p w:rsidR="00511652" w:rsidRDefault="00BD4ED0">
      <w:pPr>
        <w:pStyle w:val="Point2"/>
        <w:rPr>
          <w:noProof/>
        </w:rPr>
      </w:pPr>
      <w:r>
        <w:rPr>
          <w:noProof/>
        </w:rPr>
        <w:t>i)</w:t>
      </w:r>
      <w:r>
        <w:rPr>
          <w:noProof/>
        </w:rPr>
        <w:tab/>
        <w:t>митото, дължимо съгласно</w:t>
      </w:r>
      <w:r>
        <w:rPr>
          <w:noProof/>
        </w:rPr>
        <w:t xml:space="preserve"> Общата митническа тарифа на Съюза, е равно на нула, или</w:t>
      </w:r>
    </w:p>
    <w:p w:rsidR="00511652" w:rsidRDefault="00BD4ED0">
      <w:pPr>
        <w:pStyle w:val="Point2"/>
        <w:rPr>
          <w:noProof/>
        </w:rPr>
      </w:pPr>
      <w:r>
        <w:rPr>
          <w:noProof/>
        </w:rPr>
        <w:t>ii)</w:t>
      </w:r>
      <w:r>
        <w:rPr>
          <w:noProof/>
        </w:rPr>
        <w:tab/>
        <w:t>вносителят е получил разрешение в съответствие с членове 5—7 от настоящото решение да въведе тази стока в Северна Ирландия за продажба или крайна употреба от крайни потребители, намиращи се в Обе</w:t>
      </w:r>
      <w:r>
        <w:rPr>
          <w:noProof/>
        </w:rPr>
        <w:t>диненото кралство, включително когато тази стока е била обект на нетърговска преработка в съответствие с член 2 преди продажбата или крайната ѝ употреба от крайните потребители;</w:t>
      </w:r>
    </w:p>
    <w:p w:rsidR="00511652" w:rsidRDefault="00511652">
      <w:pPr>
        <w:pBdr>
          <w:top w:val="nil"/>
          <w:left w:val="nil"/>
          <w:bottom w:val="nil"/>
          <w:right w:val="nil"/>
          <w:between w:val="nil"/>
        </w:pBdr>
        <w:spacing w:after="0"/>
        <w:ind w:left="1437"/>
        <w:rPr>
          <w:rFonts w:eastAsia="Times New Roman"/>
          <w:noProof/>
          <w:color w:val="000000"/>
          <w:szCs w:val="24"/>
        </w:rPr>
      </w:pPr>
    </w:p>
    <w:p w:rsidR="00511652" w:rsidRDefault="00BD4ED0">
      <w:pPr>
        <w:pStyle w:val="Point1"/>
        <w:rPr>
          <w:noProof/>
        </w:rPr>
      </w:pPr>
      <w:r>
        <w:rPr>
          <w:noProof/>
        </w:rPr>
        <w:t>б)</w:t>
      </w:r>
      <w:r>
        <w:rPr>
          <w:noProof/>
        </w:rPr>
        <w:tab/>
      </w:r>
      <w:r>
        <w:rPr>
          <w:noProof/>
        </w:rPr>
        <w:t xml:space="preserve">в случай на стоки, въведени в Северна Ирландия чрез директен транспорт от място, различно от Съюза или друга част на Обединеното кралство, </w:t>
      </w:r>
    </w:p>
    <w:p w:rsidR="00511652" w:rsidRDefault="00BD4ED0">
      <w:pPr>
        <w:pStyle w:val="Point2"/>
        <w:rPr>
          <w:noProof/>
        </w:rPr>
      </w:pPr>
      <w:r>
        <w:rPr>
          <w:noProof/>
        </w:rPr>
        <w:t>i)</w:t>
      </w:r>
      <w:r>
        <w:rPr>
          <w:noProof/>
        </w:rPr>
        <w:tab/>
        <w:t>митото, дължимо съгласно Общата митническа тарифа на Съюза е равно на или по-малко от митото, дължимо съгласно ми</w:t>
      </w:r>
      <w:r>
        <w:rPr>
          <w:noProof/>
        </w:rPr>
        <w:t>тническата тарифа на Обединеното кралство, или</w:t>
      </w:r>
    </w:p>
    <w:p w:rsidR="00511652" w:rsidRDefault="00BD4ED0">
      <w:pPr>
        <w:pStyle w:val="Point2"/>
        <w:rPr>
          <w:noProof/>
        </w:rPr>
      </w:pPr>
      <w:r>
        <w:rPr>
          <w:noProof/>
        </w:rPr>
        <w:t>ii)</w:t>
      </w:r>
      <w:r>
        <w:rPr>
          <w:noProof/>
        </w:rPr>
        <w:tab/>
        <w:t>вносителят е получил разрешение в съответствие с членове 5—7 от настоящото решение да въведе тази стока в Северна Ирландия за продажба или крайна употреба от крайни потребители, намиращи се в Северна Ирлан</w:t>
      </w:r>
      <w:r>
        <w:rPr>
          <w:noProof/>
        </w:rPr>
        <w:t>дия (включително когато стоката е била обект на нетърговска преработка в съответствие с член 2 преди продажбата или крайната ѝ употреба от крайните потребители), и разликата между митото, дължимо съгласно Общата митническа тарифа на Съюза, и митото, дължим</w:t>
      </w:r>
      <w:r>
        <w:rPr>
          <w:noProof/>
        </w:rPr>
        <w:t>о съгласно митническата тарифа на Обединеното кралство, е по-ниска от 3% от митническата стойност на стоката.</w:t>
      </w:r>
      <w:r>
        <w:rPr>
          <w:noProof/>
          <w:color w:val="000000"/>
        </w:rPr>
        <w:t xml:space="preserve"> </w:t>
      </w:r>
    </w:p>
    <w:p w:rsidR="00511652" w:rsidRDefault="00511652">
      <w:pPr>
        <w:pBdr>
          <w:top w:val="nil"/>
          <w:left w:val="nil"/>
          <w:bottom w:val="nil"/>
          <w:right w:val="nil"/>
          <w:between w:val="nil"/>
        </w:pBdr>
        <w:spacing w:after="0"/>
        <w:ind w:left="1417" w:hanging="708"/>
        <w:rPr>
          <w:rFonts w:eastAsia="Times New Roman"/>
          <w:noProof/>
          <w:szCs w:val="24"/>
        </w:rPr>
      </w:pPr>
    </w:p>
    <w:p w:rsidR="00511652" w:rsidRDefault="00BD4ED0">
      <w:pPr>
        <w:pStyle w:val="NumPar1"/>
        <w:numPr>
          <w:ilvl w:val="0"/>
          <w:numId w:val="9"/>
        </w:numPr>
        <w:rPr>
          <w:noProof/>
        </w:rPr>
      </w:pPr>
      <w:r>
        <w:rPr>
          <w:noProof/>
        </w:rPr>
        <w:t>Буква а), подточка ii) и буква б), подточка ii) от параграф 1 не се прилагат за стоки, които са обект на мерки за търговска защита, приети от Съ</w:t>
      </w:r>
      <w:r>
        <w:rPr>
          <w:noProof/>
        </w:rPr>
        <w:t xml:space="preserve">юза. </w:t>
      </w:r>
    </w:p>
    <w:p w:rsidR="00511652" w:rsidRDefault="00BD4ED0">
      <w:pPr>
        <w:pStyle w:val="Titrearticle"/>
        <w:keepLines/>
        <w:rPr>
          <w:rFonts w:eastAsia="Times New Roman"/>
          <w:i w:val="0"/>
          <w:noProof/>
          <w:szCs w:val="24"/>
        </w:rPr>
      </w:pPr>
      <w:bookmarkStart w:id="2" w:name="_30j0zll"/>
      <w:bookmarkEnd w:id="2"/>
      <w:r>
        <w:rPr>
          <w:noProof/>
        </w:rPr>
        <w:t>Член 4</w:t>
      </w:r>
    </w:p>
    <w:p w:rsidR="00511652" w:rsidRDefault="00BD4ED0">
      <w:pPr>
        <w:keepNext/>
        <w:keepLines/>
        <w:tabs>
          <w:tab w:val="left" w:pos="1074"/>
          <w:tab w:val="center" w:pos="4536"/>
        </w:tabs>
        <w:spacing w:after="360"/>
        <w:jc w:val="center"/>
        <w:rPr>
          <w:rFonts w:eastAsia="Times New Roman"/>
          <w:i/>
          <w:noProof/>
          <w:szCs w:val="24"/>
        </w:rPr>
      </w:pPr>
      <w:r>
        <w:rPr>
          <w:i/>
          <w:noProof/>
          <w:szCs w:val="24"/>
        </w:rPr>
        <w:t>Определяне на приложимите мита</w:t>
      </w:r>
    </w:p>
    <w:p w:rsidR="00511652" w:rsidRDefault="00BD4ED0">
      <w:pPr>
        <w:keepNext/>
        <w:keepLines/>
        <w:spacing w:after="240"/>
        <w:rPr>
          <w:rFonts w:eastAsia="Times New Roman"/>
          <w:noProof/>
          <w:szCs w:val="24"/>
        </w:rPr>
      </w:pPr>
      <w:bookmarkStart w:id="3" w:name="_1fob9te"/>
      <w:bookmarkEnd w:id="3"/>
      <w:r>
        <w:rPr>
          <w:noProof/>
        </w:rPr>
        <w:t>За целите на буква а), подточка i) и буква б) от член 3, параграф 1, се прилагат следните правила:</w:t>
      </w:r>
    </w:p>
    <w:p w:rsidR="00511652" w:rsidRDefault="00BD4ED0">
      <w:pPr>
        <w:pStyle w:val="Point0"/>
        <w:rPr>
          <w:noProof/>
        </w:rPr>
      </w:pPr>
      <w:r>
        <w:rPr>
          <w:noProof/>
        </w:rPr>
        <w:t>а)</w:t>
      </w:r>
      <w:r>
        <w:rPr>
          <w:noProof/>
        </w:rPr>
        <w:tab/>
        <w:t>митото, дължимо за дадена стока съгласно Общата митническа тарифа на Съюза, се определя в съответствие с прави</w:t>
      </w:r>
      <w:r>
        <w:rPr>
          <w:noProof/>
        </w:rPr>
        <w:t>лата, установени в митническото законодателство на Съюза;</w:t>
      </w:r>
    </w:p>
    <w:p w:rsidR="00511652" w:rsidRDefault="00BD4ED0">
      <w:pPr>
        <w:pStyle w:val="Point0"/>
        <w:rPr>
          <w:rFonts w:eastAsia="Times New Roman"/>
          <w:noProof/>
        </w:rPr>
      </w:pPr>
      <w:r>
        <w:rPr>
          <w:noProof/>
        </w:rPr>
        <w:t>б)</w:t>
      </w:r>
      <w:r>
        <w:rPr>
          <w:noProof/>
        </w:rPr>
        <w:tab/>
        <w:t>митото, дължимо за дадена стока съгласно митническата тарифа на Обединеното кралство, се определя в съответствие с правилата, установени в митническото законодателство на Обединеното кралство.</w:t>
      </w:r>
    </w:p>
    <w:p w:rsidR="00511652" w:rsidRDefault="00BD4ED0">
      <w:pPr>
        <w:pStyle w:val="Titrearticle"/>
        <w:keepLines/>
        <w:rPr>
          <w:rFonts w:eastAsia="Times New Roman"/>
          <w:i w:val="0"/>
          <w:noProof/>
          <w:szCs w:val="24"/>
        </w:rPr>
      </w:pPr>
      <w:r>
        <w:rPr>
          <w:noProof/>
        </w:rPr>
        <w:t>Чл</w:t>
      </w:r>
      <w:r>
        <w:rPr>
          <w:noProof/>
        </w:rPr>
        <w:t>ен 5</w:t>
      </w:r>
    </w:p>
    <w:p w:rsidR="00511652" w:rsidRDefault="00BD4ED0">
      <w:pPr>
        <w:keepNext/>
        <w:spacing w:after="360"/>
        <w:jc w:val="center"/>
        <w:rPr>
          <w:rFonts w:eastAsia="Times New Roman"/>
          <w:i/>
          <w:noProof/>
          <w:szCs w:val="24"/>
        </w:rPr>
      </w:pPr>
      <w:r>
        <w:rPr>
          <w:i/>
          <w:noProof/>
          <w:szCs w:val="24"/>
        </w:rPr>
        <w:t>Разрешение за целите на член 3</w:t>
      </w:r>
    </w:p>
    <w:p w:rsidR="00511652" w:rsidRDefault="00BD4ED0">
      <w:pPr>
        <w:pStyle w:val="NumPar1"/>
        <w:numPr>
          <w:ilvl w:val="0"/>
          <w:numId w:val="10"/>
        </w:numPr>
        <w:rPr>
          <w:noProof/>
        </w:rPr>
      </w:pPr>
      <w:r>
        <w:rPr>
          <w:noProof/>
        </w:rPr>
        <w:t>За целите на буква а), подточка ii) и буква б), подточка ii) от член 3, параграф 1 заявление за разрешение за въвеждане на стоки в Северна Ирландия чрез директен транспорт за продажба или крайна употреба от крайни потребители се подава до компетентния орга</w:t>
      </w:r>
      <w:r>
        <w:rPr>
          <w:noProof/>
        </w:rPr>
        <w:t xml:space="preserve">н на Обединеното кралство. </w:t>
      </w:r>
    </w:p>
    <w:p w:rsidR="00511652" w:rsidRDefault="00BD4ED0">
      <w:pPr>
        <w:pStyle w:val="NumPar1"/>
        <w:numPr>
          <w:ilvl w:val="0"/>
          <w:numId w:val="10"/>
        </w:numPr>
        <w:rPr>
          <w:rFonts w:eastAsia="Times New Roman"/>
          <w:noProof/>
          <w:color w:val="000000"/>
          <w:szCs w:val="24"/>
        </w:rPr>
      </w:pPr>
      <w:r>
        <w:rPr>
          <w:noProof/>
          <w:color w:val="000000"/>
          <w:szCs w:val="24"/>
        </w:rPr>
        <w:t>Заявлението за разрешение, посочено в параграф 1, съдържа информация за стопанската дейност на заявителя, за стоките, които обикновено се въвеждат в Северна Ирландия, както и описание на вида отчетност, системи и проверки, изпол</w:t>
      </w:r>
      <w:r>
        <w:rPr>
          <w:noProof/>
          <w:color w:val="000000"/>
          <w:szCs w:val="24"/>
        </w:rPr>
        <w:t>звани от заявителя, за да се гарантира, че стоките, обхванати от разрешението, са правилно декларирани за митнически цели и че могат да се представят доказателства в подкрепа на ангажимента по член 6, буква б). Търговецът съхранява доказателствата, като на</w:t>
      </w:r>
      <w:r>
        <w:rPr>
          <w:noProof/>
          <w:color w:val="000000"/>
          <w:szCs w:val="24"/>
        </w:rPr>
        <w:t xml:space="preserve">пример фактури, за последните </w:t>
      </w:r>
      <w:r>
        <w:rPr>
          <w:noProof/>
        </w:rPr>
        <w:t>пет години</w:t>
      </w:r>
      <w:r>
        <w:rPr>
          <w:noProof/>
          <w:color w:val="000000"/>
          <w:szCs w:val="24"/>
        </w:rPr>
        <w:t xml:space="preserve"> и ги предоставя на компетентните органи при поискване. Изискванията за данните в заявлението са описани подробно в приложението към настоящото решение.</w:t>
      </w:r>
    </w:p>
    <w:p w:rsidR="00511652" w:rsidRDefault="00BD4ED0">
      <w:pPr>
        <w:pStyle w:val="NumPar1"/>
        <w:numPr>
          <w:ilvl w:val="0"/>
          <w:numId w:val="10"/>
        </w:numPr>
        <w:rPr>
          <w:rFonts w:eastAsia="Times New Roman"/>
          <w:noProof/>
          <w:color w:val="000000"/>
          <w:szCs w:val="24"/>
        </w:rPr>
      </w:pPr>
      <w:r>
        <w:rPr>
          <w:noProof/>
          <w:color w:val="000000"/>
          <w:szCs w:val="24"/>
        </w:rPr>
        <w:t>В разрешението се посочва най-малко следното:</w:t>
      </w:r>
    </w:p>
    <w:p w:rsidR="00511652" w:rsidRDefault="00BD4ED0">
      <w:pPr>
        <w:pStyle w:val="Point1"/>
        <w:rPr>
          <w:noProof/>
        </w:rPr>
      </w:pPr>
      <w:r>
        <w:rPr>
          <w:noProof/>
        </w:rPr>
        <w:t>а)</w:t>
      </w:r>
      <w:r>
        <w:rPr>
          <w:noProof/>
        </w:rPr>
        <w:tab/>
        <w:t>името на лицет</w:t>
      </w:r>
      <w:r>
        <w:rPr>
          <w:noProof/>
        </w:rPr>
        <w:t>о, на което е издадено разрешението („титуляр на разрешението“);</w:t>
      </w:r>
    </w:p>
    <w:p w:rsidR="00511652" w:rsidRDefault="00BD4ED0">
      <w:pPr>
        <w:pStyle w:val="Point1"/>
        <w:rPr>
          <w:noProof/>
        </w:rPr>
      </w:pPr>
      <w:r>
        <w:rPr>
          <w:noProof/>
        </w:rPr>
        <w:t>б)</w:t>
      </w:r>
      <w:r>
        <w:rPr>
          <w:noProof/>
        </w:rPr>
        <w:tab/>
        <w:t xml:space="preserve">единен референтен номер на разрешението, определен от компетентния митнически орган („референтен номер на разрешението“); </w:t>
      </w:r>
    </w:p>
    <w:p w:rsidR="00511652" w:rsidRDefault="00BD4ED0">
      <w:pPr>
        <w:pStyle w:val="Point1"/>
        <w:rPr>
          <w:noProof/>
        </w:rPr>
      </w:pPr>
      <w:r>
        <w:rPr>
          <w:noProof/>
        </w:rPr>
        <w:t>в)</w:t>
      </w:r>
      <w:r>
        <w:rPr>
          <w:noProof/>
        </w:rPr>
        <w:tab/>
        <w:t>органът, издал разрешението;</w:t>
      </w:r>
    </w:p>
    <w:p w:rsidR="00511652" w:rsidRDefault="00BD4ED0">
      <w:pPr>
        <w:pStyle w:val="Point1"/>
        <w:rPr>
          <w:noProof/>
        </w:rPr>
      </w:pPr>
      <w:r>
        <w:rPr>
          <w:noProof/>
        </w:rPr>
        <w:t>г)</w:t>
      </w:r>
      <w:r>
        <w:rPr>
          <w:noProof/>
        </w:rPr>
        <w:tab/>
        <w:t>датата на влизане в сила на ра</w:t>
      </w:r>
      <w:r>
        <w:rPr>
          <w:noProof/>
        </w:rPr>
        <w:t>зрешението.</w:t>
      </w:r>
    </w:p>
    <w:p w:rsidR="00511652" w:rsidRDefault="00BD4ED0">
      <w:pPr>
        <w:pStyle w:val="NumPar1"/>
        <w:numPr>
          <w:ilvl w:val="0"/>
          <w:numId w:val="10"/>
        </w:numPr>
        <w:rPr>
          <w:rFonts w:eastAsia="Times New Roman"/>
          <w:noProof/>
          <w:color w:val="000000"/>
          <w:szCs w:val="24"/>
        </w:rPr>
      </w:pPr>
      <w:r>
        <w:rPr>
          <w:noProof/>
          <w:color w:val="000000"/>
          <w:szCs w:val="24"/>
        </w:rPr>
        <w:t xml:space="preserve">Разпоредбите на митническото законодателство на Съюза относно решенията, свързани с прилагането на митническото законодателство, се прилагат за заявленията и разрешенията, посочени в настоящия член, включително по отношение на мониторинга. </w:t>
      </w:r>
    </w:p>
    <w:p w:rsidR="00511652" w:rsidRDefault="00BD4ED0">
      <w:pPr>
        <w:pStyle w:val="NumPar1"/>
        <w:numPr>
          <w:ilvl w:val="0"/>
          <w:numId w:val="10"/>
        </w:numPr>
        <w:rPr>
          <w:rFonts w:eastAsia="Times New Roman"/>
          <w:noProof/>
          <w:color w:val="000000"/>
          <w:szCs w:val="24"/>
        </w:rPr>
      </w:pPr>
      <w:r>
        <w:rPr>
          <w:noProof/>
          <w:color w:val="000000"/>
          <w:szCs w:val="24"/>
        </w:rPr>
        <w:t>В с</w:t>
      </w:r>
      <w:r>
        <w:rPr>
          <w:noProof/>
          <w:color w:val="000000"/>
          <w:szCs w:val="24"/>
        </w:rPr>
        <w:t>лучаите, в които компетентният митнически орган на Обединеното кралство констатира умишлена злоупотреба с разрешение или нарушения на условията за издаване на разрешение, установени в настоящото решение, органът спира или отменя разрешението.</w:t>
      </w:r>
    </w:p>
    <w:p w:rsidR="00511652" w:rsidRDefault="00BD4ED0">
      <w:pPr>
        <w:pStyle w:val="Titrearticle"/>
        <w:keepLines/>
        <w:rPr>
          <w:rFonts w:eastAsia="Times New Roman"/>
          <w:i w:val="0"/>
          <w:noProof/>
          <w:szCs w:val="24"/>
        </w:rPr>
      </w:pPr>
      <w:r>
        <w:rPr>
          <w:noProof/>
        </w:rPr>
        <w:t>Член 6</w:t>
      </w:r>
    </w:p>
    <w:p w:rsidR="00511652" w:rsidRDefault="00BD4ED0">
      <w:pPr>
        <w:keepNext/>
        <w:spacing w:after="360"/>
        <w:jc w:val="center"/>
        <w:rPr>
          <w:rFonts w:eastAsia="Times New Roman"/>
          <w:i/>
          <w:noProof/>
          <w:szCs w:val="24"/>
        </w:rPr>
      </w:pPr>
      <w:r>
        <w:rPr>
          <w:i/>
          <w:noProof/>
          <w:szCs w:val="24"/>
        </w:rPr>
        <w:t>Общи у</w:t>
      </w:r>
      <w:r>
        <w:rPr>
          <w:i/>
          <w:noProof/>
          <w:szCs w:val="24"/>
        </w:rPr>
        <w:t>словия за издаване на разрешение</w:t>
      </w:r>
    </w:p>
    <w:p w:rsidR="00511652" w:rsidRDefault="00BD4ED0">
      <w:pPr>
        <w:spacing w:after="240"/>
        <w:rPr>
          <w:rFonts w:eastAsia="Times New Roman"/>
          <w:noProof/>
          <w:szCs w:val="24"/>
        </w:rPr>
      </w:pPr>
      <w:r>
        <w:rPr>
          <w:noProof/>
        </w:rPr>
        <w:t xml:space="preserve">За целите на буква а), подточка ii) и буква б), подточка ii) от член 3, параграф 1 разрешение може да се издава на заявители, които: </w:t>
      </w:r>
    </w:p>
    <w:p w:rsidR="00511652" w:rsidRDefault="00BD4ED0">
      <w:pPr>
        <w:pStyle w:val="Point0"/>
        <w:rPr>
          <w:noProof/>
        </w:rPr>
      </w:pPr>
      <w:r>
        <w:rPr>
          <w:noProof/>
        </w:rPr>
        <w:t>а)</w:t>
      </w:r>
      <w:r>
        <w:rPr>
          <w:noProof/>
        </w:rPr>
        <w:tab/>
        <w:t xml:space="preserve">отговарят на следните критерии за установяване: </w:t>
      </w:r>
    </w:p>
    <w:p w:rsidR="00511652" w:rsidRDefault="00BD4ED0">
      <w:pPr>
        <w:pStyle w:val="Point1"/>
        <w:rPr>
          <w:noProof/>
        </w:rPr>
      </w:pPr>
      <w:r>
        <w:rPr>
          <w:noProof/>
        </w:rPr>
        <w:t>i)</w:t>
      </w:r>
      <w:r>
        <w:rPr>
          <w:noProof/>
        </w:rPr>
        <w:tab/>
        <w:t>установени са в Северна Ирландия и</w:t>
      </w:r>
      <w:r>
        <w:rPr>
          <w:noProof/>
        </w:rPr>
        <w:t xml:space="preserve">ли имат определено място на стопанска дейност в Северна Ирландия, </w:t>
      </w:r>
    </w:p>
    <w:p w:rsidR="00511652" w:rsidRDefault="00BD4ED0">
      <w:pPr>
        <w:pStyle w:val="Tiret2"/>
        <w:numPr>
          <w:ilvl w:val="0"/>
          <w:numId w:val="13"/>
        </w:numPr>
        <w:rPr>
          <w:noProof/>
        </w:rPr>
      </w:pPr>
      <w:r>
        <w:rPr>
          <w:noProof/>
          <w:color w:val="000000"/>
          <w:szCs w:val="24"/>
        </w:rPr>
        <w:t xml:space="preserve">където има постоянно присъствие на човешки и технически ресурси; и </w:t>
      </w:r>
    </w:p>
    <w:p w:rsidR="00511652" w:rsidRDefault="00BD4ED0">
      <w:pPr>
        <w:pStyle w:val="Tiret2"/>
        <w:rPr>
          <w:noProof/>
        </w:rPr>
      </w:pPr>
      <w:r>
        <w:rPr>
          <w:noProof/>
        </w:rPr>
        <w:t xml:space="preserve">откъдето стоки се продават или предоставят за крайна употреба на крайни потребители; и </w:t>
      </w:r>
    </w:p>
    <w:p w:rsidR="00511652" w:rsidRDefault="00BD4ED0">
      <w:pPr>
        <w:pStyle w:val="Tiret2"/>
        <w:rPr>
          <w:noProof/>
        </w:rPr>
      </w:pPr>
      <w:r>
        <w:rPr>
          <w:noProof/>
          <w:color w:val="000000"/>
          <w:szCs w:val="24"/>
        </w:rPr>
        <w:t xml:space="preserve">където митническа, търговска и транспортна отчетност и информация са налични или достъпни в Северна Ирландия, и </w:t>
      </w:r>
    </w:p>
    <w:p w:rsidR="00511652" w:rsidRDefault="00BD4ED0">
      <w:pPr>
        <w:pStyle w:val="Point1"/>
        <w:rPr>
          <w:noProof/>
          <w:color w:val="000000"/>
        </w:rPr>
      </w:pPr>
      <w:r>
        <w:rPr>
          <w:noProof/>
        </w:rPr>
        <w:t>ii)</w:t>
      </w:r>
      <w:r>
        <w:rPr>
          <w:noProof/>
        </w:rPr>
        <w:tab/>
        <w:t>в случай че не са установени в Северна Ирландия, техните митнически операции се извършват в Обединеното кралство и те имат косвен митническ</w:t>
      </w:r>
      <w:r>
        <w:rPr>
          <w:noProof/>
        </w:rPr>
        <w:t xml:space="preserve">и представител в Северна Ирландия; </w:t>
      </w:r>
    </w:p>
    <w:p w:rsidR="00511652" w:rsidRDefault="00BD4ED0">
      <w:pPr>
        <w:pStyle w:val="Point0"/>
        <w:rPr>
          <w:noProof/>
        </w:rPr>
      </w:pPr>
      <w:r>
        <w:rPr>
          <w:noProof/>
        </w:rPr>
        <w:t>б)</w:t>
      </w:r>
      <w:r>
        <w:rPr>
          <w:noProof/>
        </w:rPr>
        <w:tab/>
        <w:t>поемат ангажимент да въвеждат стоки в Северна Ирландия единствено за продажба или крайна употреба от крайни потребители, включително когато тези стоки са били обект на нетърговска преработка в съответствие с член 2 пр</w:t>
      </w:r>
      <w:r>
        <w:rPr>
          <w:noProof/>
        </w:rPr>
        <w:t>еди продажбата или крайната им употреба от крайните потребители; и, в случай на продажба на крайни потребители в Северна Ирландия, поемат ангажимент продажбата да се извършва в един или повече реални търговски обекти, в които се извършват реални преки прод</w:t>
      </w:r>
      <w:r>
        <w:rPr>
          <w:noProof/>
        </w:rPr>
        <w:t>ажби на крайни потребители.</w:t>
      </w:r>
    </w:p>
    <w:p w:rsidR="00511652" w:rsidRDefault="00BD4ED0">
      <w:pPr>
        <w:pStyle w:val="Titrearticle"/>
        <w:keepLines/>
        <w:rPr>
          <w:rFonts w:eastAsia="Times New Roman"/>
          <w:noProof/>
          <w:szCs w:val="24"/>
        </w:rPr>
      </w:pPr>
      <w:r>
        <w:rPr>
          <w:noProof/>
        </w:rPr>
        <w:t>Член 7</w:t>
      </w:r>
    </w:p>
    <w:p w:rsidR="00511652" w:rsidRDefault="00BD4ED0">
      <w:pPr>
        <w:keepNext/>
        <w:spacing w:after="360"/>
        <w:jc w:val="center"/>
        <w:rPr>
          <w:rFonts w:eastAsia="Times New Roman"/>
          <w:i/>
          <w:noProof/>
          <w:szCs w:val="24"/>
        </w:rPr>
      </w:pPr>
      <w:r>
        <w:rPr>
          <w:i/>
          <w:noProof/>
          <w:szCs w:val="24"/>
        </w:rPr>
        <w:t xml:space="preserve">Специални условия за издаване на разрешение </w:t>
      </w:r>
    </w:p>
    <w:p w:rsidR="00511652" w:rsidRDefault="00BD4ED0">
      <w:pPr>
        <w:pStyle w:val="NumPar1"/>
        <w:numPr>
          <w:ilvl w:val="0"/>
          <w:numId w:val="11"/>
        </w:numPr>
        <w:rPr>
          <w:noProof/>
        </w:rPr>
      </w:pPr>
      <w:r>
        <w:rPr>
          <w:noProof/>
        </w:rPr>
        <w:t xml:space="preserve">За целите на буква а), подточка ii) и буква б), подточка ii) от член 3, параграф 1 разрешение за въвеждане на стоки в Северна Ирландия се издава само на заявители, изпълняващи </w:t>
      </w:r>
      <w:r>
        <w:rPr>
          <w:noProof/>
        </w:rPr>
        <w:t xml:space="preserve">условията, посочени в член 6 и следните условия: </w:t>
      </w:r>
    </w:p>
    <w:p w:rsidR="00511652" w:rsidRDefault="00BD4ED0">
      <w:pPr>
        <w:pStyle w:val="Point1"/>
        <w:rPr>
          <w:noProof/>
        </w:rPr>
      </w:pPr>
      <w:r>
        <w:rPr>
          <w:noProof/>
        </w:rPr>
        <w:t>а)</w:t>
      </w:r>
      <w:r>
        <w:rPr>
          <w:noProof/>
        </w:rPr>
        <w:tab/>
        <w:t>заявителят декларира, че ще декларира за допускане за свободно обращение стоки, въведени в Северна Ирландия в съответствие с член 3, параграф 1, буква а), подточка ii) или член 3, параграф 1, буква б), п</w:t>
      </w:r>
      <w:r>
        <w:rPr>
          <w:noProof/>
        </w:rPr>
        <w:t xml:space="preserve">одточка ii); </w:t>
      </w:r>
    </w:p>
    <w:p w:rsidR="00511652" w:rsidRDefault="00BD4ED0">
      <w:pPr>
        <w:pStyle w:val="Point1"/>
        <w:rPr>
          <w:rFonts w:eastAsia="Times New Roman"/>
          <w:noProof/>
        </w:rPr>
      </w:pPr>
      <w:r>
        <w:rPr>
          <w:noProof/>
        </w:rPr>
        <w:t>б)</w:t>
      </w:r>
      <w:r>
        <w:rPr>
          <w:noProof/>
        </w:rPr>
        <w:tab/>
        <w:t>заявителят трябва да не е извършвал тежко нарушение или повторни нарушения на митническото законодателство и правилата за данъчно облагане и трябва да не е извършвал тежки престъпления, свързани с неговата икономическа дейност;</w:t>
      </w:r>
    </w:p>
    <w:p w:rsidR="00511652" w:rsidRDefault="00BD4ED0">
      <w:pPr>
        <w:pStyle w:val="Point1"/>
        <w:rPr>
          <w:rFonts w:eastAsia="Times New Roman"/>
          <w:noProof/>
        </w:rPr>
      </w:pPr>
      <w:r>
        <w:rPr>
          <w:noProof/>
        </w:rPr>
        <w:t>в)</w:t>
      </w:r>
      <w:r>
        <w:rPr>
          <w:noProof/>
        </w:rPr>
        <w:tab/>
        <w:t xml:space="preserve">по </w:t>
      </w:r>
      <w:r>
        <w:rPr>
          <w:noProof/>
        </w:rPr>
        <w:t>отношение на стоките, за които трябва да бъде декларирано, че не съществува риск, заявителят доказва, че упражнява високо равнище на контрол върху своите операции и стокови потоци чрез система за управление на търговската и, когато е целесъобразно, транспо</w:t>
      </w:r>
      <w:r>
        <w:rPr>
          <w:noProof/>
        </w:rPr>
        <w:t>ртната отчетност, която позволява подходящ контрол и предоставяне на доказателства в подкрепа на ангажимента по член 6, буква б).</w:t>
      </w:r>
    </w:p>
    <w:p w:rsidR="00511652" w:rsidRDefault="00BD4ED0">
      <w:pPr>
        <w:pStyle w:val="NumPar1"/>
        <w:numPr>
          <w:ilvl w:val="0"/>
          <w:numId w:val="11"/>
        </w:numPr>
        <w:rPr>
          <w:rFonts w:eastAsia="Times New Roman"/>
          <w:noProof/>
          <w:color w:val="000000"/>
          <w:szCs w:val="24"/>
        </w:rPr>
      </w:pPr>
      <w:r>
        <w:rPr>
          <w:noProof/>
        </w:rPr>
        <w:t>Разрешения се издават само ако митническият орган счита, че ще бъде в състояние да извършва проверки без несъразмерни админист</w:t>
      </w:r>
      <w:r>
        <w:rPr>
          <w:noProof/>
        </w:rPr>
        <w:t>ративни усилия, включително проверки на доказателствата, че стоките са били продадени или са обект на крайна употреба от крайни потребители.</w:t>
      </w:r>
    </w:p>
    <w:p w:rsidR="00511652" w:rsidRDefault="00BD4ED0">
      <w:pPr>
        <w:pStyle w:val="NumPar1"/>
        <w:numPr>
          <w:ilvl w:val="0"/>
          <w:numId w:val="11"/>
        </w:numPr>
        <w:rPr>
          <w:i/>
          <w:noProof/>
        </w:rPr>
      </w:pPr>
      <w:r>
        <w:rPr>
          <w:noProof/>
        </w:rPr>
        <w:t xml:space="preserve">По време на периода, приключващ два месеца след влизането в сила на настоящото решение, може да се издава временно </w:t>
      </w:r>
      <w:r>
        <w:rPr>
          <w:noProof/>
        </w:rPr>
        <w:t>разрешение, ако заявителят е подал пълно заявление, отговаря на изискванията в параграф 1, буква б) и декларира, че отговаря на останалите условия за издаване на разрешение. Срокът на временното разрешение е ограничен до четири месеца, след което търговецъ</w:t>
      </w:r>
      <w:r>
        <w:rPr>
          <w:noProof/>
        </w:rPr>
        <w:t>т трябва да получи постоянно разрешение, за да продължи дейността си.</w:t>
      </w:r>
    </w:p>
    <w:p w:rsidR="00511652" w:rsidRDefault="00BD4ED0">
      <w:pPr>
        <w:pStyle w:val="Titrearticle"/>
        <w:keepLines/>
        <w:rPr>
          <w:rFonts w:eastAsia="Times New Roman"/>
          <w:i w:val="0"/>
          <w:noProof/>
          <w:szCs w:val="24"/>
        </w:rPr>
      </w:pPr>
      <w:r>
        <w:rPr>
          <w:noProof/>
        </w:rPr>
        <w:t>Член 8</w:t>
      </w:r>
    </w:p>
    <w:p w:rsidR="00511652" w:rsidRDefault="00BD4ED0">
      <w:pPr>
        <w:keepNext/>
        <w:spacing w:after="360"/>
        <w:jc w:val="center"/>
        <w:rPr>
          <w:rFonts w:eastAsia="Times New Roman"/>
          <w:i/>
          <w:noProof/>
          <w:szCs w:val="24"/>
        </w:rPr>
      </w:pPr>
      <w:r>
        <w:rPr>
          <w:i/>
          <w:noProof/>
          <w:szCs w:val="24"/>
        </w:rPr>
        <w:t>Обмен на информация относно прилагането на член 5, параграфи 1 и 2 от Протокола</w:t>
      </w:r>
    </w:p>
    <w:p w:rsidR="00511652" w:rsidRDefault="00BD4ED0">
      <w:pPr>
        <w:pStyle w:val="NumPar1"/>
        <w:numPr>
          <w:ilvl w:val="0"/>
          <w:numId w:val="12"/>
        </w:numPr>
        <w:rPr>
          <w:noProof/>
        </w:rPr>
      </w:pPr>
      <w:r>
        <w:rPr>
          <w:noProof/>
        </w:rPr>
        <w:t>Без да се засягат задълженията му съгласно член 5, параграф 4 от Протокола във връзка с Регламент (</w:t>
      </w:r>
      <w:r>
        <w:rPr>
          <w:noProof/>
        </w:rPr>
        <w:t>ЕО) № 638/2004 на Европейския парламент и на Съвета</w:t>
      </w:r>
      <w:r>
        <w:rPr>
          <w:noProof/>
          <w:vertAlign w:val="superscript"/>
        </w:rPr>
        <w:t>(</w:t>
      </w:r>
      <w:r>
        <w:rPr>
          <w:rStyle w:val="FootnoteReference"/>
          <w:noProof/>
        </w:rPr>
        <w:footnoteReference w:id="1"/>
      </w:r>
      <w:r>
        <w:rPr>
          <w:noProof/>
          <w:vertAlign w:val="superscript"/>
        </w:rPr>
        <w:t>)</w:t>
      </w:r>
      <w:r>
        <w:rPr>
          <w:noProof/>
        </w:rPr>
        <w:t xml:space="preserve"> и Регламент (ЕО) № 471/2009 на Европейския парламент и на Съвета</w:t>
      </w:r>
      <w:r>
        <w:rPr>
          <w:noProof/>
          <w:vertAlign w:val="superscript"/>
        </w:rPr>
        <w:t>(</w:t>
      </w:r>
      <w:r>
        <w:rPr>
          <w:rStyle w:val="FootnoteReference"/>
          <w:noProof/>
        </w:rPr>
        <w:footnoteReference w:id="2"/>
      </w:r>
      <w:r>
        <w:rPr>
          <w:noProof/>
          <w:vertAlign w:val="superscript"/>
        </w:rPr>
        <w:t>)</w:t>
      </w:r>
      <w:r>
        <w:rPr>
          <w:noProof/>
        </w:rPr>
        <w:t xml:space="preserve">, Обединеното кралство предоставя на Съюза ежемесечно информация относно прилагането на член 5, параграфи 1 и 2 от Протокола, както и </w:t>
      </w:r>
      <w:r>
        <w:rPr>
          <w:noProof/>
        </w:rPr>
        <w:t xml:space="preserve">на настоящото решение. Тази информация включва обемите и стойностите в обобщен вид и за всяка пратка, както и транспортните средства, отнасящи се до: </w:t>
      </w:r>
    </w:p>
    <w:p w:rsidR="00511652" w:rsidRDefault="00BD4ED0">
      <w:pPr>
        <w:pStyle w:val="Point1"/>
        <w:rPr>
          <w:noProof/>
        </w:rPr>
      </w:pPr>
      <w:r>
        <w:rPr>
          <w:noProof/>
        </w:rPr>
        <w:t>а)</w:t>
      </w:r>
      <w:r>
        <w:rPr>
          <w:noProof/>
        </w:rPr>
        <w:tab/>
        <w:t>стоки, въведени в Северна Ирландия, за които няма дължими мита в съответствие с член 5, параграф 1, пъ</w:t>
      </w:r>
      <w:r>
        <w:rPr>
          <w:noProof/>
        </w:rPr>
        <w:t xml:space="preserve">рва алинея от Протокола; </w:t>
      </w:r>
    </w:p>
    <w:p w:rsidR="00511652" w:rsidRDefault="00BD4ED0">
      <w:pPr>
        <w:pStyle w:val="Point1"/>
        <w:rPr>
          <w:rFonts w:eastAsia="Times New Roman"/>
          <w:noProof/>
          <w:szCs w:val="24"/>
        </w:rPr>
      </w:pPr>
      <w:r>
        <w:rPr>
          <w:noProof/>
        </w:rPr>
        <w:t>б)</w:t>
      </w:r>
      <w:r>
        <w:rPr>
          <w:noProof/>
        </w:rPr>
        <w:tab/>
        <w:t xml:space="preserve">стоки, въведени в Северна Ирландия, за които дължимите мита са митата, приложими в Обединеното кралство в съответствие с член 5, параграф 1, втора алинея от Протокола; и </w:t>
      </w:r>
    </w:p>
    <w:p w:rsidR="00511652" w:rsidRDefault="00BD4ED0">
      <w:pPr>
        <w:pStyle w:val="Point1"/>
        <w:rPr>
          <w:rFonts w:eastAsia="Times New Roman"/>
          <w:noProof/>
          <w:szCs w:val="24"/>
        </w:rPr>
      </w:pPr>
      <w:r>
        <w:rPr>
          <w:noProof/>
        </w:rPr>
        <w:t>в)</w:t>
      </w:r>
      <w:r>
        <w:rPr>
          <w:noProof/>
        </w:rPr>
        <w:tab/>
        <w:t>стоки, въведени в Северна Ирландия, за които дължимит</w:t>
      </w:r>
      <w:r>
        <w:rPr>
          <w:noProof/>
        </w:rPr>
        <w:t>е мита са в съответствие с Общата митническа тарифа на Съюза.</w:t>
      </w:r>
    </w:p>
    <w:p w:rsidR="00511652" w:rsidRDefault="00BD4ED0">
      <w:pPr>
        <w:pStyle w:val="NumPar1"/>
        <w:numPr>
          <w:ilvl w:val="0"/>
          <w:numId w:val="12"/>
        </w:numPr>
        <w:rPr>
          <w:rFonts w:eastAsia="Times New Roman"/>
          <w:noProof/>
          <w:szCs w:val="24"/>
        </w:rPr>
      </w:pPr>
      <w:r>
        <w:rPr>
          <w:noProof/>
        </w:rPr>
        <w:t>Обединеното кралство предоставя информацията, посочена в параграф 1, на 15-ия работен ден от месеца, следващ месеца, за който се предоставя информацията.</w:t>
      </w:r>
    </w:p>
    <w:p w:rsidR="00511652" w:rsidRDefault="00BD4ED0">
      <w:pPr>
        <w:pStyle w:val="NumPar1"/>
        <w:numPr>
          <w:ilvl w:val="0"/>
          <w:numId w:val="12"/>
        </w:numPr>
        <w:rPr>
          <w:rFonts w:eastAsia="Times New Roman"/>
          <w:noProof/>
          <w:szCs w:val="24"/>
        </w:rPr>
      </w:pPr>
      <w:r>
        <w:rPr>
          <w:noProof/>
        </w:rPr>
        <w:t xml:space="preserve">Информацията се предоставя с помощта на </w:t>
      </w:r>
      <w:r>
        <w:rPr>
          <w:noProof/>
        </w:rPr>
        <w:t xml:space="preserve">средства за електронна обработка на данни. </w:t>
      </w:r>
    </w:p>
    <w:p w:rsidR="00511652" w:rsidRDefault="00BD4ED0">
      <w:pPr>
        <w:pStyle w:val="NumPar1"/>
        <w:numPr>
          <w:ilvl w:val="0"/>
          <w:numId w:val="12"/>
        </w:numPr>
        <w:rPr>
          <w:rFonts w:eastAsia="Times New Roman"/>
          <w:noProof/>
          <w:szCs w:val="24"/>
        </w:rPr>
      </w:pPr>
      <w:r>
        <w:rPr>
          <w:noProof/>
        </w:rPr>
        <w:t>По искане на представителите на Съюза, посочени в {insert reference to JC decision on Union presence}, и поне два пъти годишно компетентните органи на Обединеното кралство предоставят информация в обобщен вид и з</w:t>
      </w:r>
      <w:r>
        <w:rPr>
          <w:noProof/>
        </w:rPr>
        <w:t>а всеки формуляр за разрешение на тези представители относно разрешенията, издадени съгласно членове 5—7 включително броя на приетите, отхвърлените и отменените разрешения.</w:t>
      </w:r>
    </w:p>
    <w:p w:rsidR="00511652" w:rsidRDefault="00BD4ED0">
      <w:pPr>
        <w:pStyle w:val="NumPar1"/>
        <w:numPr>
          <w:ilvl w:val="0"/>
          <w:numId w:val="12"/>
        </w:numPr>
        <w:rPr>
          <w:rFonts w:eastAsia="Times New Roman"/>
          <w:noProof/>
          <w:szCs w:val="24"/>
        </w:rPr>
      </w:pPr>
      <w:r>
        <w:rPr>
          <w:noProof/>
        </w:rPr>
        <w:t>Редовното предаване на информацията, посочена по-горе, започва възможно най-скоро и</w:t>
      </w:r>
      <w:r>
        <w:rPr>
          <w:noProof/>
        </w:rPr>
        <w:t xml:space="preserve"> не по-късно от 15 април 2021 г. Първото предаване на информация обхваща информацията за периода от 1 януари 2021 г. до края на месеца преди предаването. </w:t>
      </w:r>
    </w:p>
    <w:p w:rsidR="00511652" w:rsidRDefault="00BD4ED0">
      <w:pPr>
        <w:pStyle w:val="Titrearticle"/>
        <w:keepLines/>
        <w:rPr>
          <w:rFonts w:eastAsia="Times New Roman"/>
          <w:i w:val="0"/>
          <w:noProof/>
          <w:szCs w:val="24"/>
        </w:rPr>
      </w:pPr>
      <w:r>
        <w:rPr>
          <w:noProof/>
        </w:rPr>
        <w:t>Член 9</w:t>
      </w:r>
    </w:p>
    <w:p w:rsidR="00511652" w:rsidRDefault="00BD4ED0">
      <w:pPr>
        <w:keepNext/>
        <w:spacing w:after="360"/>
        <w:jc w:val="center"/>
        <w:rPr>
          <w:rFonts w:eastAsia="Times New Roman"/>
          <w:i/>
          <w:noProof/>
          <w:szCs w:val="24"/>
        </w:rPr>
      </w:pPr>
      <w:r>
        <w:rPr>
          <w:i/>
          <w:noProof/>
          <w:szCs w:val="24"/>
        </w:rPr>
        <w:t xml:space="preserve">Преразглеждане и прекратяване </w:t>
      </w:r>
    </w:p>
    <w:p w:rsidR="00511652" w:rsidRDefault="00BD4ED0">
      <w:pPr>
        <w:spacing w:after="240"/>
        <w:rPr>
          <w:rFonts w:eastAsia="Times New Roman"/>
          <w:noProof/>
          <w:szCs w:val="24"/>
        </w:rPr>
      </w:pPr>
      <w:r>
        <w:rPr>
          <w:noProof/>
        </w:rPr>
        <w:t>Ако някоя от страните счита, че е налице значително отклоняване на търговията или измама, или други незаконни дейности, тази страна информира другата страна в Съвместния комитет до 1 август 2023 г. и страните полагат всички усилия за намиране на взаимно пр</w:t>
      </w:r>
      <w:r>
        <w:rPr>
          <w:noProof/>
        </w:rPr>
        <w:t xml:space="preserve">иемливо решение на въпроса. Ако страните не постигнат взаимно удовлетворяващо решение, член </w:t>
      </w:r>
      <w:r>
        <w:rPr>
          <w:noProof/>
          <w:color w:val="000000"/>
          <w:szCs w:val="24"/>
        </w:rPr>
        <w:t>3, параграф 1, буква а), подточка ii), член 3, параграф 1, буква б), подточка ii) и членове 5—8 от настоящото решение престават да се прилагат от</w:t>
      </w:r>
      <w:r>
        <w:rPr>
          <w:noProof/>
        </w:rPr>
        <w:t xml:space="preserve"> 1 август 2024 г., </w:t>
      </w:r>
      <w:r>
        <w:rPr>
          <w:noProof/>
        </w:rPr>
        <w:t xml:space="preserve">освен ако Съвместният комитет не реши преди 1 април 2024 г. да продължи прилагането им.  </w:t>
      </w:r>
    </w:p>
    <w:p w:rsidR="00511652" w:rsidRDefault="00BD4ED0">
      <w:pPr>
        <w:spacing w:after="240"/>
        <w:rPr>
          <w:rFonts w:eastAsia="Times New Roman"/>
          <w:noProof/>
          <w:szCs w:val="24"/>
        </w:rPr>
      </w:pPr>
      <w:r>
        <w:rPr>
          <w:noProof/>
        </w:rPr>
        <w:t xml:space="preserve">В случай че член </w:t>
      </w:r>
      <w:r>
        <w:rPr>
          <w:noProof/>
          <w:color w:val="000000"/>
          <w:szCs w:val="24"/>
        </w:rPr>
        <w:t>3, параграф 1, буква а), подточка ii), член 3, параграф 1, буква б), подточка ii) и членове 5—8 от настоящото решение престанат да се прилагат в съот</w:t>
      </w:r>
      <w:r>
        <w:rPr>
          <w:noProof/>
          <w:color w:val="000000"/>
          <w:szCs w:val="24"/>
        </w:rPr>
        <w:t xml:space="preserve">ветствие с първата алинея, </w:t>
      </w:r>
      <w:r>
        <w:rPr>
          <w:noProof/>
        </w:rPr>
        <w:t xml:space="preserve">Съвместният комитет изменя настоящото решение до 1 август 2024 г., за да приеме подходяща алтернативна разпоредба, приложима от 1 август 2024 г., като отчита специфичните обстоятелства в Северна Ирландия и напълно зачита мястото </w:t>
      </w:r>
      <w:r>
        <w:rPr>
          <w:noProof/>
        </w:rPr>
        <w:t xml:space="preserve">на Северна Ирландия в митническата територия на Обединеното кралство. </w:t>
      </w:r>
    </w:p>
    <w:p w:rsidR="00511652" w:rsidRDefault="00BD4ED0">
      <w:pPr>
        <w:pStyle w:val="Titrearticle"/>
        <w:keepLines/>
        <w:rPr>
          <w:rFonts w:eastAsia="Times New Roman"/>
          <w:i w:val="0"/>
          <w:noProof/>
          <w:szCs w:val="24"/>
        </w:rPr>
      </w:pPr>
      <w:r>
        <w:rPr>
          <w:noProof/>
        </w:rPr>
        <w:t>Член 10</w:t>
      </w:r>
    </w:p>
    <w:p w:rsidR="00511652" w:rsidRDefault="00BD4ED0">
      <w:pPr>
        <w:keepNext/>
        <w:spacing w:after="360"/>
        <w:jc w:val="center"/>
        <w:rPr>
          <w:rFonts w:eastAsia="Times New Roman"/>
          <w:i/>
          <w:noProof/>
          <w:szCs w:val="24"/>
        </w:rPr>
      </w:pPr>
      <w:r>
        <w:rPr>
          <w:i/>
          <w:noProof/>
          <w:szCs w:val="24"/>
        </w:rPr>
        <w:t>Влизане в сила</w:t>
      </w:r>
    </w:p>
    <w:p w:rsidR="00511652" w:rsidRDefault="00BD4ED0">
      <w:pPr>
        <w:spacing w:after="240"/>
        <w:rPr>
          <w:rFonts w:eastAsia="Times New Roman"/>
          <w:noProof/>
          <w:szCs w:val="24"/>
        </w:rPr>
      </w:pPr>
      <w:r>
        <w:rPr>
          <w:noProof/>
        </w:rPr>
        <w:t>Настоящото решение влиза в сила на 1 януари 2021 г.</w:t>
      </w:r>
    </w:p>
    <w:p w:rsidR="00511652" w:rsidRDefault="00511652">
      <w:pPr>
        <w:rPr>
          <w:rFonts w:eastAsia="Times New Roman"/>
          <w:noProof/>
          <w:szCs w:val="24"/>
        </w:rPr>
      </w:pPr>
    </w:p>
    <w:p w:rsidR="00511652" w:rsidRDefault="00BD4ED0">
      <w:pPr>
        <w:rPr>
          <w:rFonts w:eastAsia="Times New Roman"/>
          <w:noProof/>
          <w:szCs w:val="24"/>
        </w:rPr>
      </w:pPr>
      <w:r>
        <w:rPr>
          <w:noProof/>
        </w:rPr>
        <w:t>Съставено в ...,</w:t>
      </w:r>
    </w:p>
    <w:p w:rsidR="00511652" w:rsidRDefault="00BD4ED0">
      <w:pPr>
        <w:keepNext/>
        <w:keepLines/>
        <w:spacing w:before="60" w:after="60"/>
        <w:jc w:val="center"/>
        <w:rPr>
          <w:rFonts w:eastAsia="Times New Roman"/>
          <w:noProof/>
          <w:szCs w:val="24"/>
        </w:rPr>
      </w:pPr>
      <w:r>
        <w:rPr>
          <w:i/>
          <w:noProof/>
          <w:szCs w:val="24"/>
        </w:rPr>
        <w:t>За Съвместния комитет</w:t>
      </w:r>
      <w:r>
        <w:rPr>
          <w:noProof/>
        </w:rPr>
        <w:t xml:space="preserve"> </w:t>
      </w:r>
    </w:p>
    <w:p w:rsidR="00511652" w:rsidRDefault="00BD4ED0">
      <w:pPr>
        <w:spacing w:before="60" w:after="60"/>
        <w:jc w:val="center"/>
        <w:rPr>
          <w:noProof/>
        </w:rPr>
      </w:pPr>
      <w:r>
        <w:rPr>
          <w:i/>
          <w:noProof/>
          <w:szCs w:val="24"/>
        </w:rPr>
        <w:t>Съпредседатели</w:t>
      </w:r>
      <w:r>
        <w:rPr>
          <w:noProof/>
        </w:rPr>
        <w:br w:type="page"/>
      </w:r>
    </w:p>
    <w:p w:rsidR="00511652" w:rsidRDefault="00511652">
      <w:pPr>
        <w:spacing w:before="60" w:after="60"/>
        <w:jc w:val="center"/>
        <w:rPr>
          <w:rFonts w:eastAsia="Times New Roman"/>
          <w:noProof/>
          <w:szCs w:val="24"/>
        </w:rPr>
      </w:pPr>
    </w:p>
    <w:p w:rsidR="00511652" w:rsidRDefault="00BD4ED0">
      <w:pPr>
        <w:spacing w:after="240"/>
        <w:jc w:val="center"/>
        <w:rPr>
          <w:rFonts w:eastAsia="Times New Roman"/>
          <w:b/>
          <w:noProof/>
          <w:szCs w:val="24"/>
        </w:rPr>
      </w:pPr>
      <w:r>
        <w:rPr>
          <w:b/>
          <w:noProof/>
          <w:szCs w:val="24"/>
        </w:rPr>
        <w:t>Приложение</w:t>
      </w:r>
    </w:p>
    <w:p w:rsidR="00511652" w:rsidRDefault="00BD4ED0">
      <w:pPr>
        <w:spacing w:after="240"/>
        <w:jc w:val="center"/>
        <w:rPr>
          <w:rFonts w:eastAsia="Times New Roman"/>
          <w:b/>
          <w:noProof/>
          <w:szCs w:val="24"/>
        </w:rPr>
      </w:pPr>
      <w:r>
        <w:rPr>
          <w:b/>
          <w:noProof/>
          <w:szCs w:val="24"/>
        </w:rPr>
        <w:t xml:space="preserve">Заявление за разрешение за въвеждане на стоки в Северна Ирландия за крайни потребители </w:t>
      </w:r>
    </w:p>
    <w:p w:rsidR="00511652" w:rsidRDefault="00BD4ED0">
      <w:pPr>
        <w:spacing w:after="240"/>
        <w:jc w:val="center"/>
        <w:rPr>
          <w:rFonts w:eastAsia="Times New Roman"/>
          <w:noProof/>
          <w:szCs w:val="24"/>
        </w:rPr>
      </w:pPr>
      <w:r>
        <w:rPr>
          <w:noProof/>
        </w:rPr>
        <w:t>(посочено в член 5 от решението)</w:t>
      </w:r>
    </w:p>
    <w:p w:rsidR="00511652" w:rsidRDefault="00BD4ED0">
      <w:pPr>
        <w:rPr>
          <w:rFonts w:eastAsia="Times New Roman"/>
          <w:b/>
          <w:noProof/>
          <w:szCs w:val="24"/>
          <w:u w:val="single"/>
        </w:rPr>
      </w:pPr>
      <w:r>
        <w:rPr>
          <w:b/>
          <w:noProof/>
          <w:szCs w:val="24"/>
          <w:u w:val="single"/>
        </w:rPr>
        <w:t>Информация за заявлението</w:t>
      </w:r>
    </w:p>
    <w:p w:rsidR="00511652" w:rsidRDefault="00BD4ED0">
      <w:pPr>
        <w:spacing w:before="0" w:after="0"/>
        <w:ind w:left="720"/>
        <w:rPr>
          <w:noProof/>
        </w:rPr>
      </w:pPr>
      <w:r>
        <w:rPr>
          <w:noProof/>
        </w:rPr>
        <w:t xml:space="preserve"> </w:t>
      </w:r>
    </w:p>
    <w:p w:rsidR="00511652" w:rsidRDefault="00BD4ED0">
      <w:pPr>
        <w:spacing w:after="0" w:line="360" w:lineRule="auto"/>
        <w:rPr>
          <w:rFonts w:eastAsia="Times New Roman"/>
          <w:b/>
          <w:noProof/>
          <w:szCs w:val="24"/>
        </w:rPr>
      </w:pPr>
      <w:r>
        <w:rPr>
          <w:b/>
          <w:noProof/>
          <w:szCs w:val="24"/>
        </w:rPr>
        <w:t>1. Придружаващи документи</w:t>
      </w:r>
    </w:p>
    <w:p w:rsidR="00511652" w:rsidRDefault="00BD4ED0">
      <w:pPr>
        <w:spacing w:after="0" w:line="360" w:lineRule="auto"/>
        <w:rPr>
          <w:rFonts w:eastAsia="Times New Roman"/>
          <w:noProof/>
          <w:szCs w:val="24"/>
        </w:rPr>
      </w:pPr>
      <w:r>
        <w:rPr>
          <w:noProof/>
        </w:rPr>
        <w:t>Задължителни придружаващи документи и информация, които трябва да бъдат предостав</w:t>
      </w:r>
      <w:r>
        <w:rPr>
          <w:noProof/>
        </w:rPr>
        <w:t>ени от всички заявители:</w:t>
      </w:r>
    </w:p>
    <w:p w:rsidR="00511652" w:rsidRDefault="00BD4ED0">
      <w:pPr>
        <w:spacing w:after="0" w:line="360" w:lineRule="auto"/>
        <w:rPr>
          <w:rFonts w:eastAsia="Times New Roman"/>
          <w:noProof/>
          <w:szCs w:val="24"/>
        </w:rPr>
      </w:pPr>
      <w:r>
        <w:rPr>
          <w:noProof/>
        </w:rPr>
        <w:t>Документ за установяване/доказателство за постоянно установена стопанска дейност</w:t>
      </w:r>
    </w:p>
    <w:p w:rsidR="00511652" w:rsidRDefault="00511652">
      <w:pPr>
        <w:spacing w:before="0" w:after="0"/>
        <w:rPr>
          <w:rFonts w:eastAsia="Times New Roman"/>
          <w:noProof/>
          <w:szCs w:val="24"/>
        </w:rPr>
      </w:pPr>
    </w:p>
    <w:p w:rsidR="00511652" w:rsidRDefault="00BD4ED0">
      <w:pPr>
        <w:spacing w:after="0" w:line="360" w:lineRule="auto"/>
        <w:rPr>
          <w:rFonts w:eastAsia="Times New Roman"/>
          <w:b/>
          <w:noProof/>
          <w:szCs w:val="24"/>
        </w:rPr>
      </w:pPr>
      <w:r>
        <w:rPr>
          <w:b/>
          <w:noProof/>
          <w:szCs w:val="24"/>
        </w:rPr>
        <w:t>2. Други придружаващи документи и информация, която трябва да бъде предоставена от заявителя:</w:t>
      </w:r>
    </w:p>
    <w:p w:rsidR="00511652" w:rsidRDefault="00BD4ED0">
      <w:pPr>
        <w:spacing w:after="0" w:line="360" w:lineRule="auto"/>
        <w:rPr>
          <w:rFonts w:eastAsia="Times New Roman"/>
          <w:noProof/>
          <w:spacing w:val="-4"/>
          <w:szCs w:val="24"/>
        </w:rPr>
      </w:pPr>
      <w:r>
        <w:rPr>
          <w:noProof/>
          <w:spacing w:val="-4"/>
        </w:rPr>
        <w:t>Всички други придружаващи документи или информация, кои</w:t>
      </w:r>
      <w:r>
        <w:rPr>
          <w:noProof/>
          <w:spacing w:val="-4"/>
        </w:rPr>
        <w:t xml:space="preserve">то са от значение, за да се провери дали заявителят изпълнява условията, посочени в членове 6 и 7 от решението.  </w:t>
      </w:r>
    </w:p>
    <w:p w:rsidR="00511652" w:rsidRDefault="00BD4ED0">
      <w:pPr>
        <w:spacing w:after="0" w:line="360" w:lineRule="auto"/>
        <w:rPr>
          <w:rFonts w:eastAsia="Times New Roman"/>
          <w:noProof/>
          <w:szCs w:val="24"/>
        </w:rPr>
      </w:pPr>
      <w:r>
        <w:rPr>
          <w:noProof/>
        </w:rPr>
        <w:t>Представете информация за вида и, ако е приложимо, идентификационния номер и/или датата на издаване на придружаващите документи, приложени към</w:t>
      </w:r>
      <w:r>
        <w:rPr>
          <w:noProof/>
        </w:rPr>
        <w:t xml:space="preserve"> заявлението. Посочете също общия брой на приложените документи.</w:t>
      </w:r>
    </w:p>
    <w:p w:rsidR="00511652" w:rsidRDefault="00BD4ED0">
      <w:pPr>
        <w:spacing w:after="0" w:line="360" w:lineRule="auto"/>
        <w:rPr>
          <w:rFonts w:eastAsia="Times New Roman"/>
          <w:b/>
          <w:noProof/>
          <w:szCs w:val="24"/>
        </w:rPr>
      </w:pPr>
      <w:r>
        <w:rPr>
          <w:b/>
          <w:noProof/>
        </w:rPr>
        <w:t>3</w:t>
      </w:r>
      <w:r>
        <w:rPr>
          <w:b/>
          <w:noProof/>
          <w:szCs w:val="24"/>
        </w:rPr>
        <w:t>. Дата и подпис на заявителя</w:t>
      </w:r>
    </w:p>
    <w:p w:rsidR="00511652" w:rsidRDefault="00BD4ED0">
      <w:pPr>
        <w:rPr>
          <w:rFonts w:eastAsia="Times New Roman"/>
          <w:noProof/>
          <w:szCs w:val="24"/>
        </w:rPr>
      </w:pPr>
      <w:r>
        <w:rPr>
          <w:noProof/>
        </w:rPr>
        <w:t>Автентичността на заявленията, подадени с помощта на средства за електронна обработка на данни, се удостоверява от лицето, което подава заявлението.</w:t>
      </w:r>
    </w:p>
    <w:p w:rsidR="00511652" w:rsidRDefault="00BD4ED0">
      <w:pPr>
        <w:rPr>
          <w:rFonts w:eastAsia="Times New Roman"/>
          <w:noProof/>
          <w:szCs w:val="24"/>
        </w:rPr>
      </w:pPr>
      <w:r>
        <w:rPr>
          <w:noProof/>
        </w:rPr>
        <w:t>Дата, на коя</w:t>
      </w:r>
      <w:r>
        <w:rPr>
          <w:noProof/>
        </w:rPr>
        <w:t>то заявителят е подписал или удостоверил по друг начин автентичността на заявлението.</w:t>
      </w:r>
    </w:p>
    <w:p w:rsidR="00511652" w:rsidRDefault="00BD4ED0">
      <w:pPr>
        <w:rPr>
          <w:rFonts w:eastAsia="Times New Roman"/>
          <w:b/>
          <w:noProof/>
          <w:szCs w:val="24"/>
          <w:u w:val="single"/>
        </w:rPr>
      </w:pPr>
      <w:r>
        <w:rPr>
          <w:b/>
          <w:noProof/>
          <w:szCs w:val="24"/>
          <w:u w:val="single"/>
        </w:rPr>
        <w:t>Данни на заявителя</w:t>
      </w:r>
    </w:p>
    <w:p w:rsidR="00511652" w:rsidRDefault="00BD4ED0">
      <w:pPr>
        <w:spacing w:after="0" w:line="360" w:lineRule="auto"/>
        <w:rPr>
          <w:rFonts w:eastAsia="Times New Roman"/>
          <w:b/>
          <w:noProof/>
          <w:szCs w:val="24"/>
        </w:rPr>
      </w:pPr>
      <w:r>
        <w:rPr>
          <w:b/>
          <w:noProof/>
          <w:szCs w:val="24"/>
        </w:rPr>
        <w:t>4. Заявител</w:t>
      </w:r>
    </w:p>
    <w:p w:rsidR="00511652" w:rsidRDefault="00BD4ED0">
      <w:pPr>
        <w:spacing w:after="0" w:line="360" w:lineRule="auto"/>
        <w:rPr>
          <w:rFonts w:eastAsia="Times New Roman"/>
          <w:noProof/>
          <w:szCs w:val="24"/>
        </w:rPr>
      </w:pPr>
      <w:r>
        <w:rPr>
          <w:noProof/>
        </w:rPr>
        <w:t>Заявителят е лицето, което подава заявление до митническите органи за издаване на решение.</w:t>
      </w:r>
    </w:p>
    <w:p w:rsidR="00511652" w:rsidRDefault="00BD4ED0">
      <w:pPr>
        <w:spacing w:after="0" w:line="360" w:lineRule="auto"/>
        <w:rPr>
          <w:rFonts w:eastAsia="Times New Roman"/>
          <w:noProof/>
          <w:szCs w:val="24"/>
        </w:rPr>
      </w:pPr>
      <w:r>
        <w:rPr>
          <w:noProof/>
        </w:rPr>
        <w:t>Въведете името и адреса на съответното лице.</w:t>
      </w:r>
    </w:p>
    <w:p w:rsidR="00511652" w:rsidRDefault="00BD4ED0">
      <w:pPr>
        <w:spacing w:after="0" w:line="360" w:lineRule="auto"/>
        <w:rPr>
          <w:rFonts w:eastAsia="Times New Roman"/>
          <w:b/>
          <w:noProof/>
          <w:szCs w:val="24"/>
        </w:rPr>
      </w:pPr>
      <w:r>
        <w:rPr>
          <w:b/>
          <w:noProof/>
          <w:szCs w:val="24"/>
        </w:rPr>
        <w:t xml:space="preserve">5. </w:t>
      </w:r>
      <w:r>
        <w:rPr>
          <w:b/>
          <w:noProof/>
          <w:szCs w:val="24"/>
        </w:rPr>
        <w:t>Идентификационен номер на заявителя</w:t>
      </w:r>
    </w:p>
    <w:p w:rsidR="00511652" w:rsidRDefault="00BD4ED0">
      <w:pPr>
        <w:spacing w:after="0" w:line="360" w:lineRule="auto"/>
        <w:rPr>
          <w:rFonts w:eastAsia="Times New Roman"/>
          <w:noProof/>
          <w:szCs w:val="24"/>
        </w:rPr>
      </w:pPr>
      <w:r>
        <w:rPr>
          <w:noProof/>
        </w:rPr>
        <w:t>Заявителят е лицето, което подава заявление до митническите органи за издаване на решение.</w:t>
      </w:r>
    </w:p>
    <w:p w:rsidR="00511652" w:rsidRDefault="00BD4ED0">
      <w:pPr>
        <w:spacing w:after="0" w:line="360" w:lineRule="auto"/>
        <w:rPr>
          <w:rFonts w:eastAsia="Times New Roman"/>
          <w:noProof/>
          <w:szCs w:val="24"/>
        </w:rPr>
      </w:pPr>
      <w:r>
        <w:rPr>
          <w:noProof/>
        </w:rPr>
        <w:t>Въведете регистрационния и идентификационен номер на икономическите оператори (EORI номер) на съответното лице, както е предвиден</w:t>
      </w:r>
      <w:r>
        <w:rPr>
          <w:noProof/>
        </w:rPr>
        <w:t xml:space="preserve">о в член 1, параграф 18 от Делегиран регламент (ЕС) № 2015/2446 на Комисията </w:t>
      </w:r>
      <w:r>
        <w:rPr>
          <w:noProof/>
          <w:szCs w:val="24"/>
          <w:vertAlign w:val="superscript"/>
        </w:rPr>
        <w:t>(</w:t>
      </w:r>
      <w:r>
        <w:rPr>
          <w:rStyle w:val="FootnoteReference"/>
          <w:noProof/>
        </w:rPr>
        <w:footnoteReference w:id="3"/>
      </w:r>
      <w:r>
        <w:rPr>
          <w:noProof/>
          <w:szCs w:val="24"/>
          <w:vertAlign w:val="superscript"/>
        </w:rPr>
        <w:t>)</w:t>
      </w:r>
      <w:r>
        <w:rPr>
          <w:noProof/>
        </w:rPr>
        <w:t xml:space="preserve">. </w:t>
      </w:r>
    </w:p>
    <w:p w:rsidR="00511652" w:rsidRDefault="00BD4ED0">
      <w:pPr>
        <w:spacing w:after="0" w:line="360" w:lineRule="auto"/>
        <w:rPr>
          <w:rFonts w:eastAsia="Times New Roman"/>
          <w:b/>
          <w:noProof/>
          <w:szCs w:val="24"/>
        </w:rPr>
      </w:pPr>
      <w:r>
        <w:rPr>
          <w:b/>
          <w:noProof/>
          <w:szCs w:val="24"/>
        </w:rPr>
        <w:t>6. Правен статут на заявителя</w:t>
      </w:r>
    </w:p>
    <w:p w:rsidR="00511652" w:rsidRDefault="00BD4ED0">
      <w:pPr>
        <w:spacing w:after="0" w:line="360" w:lineRule="auto"/>
        <w:rPr>
          <w:rFonts w:eastAsia="Times New Roman"/>
          <w:noProof/>
          <w:szCs w:val="24"/>
        </w:rPr>
      </w:pPr>
      <w:r>
        <w:rPr>
          <w:noProof/>
        </w:rPr>
        <w:t>Правният статут, посочен в документа за установяване.</w:t>
      </w:r>
    </w:p>
    <w:p w:rsidR="00511652" w:rsidRDefault="00BD4ED0">
      <w:pPr>
        <w:spacing w:after="0" w:line="360" w:lineRule="auto"/>
        <w:rPr>
          <w:rFonts w:eastAsia="Times New Roman"/>
          <w:b/>
          <w:noProof/>
          <w:szCs w:val="24"/>
        </w:rPr>
      </w:pPr>
      <w:r>
        <w:rPr>
          <w:b/>
          <w:noProof/>
          <w:szCs w:val="24"/>
        </w:rPr>
        <w:t>7. Идентификационни номера за целите на ДДС</w:t>
      </w:r>
    </w:p>
    <w:p w:rsidR="00511652" w:rsidRDefault="00BD4ED0">
      <w:pPr>
        <w:spacing w:after="0" w:line="360" w:lineRule="auto"/>
        <w:rPr>
          <w:rFonts w:eastAsia="Times New Roman"/>
          <w:noProof/>
          <w:szCs w:val="24"/>
        </w:rPr>
      </w:pPr>
      <w:r>
        <w:rPr>
          <w:noProof/>
        </w:rPr>
        <w:t xml:space="preserve">Когато е приложимо, въведете идентификационния номер за целите на ДДС. </w:t>
      </w:r>
    </w:p>
    <w:p w:rsidR="00511652" w:rsidRDefault="00BD4ED0">
      <w:pPr>
        <w:spacing w:after="0" w:line="360" w:lineRule="auto"/>
        <w:rPr>
          <w:rFonts w:eastAsia="Times New Roman"/>
          <w:b/>
          <w:noProof/>
          <w:szCs w:val="24"/>
        </w:rPr>
      </w:pPr>
      <w:r>
        <w:rPr>
          <w:b/>
          <w:noProof/>
          <w:szCs w:val="24"/>
        </w:rPr>
        <w:t>8. Стопански дейности</w:t>
      </w:r>
    </w:p>
    <w:p w:rsidR="00511652" w:rsidRDefault="00BD4ED0">
      <w:pPr>
        <w:spacing w:after="0" w:line="360" w:lineRule="auto"/>
        <w:rPr>
          <w:rFonts w:eastAsia="Times New Roman"/>
          <w:noProof/>
          <w:szCs w:val="24"/>
        </w:rPr>
      </w:pPr>
      <w:r>
        <w:rPr>
          <w:noProof/>
        </w:rPr>
        <w:t>Въведете информация за стопанската дейност на заявителя. Моля, опишете накратко своята търговска дейност и посочете ролята си във веригата на доставки (напр. прои</w:t>
      </w:r>
      <w:r>
        <w:rPr>
          <w:noProof/>
        </w:rPr>
        <w:t>зводител на стоки, вносител, търговец на дребно и др.). Моля, посочете:</w:t>
      </w:r>
    </w:p>
    <w:p w:rsidR="00511652" w:rsidRDefault="00BD4ED0">
      <w:pPr>
        <w:spacing w:after="0" w:line="360" w:lineRule="auto"/>
        <w:rPr>
          <w:rFonts w:eastAsia="Times New Roman"/>
          <w:noProof/>
          <w:szCs w:val="24"/>
        </w:rPr>
      </w:pPr>
      <w:r>
        <w:rPr>
          <w:noProof/>
        </w:rPr>
        <w:t>— предназначението на внасяните стоки, включително описание на вида стоки и дали са обект на някакъв вид преработка;</w:t>
      </w:r>
    </w:p>
    <w:p w:rsidR="00511652" w:rsidRDefault="00BD4ED0">
      <w:pPr>
        <w:spacing w:after="0" w:line="360" w:lineRule="auto"/>
        <w:rPr>
          <w:rFonts w:eastAsia="Times New Roman"/>
          <w:noProof/>
          <w:szCs w:val="24"/>
        </w:rPr>
      </w:pPr>
      <w:r>
        <w:rPr>
          <w:noProof/>
        </w:rPr>
        <w:t>— оценка на броя на митническите декларации за допускане за свободн</w:t>
      </w:r>
      <w:r>
        <w:rPr>
          <w:noProof/>
        </w:rPr>
        <w:t>о обращение за съответните стоки, които трябва да се изготвят годишно;</w:t>
      </w:r>
    </w:p>
    <w:p w:rsidR="00511652" w:rsidRDefault="00BD4ED0">
      <w:pPr>
        <w:spacing w:after="0" w:line="360" w:lineRule="auto"/>
        <w:rPr>
          <w:rFonts w:eastAsia="Times New Roman"/>
          <w:noProof/>
          <w:szCs w:val="24"/>
        </w:rPr>
      </w:pPr>
      <w:r>
        <w:rPr>
          <w:noProof/>
        </w:rPr>
        <w:t>— вида отчетности, системи и проверки, използвани с цел изпълнение на ангажимента по член 6, буква б).</w:t>
      </w:r>
    </w:p>
    <w:p w:rsidR="00511652" w:rsidRDefault="00BD4ED0">
      <w:pPr>
        <w:spacing w:after="0" w:line="360" w:lineRule="auto"/>
        <w:rPr>
          <w:rFonts w:eastAsia="Times New Roman"/>
          <w:b/>
          <w:noProof/>
          <w:szCs w:val="24"/>
        </w:rPr>
      </w:pPr>
      <w:r>
        <w:rPr>
          <w:b/>
          <w:noProof/>
          <w:szCs w:val="24"/>
        </w:rPr>
        <w:t>9. Годишен оборот</w:t>
      </w:r>
    </w:p>
    <w:p w:rsidR="00511652" w:rsidRDefault="00BD4ED0">
      <w:pPr>
        <w:spacing w:after="0" w:line="360" w:lineRule="auto"/>
        <w:rPr>
          <w:rFonts w:eastAsia="Times New Roman"/>
          <w:noProof/>
          <w:szCs w:val="24"/>
        </w:rPr>
      </w:pPr>
      <w:r>
        <w:rPr>
          <w:noProof/>
        </w:rPr>
        <w:t>За целите на член 2 от решението, въведете годишния оборот за по</w:t>
      </w:r>
      <w:r>
        <w:rPr>
          <w:noProof/>
        </w:rPr>
        <w:t>следната пълна финансова година. Ако предприятието е новосъздадено, представете отчетни документи и информация, които позволяват да се оцени очакваният оборот, като например последните прогнози за паричните потоци, счетоводния баланс и печалбите и загубите</w:t>
      </w:r>
      <w:r>
        <w:rPr>
          <w:noProof/>
        </w:rPr>
        <w:t>, одобрени от директорите/съдружниците/едноличния собственик.</w:t>
      </w:r>
    </w:p>
    <w:p w:rsidR="00511652" w:rsidRDefault="00BD4ED0">
      <w:pPr>
        <w:spacing w:after="0" w:line="360" w:lineRule="auto"/>
        <w:rPr>
          <w:rFonts w:eastAsia="Times New Roman"/>
          <w:b/>
          <w:noProof/>
          <w:szCs w:val="24"/>
        </w:rPr>
      </w:pPr>
      <w:r>
        <w:rPr>
          <w:b/>
          <w:noProof/>
          <w:szCs w:val="24"/>
        </w:rPr>
        <w:t>10. Лице за контакт, отговарящо за заявлението</w:t>
      </w:r>
    </w:p>
    <w:p w:rsidR="00511652" w:rsidRDefault="00BD4ED0">
      <w:pPr>
        <w:spacing w:after="0" w:line="360" w:lineRule="auto"/>
        <w:rPr>
          <w:rFonts w:eastAsia="Times New Roman"/>
          <w:noProof/>
          <w:szCs w:val="24"/>
        </w:rPr>
      </w:pPr>
      <w:r>
        <w:rPr>
          <w:noProof/>
        </w:rPr>
        <w:t>Лицето за контакт отговаря за поддържане на връзка с митническите органи по отношение на заявлението.</w:t>
      </w:r>
    </w:p>
    <w:p w:rsidR="00511652" w:rsidRDefault="00BD4ED0">
      <w:pPr>
        <w:spacing w:after="0" w:line="360" w:lineRule="auto"/>
        <w:rPr>
          <w:rFonts w:eastAsia="Times New Roman"/>
          <w:noProof/>
          <w:szCs w:val="24"/>
        </w:rPr>
      </w:pPr>
      <w:r>
        <w:rPr>
          <w:noProof/>
        </w:rPr>
        <w:t>Въведете името на лицето и следната информаци</w:t>
      </w:r>
      <w:r>
        <w:rPr>
          <w:noProof/>
        </w:rPr>
        <w:t>я: телефонен номер, електронен адрес (за предпочитане функционална пощенска кутия).</w:t>
      </w:r>
    </w:p>
    <w:p w:rsidR="00511652" w:rsidRDefault="00BD4ED0">
      <w:pPr>
        <w:spacing w:after="0" w:line="360" w:lineRule="auto"/>
        <w:rPr>
          <w:rFonts w:eastAsia="Times New Roman"/>
          <w:b/>
          <w:noProof/>
          <w:szCs w:val="24"/>
        </w:rPr>
      </w:pPr>
      <w:r>
        <w:rPr>
          <w:b/>
          <w:noProof/>
          <w:szCs w:val="24"/>
        </w:rPr>
        <w:t>11. Лице, отговарящо за дружеството заявител или упражняващо контрол върху неговото управление</w:t>
      </w:r>
    </w:p>
    <w:p w:rsidR="00511652" w:rsidRDefault="00BD4ED0">
      <w:pPr>
        <w:spacing w:after="0" w:line="360" w:lineRule="auto"/>
        <w:rPr>
          <w:rFonts w:eastAsia="Times New Roman"/>
          <w:noProof/>
          <w:szCs w:val="24"/>
        </w:rPr>
      </w:pPr>
      <w:r>
        <w:rPr>
          <w:noProof/>
        </w:rPr>
        <w:t xml:space="preserve">За целите на член 7, буква б) от решението, въведете имената и пълните данни </w:t>
      </w:r>
      <w:r>
        <w:rPr>
          <w:noProof/>
        </w:rPr>
        <w:t xml:space="preserve">на съответните лица в съответствие със законното установяване/правната форма на дружеството заявител, и по-специално:  директор/управител на дружеството и съвет на директорите, ако има такива. Данните следва да включват: пълно име и адрес, дата на раждане </w:t>
      </w:r>
      <w:r>
        <w:rPr>
          <w:noProof/>
        </w:rPr>
        <w:t>и национален идентификационен номер.</w:t>
      </w:r>
    </w:p>
    <w:p w:rsidR="00511652" w:rsidRDefault="00BD4ED0">
      <w:pPr>
        <w:spacing w:after="0" w:line="360" w:lineRule="auto"/>
        <w:rPr>
          <w:rFonts w:eastAsia="Times New Roman"/>
          <w:b/>
          <w:noProof/>
          <w:szCs w:val="24"/>
          <w:u w:val="single"/>
        </w:rPr>
      </w:pPr>
      <w:r>
        <w:rPr>
          <w:b/>
          <w:noProof/>
          <w:szCs w:val="24"/>
          <w:u w:val="single"/>
        </w:rPr>
        <w:t>Дати, часове, периоди и места</w:t>
      </w:r>
    </w:p>
    <w:p w:rsidR="00511652" w:rsidRDefault="00BD4ED0">
      <w:pPr>
        <w:spacing w:after="0" w:line="360" w:lineRule="auto"/>
        <w:rPr>
          <w:rFonts w:eastAsia="Times New Roman"/>
          <w:b/>
          <w:noProof/>
          <w:szCs w:val="24"/>
        </w:rPr>
      </w:pPr>
      <w:r>
        <w:rPr>
          <w:b/>
          <w:noProof/>
          <w:szCs w:val="24"/>
        </w:rPr>
        <w:t>12. Дата на установяване</w:t>
      </w:r>
    </w:p>
    <w:p w:rsidR="00511652" w:rsidRDefault="00BD4ED0">
      <w:pPr>
        <w:spacing w:after="0" w:line="360" w:lineRule="auto"/>
        <w:rPr>
          <w:rFonts w:eastAsia="Times New Roman"/>
          <w:noProof/>
          <w:szCs w:val="24"/>
        </w:rPr>
      </w:pPr>
      <w:r>
        <w:rPr>
          <w:noProof/>
        </w:rPr>
        <w:t>С цифри — деня, месеца и годината на установяване.</w:t>
      </w:r>
    </w:p>
    <w:p w:rsidR="00511652" w:rsidRDefault="00BD4ED0">
      <w:pPr>
        <w:spacing w:after="0" w:line="360" w:lineRule="auto"/>
        <w:rPr>
          <w:rFonts w:eastAsia="Times New Roman"/>
          <w:b/>
          <w:noProof/>
          <w:szCs w:val="24"/>
        </w:rPr>
      </w:pPr>
      <w:r>
        <w:rPr>
          <w:b/>
          <w:noProof/>
          <w:szCs w:val="24"/>
        </w:rPr>
        <w:t xml:space="preserve">13. </w:t>
      </w:r>
      <w:r>
        <w:rPr>
          <w:b/>
          <w:noProof/>
        </w:rPr>
        <w:t>Адрес на установяване/адрес на пребиваване</w:t>
      </w:r>
    </w:p>
    <w:p w:rsidR="00511652" w:rsidRDefault="00BD4ED0">
      <w:pPr>
        <w:spacing w:after="0" w:line="360" w:lineRule="auto"/>
        <w:rPr>
          <w:rFonts w:eastAsia="Times New Roman"/>
          <w:noProof/>
          <w:szCs w:val="24"/>
        </w:rPr>
      </w:pPr>
      <w:r>
        <w:rPr>
          <w:noProof/>
        </w:rPr>
        <w:t>Пълен адрес на мястото, където лицето е установено/пребивава, вклю</w:t>
      </w:r>
      <w:r>
        <w:rPr>
          <w:noProof/>
        </w:rPr>
        <w:t>чително идентификатор на държавата или територията.</w:t>
      </w:r>
    </w:p>
    <w:p w:rsidR="00511652" w:rsidRDefault="00BD4ED0">
      <w:pPr>
        <w:spacing w:after="0" w:line="360" w:lineRule="auto"/>
        <w:rPr>
          <w:rFonts w:eastAsia="Times New Roman"/>
          <w:b/>
          <w:noProof/>
          <w:szCs w:val="24"/>
        </w:rPr>
      </w:pPr>
      <w:r>
        <w:rPr>
          <w:b/>
          <w:noProof/>
          <w:szCs w:val="24"/>
        </w:rPr>
        <w:t>14. Място на съхранение на отчетната документация</w:t>
      </w:r>
    </w:p>
    <w:p w:rsidR="00511652" w:rsidRDefault="00BD4ED0">
      <w:pPr>
        <w:spacing w:after="0" w:line="360" w:lineRule="auto"/>
        <w:rPr>
          <w:rFonts w:eastAsia="Times New Roman"/>
          <w:noProof/>
          <w:szCs w:val="24"/>
        </w:rPr>
      </w:pPr>
      <w:r>
        <w:rPr>
          <w:noProof/>
        </w:rPr>
        <w:t>Въведете пълния адрес на местата, където се съхранява или се планира да се съхранява отчетната документация на заявителя. UN/LOCODE може да замести адреса</w:t>
      </w:r>
      <w:r>
        <w:rPr>
          <w:noProof/>
        </w:rPr>
        <w:t>, ако позволява съответното местонахождение да бъде недвусмислено идентифицирано.</w:t>
      </w:r>
    </w:p>
    <w:p w:rsidR="00511652" w:rsidRDefault="00BD4ED0">
      <w:pPr>
        <w:spacing w:after="0" w:line="360" w:lineRule="auto"/>
        <w:rPr>
          <w:rFonts w:eastAsia="Times New Roman"/>
          <w:b/>
          <w:noProof/>
          <w:szCs w:val="24"/>
        </w:rPr>
      </w:pPr>
      <w:r>
        <w:rPr>
          <w:b/>
          <w:noProof/>
          <w:szCs w:val="24"/>
        </w:rPr>
        <w:t>15. Места на преработка или употреба</w:t>
      </w:r>
    </w:p>
    <w:p w:rsidR="00511652" w:rsidRDefault="00BD4ED0">
      <w:pPr>
        <w:spacing w:after="0" w:line="360" w:lineRule="auto"/>
        <w:rPr>
          <w:rFonts w:eastAsia="Times New Roman"/>
          <w:noProof/>
          <w:szCs w:val="24"/>
        </w:rPr>
      </w:pPr>
      <w:r>
        <w:rPr>
          <w:noProof/>
        </w:rPr>
        <w:t>Моля, посочете адреса на местата, където стоките ще бъдат преработвани, ако е приложимо, и продавани на крайните потребители.</w:t>
      </w:r>
    </w:p>
    <w:sectPr w:rsidR="00511652" w:rsidSect="00BD4ED0"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652" w:rsidRDefault="00BD4ED0">
      <w:pPr>
        <w:spacing w:before="0" w:after="0"/>
      </w:pPr>
      <w:r>
        <w:separator/>
      </w:r>
    </w:p>
  </w:endnote>
  <w:endnote w:type="continuationSeparator" w:id="0">
    <w:p w:rsidR="00511652" w:rsidRDefault="00BD4ED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ED0" w:rsidRPr="00BD4ED0" w:rsidRDefault="00BD4ED0" w:rsidP="00BD4E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652" w:rsidRPr="00BD4ED0" w:rsidRDefault="00BD4ED0" w:rsidP="00BD4ED0">
    <w:pPr>
      <w:pStyle w:val="Footer"/>
      <w:rPr>
        <w:rFonts w:ascii="Arial" w:hAnsi="Arial" w:cs="Arial"/>
        <w:b/>
        <w:sz w:val="48"/>
      </w:rPr>
    </w:pPr>
    <w:r w:rsidRPr="00BD4ED0">
      <w:rPr>
        <w:rFonts w:ascii="Arial" w:hAnsi="Arial" w:cs="Arial"/>
        <w:b/>
        <w:sz w:val="48"/>
      </w:rPr>
      <w:t>BG</w:t>
    </w:r>
    <w:r w:rsidRPr="00BD4ED0">
      <w:rPr>
        <w:rFonts w:ascii="Arial" w:hAnsi="Arial" w:cs="Arial"/>
        <w:b/>
        <w:sz w:val="48"/>
      </w:rPr>
      <w:tab/>
    </w:r>
    <w:r w:rsidRPr="00BD4ED0">
      <w:rPr>
        <w:rFonts w:ascii="Arial" w:hAnsi="Arial" w:cs="Arial"/>
        <w:b/>
        <w:sz w:val="48"/>
      </w:rPr>
      <w:tab/>
    </w:r>
    <w:r w:rsidRPr="00BD4ED0">
      <w:tab/>
    </w:r>
    <w:r w:rsidRPr="00BD4ED0"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ED0" w:rsidRPr="00BD4ED0" w:rsidRDefault="00BD4ED0" w:rsidP="00BD4ED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ED0" w:rsidRPr="00BD4ED0" w:rsidRDefault="00BD4ED0" w:rsidP="00BD4ED0">
    <w:pPr>
      <w:pStyle w:val="Footer"/>
      <w:rPr>
        <w:rFonts w:ascii="Arial" w:hAnsi="Arial" w:cs="Arial"/>
        <w:b/>
        <w:sz w:val="48"/>
      </w:rPr>
    </w:pPr>
    <w:r w:rsidRPr="00BD4ED0">
      <w:rPr>
        <w:rFonts w:ascii="Arial" w:hAnsi="Arial" w:cs="Arial"/>
        <w:b/>
        <w:sz w:val="48"/>
      </w:rPr>
      <w:t>BG</w:t>
    </w:r>
    <w:r w:rsidRPr="00BD4ED0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9</w:t>
    </w:r>
    <w:r>
      <w:fldChar w:fldCharType="end"/>
    </w:r>
    <w:r>
      <w:tab/>
    </w:r>
    <w:r w:rsidRPr="00BD4ED0">
      <w:tab/>
    </w:r>
    <w:r w:rsidRPr="00BD4ED0"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ED0" w:rsidRPr="00BD4ED0" w:rsidRDefault="00BD4ED0" w:rsidP="00BD4E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652" w:rsidRDefault="00BD4ED0">
      <w:pPr>
        <w:spacing w:before="0" w:after="0"/>
      </w:pPr>
      <w:r>
        <w:separator/>
      </w:r>
    </w:p>
  </w:footnote>
  <w:footnote w:type="continuationSeparator" w:id="0">
    <w:p w:rsidR="00511652" w:rsidRDefault="00BD4ED0">
      <w:pPr>
        <w:spacing w:before="0" w:after="0"/>
      </w:pPr>
      <w:r>
        <w:continuationSeparator/>
      </w:r>
    </w:p>
  </w:footnote>
  <w:footnote w:id="1">
    <w:p w:rsidR="00511652" w:rsidRDefault="00BD4ED0">
      <w:pPr>
        <w:spacing w:after="0"/>
        <w:rPr>
          <w:rFonts w:eastAsia="Times New Roman"/>
          <w:sz w:val="20"/>
          <w:szCs w:val="20"/>
        </w:rPr>
      </w:pPr>
      <w:r>
        <w:rPr>
          <w:rStyle w:val="FootnoteReference"/>
        </w:rPr>
        <w:footnoteRef/>
      </w:r>
      <w:r>
        <w:tab/>
      </w:r>
      <w:r>
        <w:rPr>
          <w:sz w:val="20"/>
          <w:szCs w:val="20"/>
        </w:rPr>
        <w:t>Регламент (ЕО) № 638/2004 на Европейския парламент и на Съвета от 31 март 2004 г. за статистиката на Общността, свързана с търговията със стоки между държавите членки, и за отмяна на Регламент (ЕИО) № 3330/91 на Съвета</w:t>
      </w:r>
      <w:r>
        <w:rPr>
          <w:sz w:val="20"/>
          <w:szCs w:val="20"/>
        </w:rPr>
        <w:t xml:space="preserve"> (ОВ L 102, 7.4.2004 г., стр. 1).</w:t>
      </w:r>
    </w:p>
  </w:footnote>
  <w:footnote w:id="2">
    <w:p w:rsidR="00511652" w:rsidRDefault="00BD4ED0">
      <w:pPr>
        <w:spacing w:after="0"/>
        <w:rPr>
          <w:rFonts w:eastAsia="Times New Roman"/>
          <w:sz w:val="20"/>
          <w:szCs w:val="20"/>
        </w:rPr>
      </w:pPr>
      <w:r>
        <w:rPr>
          <w:rStyle w:val="FootnoteReference"/>
        </w:rPr>
        <w:footnoteRef/>
      </w:r>
      <w:r>
        <w:tab/>
      </w:r>
      <w:r>
        <w:rPr>
          <w:sz w:val="20"/>
          <w:szCs w:val="20"/>
        </w:rPr>
        <w:t>Регламент (ЕО) № 471/2009 на Европейския парламент и на Съвета от 6 май 2009 г. относно статистиката на Общността за външната търговия с трети страни и за отмяна на Регламент (ЕО) № 1172/95 на Съвета (ОВ L 152, 16.6.2009</w:t>
      </w:r>
      <w:r>
        <w:rPr>
          <w:sz w:val="20"/>
          <w:szCs w:val="20"/>
        </w:rPr>
        <w:t xml:space="preserve"> г., стр. 23).</w:t>
      </w:r>
    </w:p>
  </w:footnote>
  <w:footnote w:id="3">
    <w:p w:rsidR="00511652" w:rsidRDefault="00BD4ED0">
      <w:pPr>
        <w:spacing w:after="0"/>
        <w:rPr>
          <w:sz w:val="20"/>
          <w:szCs w:val="20"/>
        </w:rPr>
      </w:pPr>
      <w:r>
        <w:rPr>
          <w:rStyle w:val="FootnoteReference"/>
        </w:rPr>
        <w:footnoteRef/>
      </w:r>
      <w:r>
        <w:tab/>
      </w:r>
      <w:r>
        <w:rPr>
          <w:sz w:val="21"/>
          <w:szCs w:val="21"/>
          <w:highlight w:val="white"/>
        </w:rPr>
        <w:t>Делегиран регламент (ЕС) 2015/2446 на Комисията от 28 юли 2015 г. за допълнение на Регламент (ЕС) № 952/2013 на Европейския парламент и на Съвета за определяне на подробни правила за някои от разпоредбите на Митническия кодекс на Съюза (ОВ</w:t>
      </w:r>
      <w:r>
        <w:rPr>
          <w:sz w:val="21"/>
          <w:szCs w:val="21"/>
          <w:highlight w:val="white"/>
        </w:rPr>
        <w:t> L 343, 29.12.2015 г., стр. 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ED0" w:rsidRPr="00BD4ED0" w:rsidRDefault="00BD4ED0" w:rsidP="00BD4E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ED0" w:rsidRPr="00BD4ED0" w:rsidRDefault="00BD4ED0" w:rsidP="00BD4E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ED0" w:rsidRPr="00BD4ED0" w:rsidRDefault="00BD4ED0" w:rsidP="00BD4E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7EFADF7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4984B3D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4B882B7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5F64150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5420C6F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24E8601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839A13E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EE3AC2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 w15:restartNumberingAfterBreak="0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</w:num>
  <w:num w:numId="14">
    <w:abstractNumId w:val="18"/>
  </w:num>
  <w:num w:numId="15">
    <w:abstractNumId w:val="12"/>
  </w:num>
  <w:num w:numId="16">
    <w:abstractNumId w:val="20"/>
  </w:num>
  <w:num w:numId="17">
    <w:abstractNumId w:val="11"/>
  </w:num>
  <w:num w:numId="18">
    <w:abstractNumId w:val="13"/>
  </w:num>
  <w:num w:numId="19">
    <w:abstractNumId w:val="9"/>
  </w:num>
  <w:num w:numId="20">
    <w:abstractNumId w:val="19"/>
  </w:num>
  <w:num w:numId="21">
    <w:abstractNumId w:val="8"/>
  </w:num>
  <w:num w:numId="22">
    <w:abstractNumId w:val="14"/>
  </w:num>
  <w:num w:numId="23">
    <w:abstractNumId w:val="16"/>
  </w:num>
  <w:num w:numId="24">
    <w:abstractNumId w:val="17"/>
  </w:num>
  <w:num w:numId="25">
    <w:abstractNumId w:val="10"/>
  </w:num>
  <w:num w:numId="26">
    <w:abstractNumId w:val="15"/>
  </w:num>
  <w:num w:numId="27">
    <w:abstractNumId w:val="21"/>
  </w:num>
  <w:num w:numId="28">
    <w:abstractNumId w:val="18"/>
  </w:num>
  <w:num w:numId="29">
    <w:abstractNumId w:val="12"/>
  </w:num>
  <w:num w:numId="30">
    <w:abstractNumId w:val="20"/>
  </w:num>
  <w:num w:numId="31">
    <w:abstractNumId w:val="11"/>
  </w:num>
  <w:num w:numId="32">
    <w:abstractNumId w:val="13"/>
  </w:num>
  <w:num w:numId="33">
    <w:abstractNumId w:val="9"/>
  </w:num>
  <w:num w:numId="34">
    <w:abstractNumId w:val="19"/>
  </w:num>
  <w:num w:numId="35">
    <w:abstractNumId w:val="8"/>
  </w:num>
  <w:num w:numId="36">
    <w:abstractNumId w:val="14"/>
  </w:num>
  <w:num w:numId="37">
    <w:abstractNumId w:val="16"/>
  </w:num>
  <w:num w:numId="38">
    <w:abstractNumId w:val="17"/>
  </w:num>
  <w:num w:numId="39">
    <w:abstractNumId w:val="10"/>
  </w:num>
  <w:num w:numId="40">
    <w:abstractNumId w:val="15"/>
  </w:num>
  <w:num w:numId="41">
    <w:abstractNumId w:val="2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attachedTemplate r:id="rId1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0-12-14 09:40:54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4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2"/>
    <w:docVar w:name="DQCResult_UnknownFonts" w:val="0;0"/>
    <w:docVar w:name="DQCResult_UnknownStyles" w:val="0;3"/>
    <w:docVar w:name="DQCStatus" w:val="Yellow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COM(2020) 834 final of 10.12.2020 downgraded on 27.1.2021"/>
    <w:docVar w:name="LW_COVERPAGE_EXISTS" w:val="True"/>
    <w:docVar w:name="LW_COVERPAGE_GUID" w:val="B823AEA2-25CE-45D3-B51F-7CEC71823F2D"/>
    <w:docVar w:name="LW_COVERPAGE_TYPE" w:val="1"/>
    <w:docVar w:name="LW_CROSSREFERENCE" w:val="&lt;UNUSED&gt;"/>
    <w:docVar w:name="LW_DocType" w:val="ANNEX"/>
    <w:docVar w:name="LW_EMISSION" w:val="27.1.2021"/>
    <w:docVar w:name="LW_EMISSION_ISODATE" w:val="2021-01-27"/>
    <w:docVar w:name="LW_EMISSION_LOCATION" w:val="BRX"/>
    <w:docVar w:name="LW_EMISSION_PREFIX" w:val="\u1041?\u1088?\u1102?\u1082?\u1089?\u1077?\u1083?, "/>
    <w:docVar w:name="LW_EMISSION_SUFFIX" w:val=" \u1075?.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&lt;FMT:Font=Calibri Cyr,Bold&gt;\u1089?\u1098?\u1075?\u1083?\u1072?\u1089?\u1085?\u1086? \u1095?\u1083?\u1077?\u1085? 218, \u1087?\u1072?\u1088?\u1072?\u1075?\u1088?\u1072?\u1092? 9 \u1086?\u1090? \u1044?\u1060?\u1045?\u1057? \u1086?\u1090?\u1085?\u1086?\u1089?\u1085?\u1086? \u1087?\u1086?\u1079?\u1080?\u1094?\u1080?\u1103?\u1090?\u1072? \u1085?\u1072? \u1057?\u1098?\u1102?\u1079?\u1072? \u1074?\u1098?\u1074? \u1074?\u1088?\u1098?\u1079?\u1082?\u1072? \u1089? \u1087?\u1088?\u1086?\u1077?\u1082?\u1090?\u1072? \u1085?\u1072? \u1088?\u1077?\u1096?\u1077?\u1085?\u1080?\u1077? \u1085?\u1072? \u1057?\u1098?\u1074?\u1084?\u1077?\u1089?\u1090?\u1085?\u1080?\u1103? \u1082?\u1086?\u1084?\u1080?\u1090?\u1077?\u1090? \u1086?\u1090?\u1085?\u1086?\u1089?\u1085?\u1086? \u1086?\u1087?\u1088?\u1077?\u1076?\u1077?\u1083?\u1103?\u1085?\u1077?\u1090?\u1086? \u1085?\u1072? \u1089?\u1090?\u1086?\u1082?\u1080?\u1090?\u1077?, \u1079?\u1072? \u1082?\u1086?\u1080?\u1090?\u1086? \u1085?\u1077? \u1089?\u1098?\u1097?\u1077?\u1089?\u1090?\u1074?\u1091?\u1074?\u1072? \u1088?\u1080?\u1089?\u1082?&lt;/FMT&gt;"/>
    <w:docVar w:name="LW_OBJETACTEPRINCIPAL.CP" w:val="&lt;FMT:Font=Calibri Cyr,Bold&gt;\u1089?\u1098?\u1075?\u1083?\u1072?\u1089?\u1085?\u1086? \u1095?\u1083?\u1077?\u1085? 218, \u1087?\u1072?\u1088?\u1072?\u1075?\u1088?\u1072?\u1092? 9 \u1086?\u1090? \u1044?\u1060?\u1045?\u1057? \u1086?\u1090?\u1085?\u1086?\u1089?\u1085?\u1086? \u1087?\u1086?\u1079?\u1080?\u1094?\u1080?\u1103?\u1090?\u1072? \u1085?\u1072? \u1057?\u1098?\u1102?\u1079?\u1072? \u1074?\u1098?\u1074? \u1074?\u1088?\u1098?\u1079?\u1082?\u1072? \u1089? \u1087?\u1088?\u1086?\u1077?\u1082?\u1090?\u1072? \u1085?\u1072? \u1088?\u1077?\u1096?\u1077?\u1085?\u1080?\u1077? \u1085?\u1072? \u1057?\u1098?\u1074?\u1084?\u1077?\u1089?\u1090?\u1085?\u1080?\u1103? \u1082?\u1086?\u1084?\u1080?\u1090?\u1077?\u1090? \u1086?\u1090?\u1085?\u1086?\u1089?\u1085?\u1086? \u1086?\u1087?\u1088?\u1077?\u1076?\u1077?\u1083?\u1103?\u1085?\u1077?\u1090?\u1086? \u1085?\u1072? \u1089?\u1090?\u1086?\u1082?\u1080?\u1090?\u1077?, \u1079?\u1072? \u1082?\u1086?\u1080?\u1090?\u1086? \u1085?\u1077? \u1089?\u1098?\u1097?\u1077?\u1089?\u1090?\u1074?\u1091?\u1074?\u1072? \u1088?\u1080?\u1089?\u1082?&lt;/FMT&gt;"/>
    <w:docVar w:name="LW_PART_NBR" w:val="1"/>
    <w:docVar w:name="LW_PART_NBR_TOTAL" w:val="1"/>
    <w:docVar w:name="LW_REF.INST.NEW" w:val="COM"/>
    <w:docVar w:name="LW_REF.INST.NEW_ADOPTED" w:val="final/2"/>
    <w:docVar w:name="LW_REF.INST.NEW_TEXT" w:val="(2020) 834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5?\u1088?\u1077?\u1076?\u1083?\u1086?\u1078?\u1077?\u1085?\u1080?\u1077? \u1079?\u1072? \u1056?\u1077?\u1096?\u1077?\u1085?\u1080?\u1077? \u1085?\u1072? \u1057?\u1098?\u1074?\u1077?\u1090?\u1072?"/>
    <w:docVar w:name="LW_TYPEACTEPRINCIPAL.CP" w:val="\u1055?\u1088?\u1077?\u1076?\u1083?\u1086?\u1078?\u1077?\u1085?\u1080?\u1077? \u1079?\u1072? \u1056?\u1077?\u1096?\u1077?\u1085?\u1080?\u1077? \u1085?\u1072? \u1057?\u1098?\u1074?\u1077?\u1090?\u1072?"/>
  </w:docVars>
  <w:rsids>
    <w:rsidRoot w:val="00511652"/>
    <w:rsid w:val="00511652"/>
    <w:rsid w:val="00BD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5:docId w15:val="{32E967A1-F6C2-4D99-B6F4-BFE834215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4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4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4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4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BD4ED0"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BD4ED0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BD4ED0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BD4ED0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BD4ED0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rsid w:val="00BD4ED0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rsid w:val="00BD4ED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rsid w:val="00BD4ED0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rsid w:val="00BD4ED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8"/>
      </w:numPr>
    </w:pPr>
  </w:style>
  <w:style w:type="paragraph" w:customStyle="1" w:styleId="Tiret1">
    <w:name w:val="Tiret 1"/>
    <w:basedOn w:val="Point1"/>
    <w:pPr>
      <w:numPr>
        <w:numId w:val="29"/>
      </w:numPr>
    </w:pPr>
  </w:style>
  <w:style w:type="paragraph" w:customStyle="1" w:styleId="Tiret2">
    <w:name w:val="Tiret 2"/>
    <w:basedOn w:val="Point2"/>
    <w:pPr>
      <w:numPr>
        <w:numId w:val="30"/>
      </w:numPr>
    </w:pPr>
  </w:style>
  <w:style w:type="paragraph" w:customStyle="1" w:styleId="Tiret3">
    <w:name w:val="Tiret 3"/>
    <w:basedOn w:val="Point3"/>
    <w:pPr>
      <w:numPr>
        <w:numId w:val="31"/>
      </w:numPr>
    </w:pPr>
  </w:style>
  <w:style w:type="paragraph" w:customStyle="1" w:styleId="Tiret4">
    <w:name w:val="Tiret 4"/>
    <w:basedOn w:val="Point4"/>
    <w:pPr>
      <w:numPr>
        <w:numId w:val="32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3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3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3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3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5"/>
      </w:numPr>
    </w:pPr>
  </w:style>
  <w:style w:type="paragraph" w:customStyle="1" w:styleId="Point1number">
    <w:name w:val="Point 1 (number)"/>
    <w:basedOn w:val="Normal"/>
    <w:pPr>
      <w:numPr>
        <w:ilvl w:val="2"/>
        <w:numId w:val="35"/>
      </w:numPr>
    </w:pPr>
  </w:style>
  <w:style w:type="paragraph" w:customStyle="1" w:styleId="Point2number">
    <w:name w:val="Point 2 (number)"/>
    <w:basedOn w:val="Normal"/>
    <w:pPr>
      <w:numPr>
        <w:ilvl w:val="4"/>
        <w:numId w:val="35"/>
      </w:numPr>
    </w:pPr>
  </w:style>
  <w:style w:type="paragraph" w:customStyle="1" w:styleId="Point3number">
    <w:name w:val="Point 3 (number)"/>
    <w:basedOn w:val="Normal"/>
    <w:pPr>
      <w:numPr>
        <w:ilvl w:val="6"/>
        <w:numId w:val="35"/>
      </w:numPr>
    </w:pPr>
  </w:style>
  <w:style w:type="paragraph" w:customStyle="1" w:styleId="Point0letter">
    <w:name w:val="Point 0 (letter)"/>
    <w:basedOn w:val="Normal"/>
    <w:pPr>
      <w:numPr>
        <w:ilvl w:val="1"/>
        <w:numId w:val="35"/>
      </w:numPr>
    </w:pPr>
  </w:style>
  <w:style w:type="paragraph" w:customStyle="1" w:styleId="Point1letter">
    <w:name w:val="Point 1 (letter)"/>
    <w:basedOn w:val="Normal"/>
    <w:pPr>
      <w:numPr>
        <w:ilvl w:val="3"/>
        <w:numId w:val="35"/>
      </w:numPr>
    </w:pPr>
  </w:style>
  <w:style w:type="paragraph" w:customStyle="1" w:styleId="Point2letter">
    <w:name w:val="Point 2 (letter)"/>
    <w:basedOn w:val="Normal"/>
    <w:pPr>
      <w:numPr>
        <w:ilvl w:val="5"/>
        <w:numId w:val="35"/>
      </w:numPr>
    </w:pPr>
  </w:style>
  <w:style w:type="paragraph" w:customStyle="1" w:styleId="Point3letter">
    <w:name w:val="Point 3 (letter)"/>
    <w:basedOn w:val="Normal"/>
    <w:pPr>
      <w:numPr>
        <w:ilvl w:val="7"/>
        <w:numId w:val="35"/>
      </w:numPr>
    </w:pPr>
  </w:style>
  <w:style w:type="paragraph" w:customStyle="1" w:styleId="Point4letter">
    <w:name w:val="Point 4 (letter)"/>
    <w:basedOn w:val="Normal"/>
    <w:pPr>
      <w:numPr>
        <w:ilvl w:val="8"/>
        <w:numId w:val="35"/>
      </w:numPr>
    </w:pPr>
  </w:style>
  <w:style w:type="paragraph" w:customStyle="1" w:styleId="Bullet0">
    <w:name w:val="Bullet 0"/>
    <w:basedOn w:val="Normal"/>
    <w:pPr>
      <w:numPr>
        <w:numId w:val="36"/>
      </w:numPr>
    </w:pPr>
  </w:style>
  <w:style w:type="paragraph" w:customStyle="1" w:styleId="Bullet1">
    <w:name w:val="Bullet 1"/>
    <w:basedOn w:val="Normal"/>
    <w:pPr>
      <w:numPr>
        <w:numId w:val="37"/>
      </w:numPr>
    </w:pPr>
  </w:style>
  <w:style w:type="paragraph" w:customStyle="1" w:styleId="Bullet2">
    <w:name w:val="Bullet 2"/>
    <w:basedOn w:val="Normal"/>
    <w:pPr>
      <w:numPr>
        <w:numId w:val="38"/>
      </w:numPr>
    </w:pPr>
  </w:style>
  <w:style w:type="paragraph" w:customStyle="1" w:styleId="Bullet3">
    <w:name w:val="Bullet 3"/>
    <w:basedOn w:val="Normal"/>
    <w:pPr>
      <w:numPr>
        <w:numId w:val="39"/>
      </w:numPr>
    </w:pPr>
  </w:style>
  <w:style w:type="paragraph" w:customStyle="1" w:styleId="Bullet4">
    <w:name w:val="Bullet 4"/>
    <w:basedOn w:val="Normal"/>
    <w:pPr>
      <w:numPr>
        <w:numId w:val="40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41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5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B916A-2137-4867-A077-7879D9A4A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</Template>
  <TotalTime>3</TotalTime>
  <Pages>10</Pages>
  <Words>2478</Words>
  <Characters>14054</Characters>
  <Application>Microsoft Office Word</Application>
  <DocSecurity>0</DocSecurity>
  <Lines>305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TAVARES Ana (SG)</dc:creator>
  <cp:keywords/>
  <dc:description/>
  <cp:lastModifiedBy>LAGES CARVALHO Patrick (SG)</cp:lastModifiedBy>
  <cp:revision>19</cp:revision>
  <dcterms:created xsi:type="dcterms:W3CDTF">2020-12-14T07:16:00Z</dcterms:created>
  <dcterms:modified xsi:type="dcterms:W3CDTF">2021-01-27T10:04:00Z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7.0.9.0</vt:lpwstr>
  </property>
  <property fmtid="{D5CDD505-2E9C-101B-9397-08002B2CF9AE}" pid="4" name="Last edited using">
    <vt:lpwstr>LW 7.0, Build 20190717</vt:lpwstr>
  </property>
  <property fmtid="{D5CDD505-2E9C-101B-9397-08002B2CF9AE}" pid="5" name="Created using">
    <vt:lpwstr>LW 7.0.1, Build 20190916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Yellow (DQC version 03)</vt:lpwstr>
  </property>
</Properties>
</file>