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B0" w:rsidRDefault="00E06CDE" w:rsidP="00E06CDE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C6C7719E-56EA-4524-A141-9F70118572D8" style="width:450.6pt;height:391.2pt">
            <v:imagedata r:id="rId7" o:title=""/>
          </v:shape>
        </w:pict>
      </w:r>
    </w:p>
    <w:p w:rsidR="00E150B0" w:rsidRDefault="00E150B0">
      <w:pPr>
        <w:rPr>
          <w:noProof/>
        </w:rPr>
        <w:sectPr w:rsidR="00E150B0" w:rsidSect="00E06C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150B0" w:rsidRDefault="00E06CDE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E150B0" w:rsidRDefault="00E06CDE">
      <w:pPr>
        <w:pStyle w:val="ManualHeading1"/>
        <w:rPr>
          <w:rFonts w:eastAsia="Arial Unicode MS"/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</w:p>
    <w:p w:rsidR="00E150B0" w:rsidRDefault="00E06CDE">
      <w:pPr>
        <w:rPr>
          <w:noProof/>
        </w:rPr>
      </w:pPr>
      <w:r>
        <w:rPr>
          <w:noProof/>
        </w:rPr>
        <w:t xml:space="preserve">Комисията предлага Съветът да одобри позицията, която трябва да се заеме от името на Съюза в рамките </w:t>
      </w:r>
      <w:r>
        <w:rPr>
          <w:noProof/>
        </w:rPr>
        <w:t xml:space="preserve">на Съвместния комитет, създаден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(„Споразумението за оттегляне“), относно решение на Съвместния комитет </w:t>
      </w:r>
      <w:r>
        <w:rPr>
          <w:noProof/>
        </w:rPr>
        <w:t>за определяне на условията, при които се счита, че стоките не са обект на търговска преработка в Северна Ирландия, както и на условията, при които се счита, че за стоките, въведени в Северна Ирландия, не съществува риск да бъдат впоследствие изпратени в Съ</w:t>
      </w:r>
      <w:r>
        <w:rPr>
          <w:noProof/>
        </w:rPr>
        <w:t>юза.</w:t>
      </w:r>
    </w:p>
    <w:p w:rsidR="00E150B0" w:rsidRDefault="00E06CDE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Контекст на предложението</w:t>
      </w:r>
    </w:p>
    <w:p w:rsidR="00E150B0" w:rsidRDefault="00E06CD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 5, параграф 1 от Протокола за Ирландия/Северна Ирландия (наричан по-нататък „Протоколът“) се определя приложимият режим за митата за стоки, въведени в Северна Ирландия:</w:t>
      </w:r>
    </w:p>
    <w:p w:rsidR="00E150B0" w:rsidRDefault="00E06CDE">
      <w:pPr>
        <w:pStyle w:val="Tiret1"/>
        <w:numPr>
          <w:ilvl w:val="0"/>
          <w:numId w:val="11"/>
        </w:numPr>
        <w:rPr>
          <w:noProof/>
        </w:rPr>
      </w:pPr>
      <w:r>
        <w:rPr>
          <w:noProof/>
        </w:rPr>
        <w:t>за стоки, въведени в Северна Ирландия чрез дир</w:t>
      </w:r>
      <w:r>
        <w:rPr>
          <w:noProof/>
        </w:rPr>
        <w:t>ектен транспорт от друга част на Обединеното кралство: не се дължат мита, освен ако за тази стока съществува риск да бъде впоследствие изпратена в Съюза</w:t>
      </w:r>
    </w:p>
    <w:p w:rsidR="00E150B0" w:rsidRDefault="00E06CDE">
      <w:pPr>
        <w:pStyle w:val="Tiret1"/>
        <w:rPr>
          <w:noProof/>
        </w:rPr>
      </w:pPr>
      <w:r>
        <w:rPr>
          <w:noProof/>
        </w:rPr>
        <w:t>за стоки, въведени в Северна Ирландия от трети държави, различни от Обединеното кралство: митата, прило</w:t>
      </w:r>
      <w:r>
        <w:rPr>
          <w:noProof/>
        </w:rPr>
        <w:t>жими в Обединеното кралство, освен ако за стоката съществува риск да бъде впоследствие изпратена в Съюза.</w:t>
      </w:r>
    </w:p>
    <w:p w:rsidR="00E150B0" w:rsidRDefault="00E06CD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Съгласно член 5, параграф 2 от Протокола се счита, че за всяка стока, въведена в Северна Ирландия, съществува риск да бъде изпратена впоследствие в Съ</w:t>
      </w:r>
      <w:r>
        <w:rPr>
          <w:noProof/>
        </w:rPr>
        <w:t>юза, освен ако не се установи, че въпросната стока</w:t>
      </w:r>
    </w:p>
    <w:p w:rsidR="00E150B0" w:rsidRDefault="00E06CDE">
      <w:pPr>
        <w:pStyle w:val="Tiret1"/>
        <w:rPr>
          <w:noProof/>
        </w:rPr>
      </w:pPr>
      <w:r>
        <w:rPr>
          <w:noProof/>
        </w:rPr>
        <w:t>не е обект на търговска преработка в Северна Ирландия</w:t>
      </w:r>
    </w:p>
    <w:p w:rsidR="00E150B0" w:rsidRDefault="00E06CDE">
      <w:pPr>
        <w:pStyle w:val="Tiret1"/>
        <w:rPr>
          <w:noProof/>
        </w:rPr>
      </w:pPr>
      <w:r>
        <w:rPr>
          <w:noProof/>
        </w:rPr>
        <w:t xml:space="preserve">и изпълнява критериите, установени от Съвместния комитет, за определяне на стоките, за които не съществува риск да бъдат впоследствие изпратени в </w:t>
      </w:r>
      <w:r>
        <w:rPr>
          <w:noProof/>
        </w:rPr>
        <w:t>Съюза.</w:t>
      </w:r>
    </w:p>
    <w:p w:rsidR="00E150B0" w:rsidRDefault="00E06CD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 5, параграф 2 от Протокола се предвижда решение на Съвместния комитет за определяне на условията, при които е изпълнено всяко от тези изисквания, за да се счита, че за стоките не съществува риск да бъдат изпратени от Северна Ирландия в Съюза.</w:t>
      </w:r>
    </w:p>
    <w:p w:rsidR="00E150B0" w:rsidRDefault="00E06CDE">
      <w:pPr>
        <w:pStyle w:val="ManualHeading1"/>
        <w:rPr>
          <w:rFonts w:eastAsia="Arial Unicode MS"/>
          <w:noProof/>
        </w:rPr>
      </w:pPr>
      <w:r>
        <w:rPr>
          <w:noProof/>
        </w:rPr>
        <w:t>3.</w:t>
      </w:r>
      <w:r>
        <w:rPr>
          <w:noProof/>
        </w:rPr>
        <w:tab/>
        <w:t>Позиция, която трябва да се заеме от името на Съюза</w:t>
      </w:r>
    </w:p>
    <w:p w:rsidR="00E150B0" w:rsidRDefault="00E06CDE">
      <w:pPr>
        <w:pStyle w:val="ManualHeading2"/>
        <w:rPr>
          <w:noProof/>
        </w:rPr>
      </w:pPr>
      <w:r>
        <w:rPr>
          <w:noProof/>
        </w:rPr>
        <w:tab/>
        <w:t>Условия да се счита, че за определени стоки „не съществува риск“ да бъдат изпратени в Съюза</w:t>
      </w:r>
    </w:p>
    <w:p w:rsidR="00E150B0" w:rsidRDefault="00E150B0">
      <w:pPr>
        <w:pStyle w:val="ListParagraph"/>
        <w:spacing w:before="0" w:after="160" w:line="259" w:lineRule="auto"/>
        <w:rPr>
          <w:noProof/>
          <w:szCs w:val="24"/>
        </w:rPr>
      </w:pPr>
    </w:p>
    <w:p w:rsidR="00E150B0" w:rsidRDefault="00E06CDE">
      <w:pPr>
        <w:pStyle w:val="ListParagraph"/>
        <w:spacing w:before="0" w:after="160" w:line="259" w:lineRule="auto"/>
        <w:ind w:left="0"/>
        <w:rPr>
          <w:noProof/>
          <w:szCs w:val="24"/>
        </w:rPr>
      </w:pPr>
      <w:r>
        <w:rPr>
          <w:noProof/>
        </w:rPr>
        <w:t>Може да се счита, че за стоките, въведени в Северна Ирландия, „не съществува риск“ да бъдат впоследствие и</w:t>
      </w:r>
      <w:r>
        <w:rPr>
          <w:noProof/>
        </w:rPr>
        <w:t>зпратени в Съюза, ако:</w:t>
      </w:r>
    </w:p>
    <w:p w:rsidR="00E150B0" w:rsidRDefault="00E06CDE">
      <w:pPr>
        <w:pStyle w:val="Bullet1"/>
        <w:numPr>
          <w:ilvl w:val="0"/>
          <w:numId w:val="12"/>
        </w:numPr>
        <w:rPr>
          <w:noProof/>
        </w:rPr>
      </w:pPr>
      <w:r>
        <w:rPr>
          <w:noProof/>
        </w:rPr>
        <w:t>или липсва икономически стимул те да бъдат превозвани в ЕС през Северна Ирландия поради приложимата разлика в тарифите, което означава, че</w:t>
      </w:r>
    </w:p>
    <w:p w:rsidR="00E150B0" w:rsidRDefault="00E06CDE">
      <w:pPr>
        <w:pStyle w:val="Bullet2"/>
        <w:numPr>
          <w:ilvl w:val="0"/>
          <w:numId w:val="13"/>
        </w:numPr>
        <w:rPr>
          <w:noProof/>
        </w:rPr>
      </w:pPr>
      <w:r>
        <w:rPr>
          <w:noProof/>
        </w:rPr>
        <w:t>за стоки от Великобритания: митническата тарифа е нула</w:t>
      </w:r>
    </w:p>
    <w:p w:rsidR="00E150B0" w:rsidRDefault="00E06CDE">
      <w:pPr>
        <w:pStyle w:val="Bullet2"/>
        <w:rPr>
          <w:noProof/>
        </w:rPr>
      </w:pPr>
      <w:r>
        <w:rPr>
          <w:noProof/>
        </w:rPr>
        <w:t>за стоки от други трети държави: тарифа</w:t>
      </w:r>
      <w:r>
        <w:rPr>
          <w:noProof/>
        </w:rPr>
        <w:t>та на ЕС е по-ниска или равна на тарифата на Обединеното кралство,</w:t>
      </w:r>
    </w:p>
    <w:p w:rsidR="00E150B0" w:rsidRDefault="00E06CDE">
      <w:pPr>
        <w:pStyle w:val="Text1"/>
        <w:ind w:left="0"/>
        <w:rPr>
          <w:noProof/>
        </w:rPr>
      </w:pPr>
      <w:r>
        <w:rPr>
          <w:noProof/>
        </w:rPr>
        <w:t>или ако по друг начин се гарантира, че рискът от последващото им изпращане в ЕС е сведен до минимум, по-специално защото вносителят е признат за търговец, продаващ единствено на крайни потр</w:t>
      </w:r>
      <w:r>
        <w:rPr>
          <w:noProof/>
        </w:rPr>
        <w:t>ебители в Северна Ирландия („схема за доверени търговци“). Прилагането на член 5, параграф 1 от Протокола чрез схема за доверени търговци изисква особено внимателен мониторинг от страна на Съюза. С цел да се осигури възможност за Съюза да реагира, ако тази</w:t>
      </w:r>
      <w:r>
        <w:rPr>
          <w:noProof/>
        </w:rPr>
        <w:t xml:space="preserve"> схема се окаже недостатъчно надеждна, в решението на Съвместния комитет се предвиждат процедурни гаранции, даващи възможност за прекратяване на посочения в него подход (клауза за прекратяване на действието).</w:t>
      </w:r>
    </w:p>
    <w:p w:rsidR="00E150B0" w:rsidRDefault="00E06CDE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Правно основание</w:t>
      </w:r>
    </w:p>
    <w:p w:rsidR="00E150B0" w:rsidRDefault="00E06CDE">
      <w:pPr>
        <w:rPr>
          <w:noProof/>
        </w:rPr>
      </w:pPr>
      <w:r>
        <w:rPr>
          <w:noProof/>
        </w:rPr>
        <w:t>В член 218, параграф 9 от Д</w:t>
      </w:r>
      <w:r>
        <w:rPr>
          <w:noProof/>
        </w:rPr>
        <w:t>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</w:t>
      </w:r>
      <w:r>
        <w:rPr>
          <w:noProof/>
        </w:rPr>
        <w:t>ове с правно действие, с изключение на актовете за допълнение или изменение на институционалната рамка на споразумението“.</w:t>
      </w:r>
    </w:p>
    <w:p w:rsidR="00E150B0" w:rsidRDefault="00E06CDE">
      <w:pPr>
        <w:rPr>
          <w:noProof/>
        </w:rPr>
      </w:pPr>
      <w:r>
        <w:rPr>
          <w:noProof/>
        </w:rPr>
        <w:t>Решението, което Съвместният комитет има за задача да приеме, представлява акт с правно действие. Предвиденият акт ще бъде задължител</w:t>
      </w:r>
      <w:r>
        <w:rPr>
          <w:noProof/>
        </w:rPr>
        <w:t>ен за страните в съответствие с член 166 от Споразумението.</w:t>
      </w:r>
    </w:p>
    <w:p w:rsidR="00E150B0" w:rsidRDefault="00E06CDE"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 w:rsidR="00E150B0" w:rsidRDefault="00E06CDE"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 w:rsidR="00E150B0" w:rsidRDefault="00E06CDE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Публикуване</w:t>
      </w:r>
      <w:r>
        <w:rPr>
          <w:noProof/>
        </w:rPr>
        <w:t xml:space="preserve"> на предвидения акт</w:t>
      </w:r>
    </w:p>
    <w:p w:rsidR="00E150B0" w:rsidRDefault="00E06CDE">
      <w:pPr>
        <w:rPr>
          <w:noProof/>
        </w:rPr>
      </w:pPr>
      <w:r>
        <w:rPr>
          <w:noProof/>
        </w:rPr>
        <w:t xml:space="preserve">Тъй като решението на Съвместния комитет се отнася до прилагането на материалноправните разпоредби на Протокола, целесъобразно е след приемането му то да бъде публикувано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E150B0" w:rsidRDefault="00E150B0">
      <w:pPr>
        <w:rPr>
          <w:noProof/>
        </w:rPr>
        <w:sectPr w:rsidR="00E150B0" w:rsidSect="00E06CDE">
          <w:footerReference w:type="defaul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E150B0" w:rsidRDefault="00E06CDE" w:rsidP="00E06CDE">
      <w:pPr>
        <w:pStyle w:val="Rfrenceinterinstitutionnelle"/>
        <w:rPr>
          <w:noProof/>
        </w:rPr>
      </w:pPr>
      <w:r w:rsidRPr="00E06CDE">
        <w:t>2020/0368 (NLE)</w:t>
      </w:r>
    </w:p>
    <w:p w:rsidR="00E150B0" w:rsidRDefault="00E06CDE" w:rsidP="00E06CDE">
      <w:pPr>
        <w:pStyle w:val="Statut"/>
        <w:rPr>
          <w:noProof/>
        </w:rPr>
      </w:pPr>
      <w:r w:rsidRPr="00E06CDE">
        <w:t>Предложение за</w:t>
      </w:r>
    </w:p>
    <w:p w:rsidR="00E150B0" w:rsidRDefault="00E06CDE" w:rsidP="00E06CDE">
      <w:pPr>
        <w:pStyle w:val="Typedudocument"/>
        <w:rPr>
          <w:noProof/>
        </w:rPr>
      </w:pPr>
      <w:r w:rsidRPr="00E06CDE">
        <w:t>РЕШЕНИЕ НА СЪВЕТА</w:t>
      </w:r>
    </w:p>
    <w:p w:rsidR="00E150B0" w:rsidRDefault="00E06CDE" w:rsidP="00E06CDE">
      <w:pPr>
        <w:pStyle w:val="Titreobjet"/>
        <w:rPr>
          <w:noProof/>
        </w:rPr>
      </w:pPr>
      <w:r w:rsidRPr="00E06CDE">
        <w:t>съгласно член 218, параграф 9 от ДФЕС относно позицията на Съюза във връзка с проекта на Решение на Съвместния комитет относно определянето на стоките, за които не съществува риск</w:t>
      </w:r>
    </w:p>
    <w:p w:rsidR="00E150B0" w:rsidRDefault="00E06CDE">
      <w:pPr>
        <w:pStyle w:val="Institutionquiagit"/>
        <w:rPr>
          <w:b/>
          <w:noProof/>
        </w:rPr>
      </w:pPr>
      <w:r>
        <w:rPr>
          <w:b/>
          <w:noProof/>
        </w:rPr>
        <w:t>С</w:t>
      </w:r>
      <w:r>
        <w:rPr>
          <w:b/>
          <w:noProof/>
        </w:rPr>
        <w:t>ЪВЕТЪТ НА ЕВРОПЕЙСКИЯ СЪЮЗ,</w:t>
      </w:r>
    </w:p>
    <w:p w:rsidR="00E150B0" w:rsidRDefault="00E06CDE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[218, параграф 9] от него,</w:t>
      </w:r>
    </w:p>
    <w:p w:rsidR="00E150B0" w:rsidRDefault="00E06CDE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E150B0" w:rsidRDefault="00E06CDE">
      <w:pPr>
        <w:rPr>
          <w:noProof/>
        </w:rPr>
      </w:pPr>
      <w:r>
        <w:rPr>
          <w:noProof/>
        </w:rPr>
        <w:t>като има предвид, че:</w:t>
      </w:r>
    </w:p>
    <w:p w:rsidR="00E150B0" w:rsidRDefault="00E06CDE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Спор</w:t>
      </w:r>
      <w:r>
        <w:rPr>
          <w:noProof/>
        </w:rPr>
        <w:t>азумението за оттеглянето на Обединеното кралство Великобритания и Северна Ирландия от Европейския съюз и Европейската общност за атомна енергия („Споразумението за оттегляне“) беше сключено от Съюза с Решение</w:t>
      </w:r>
      <w:r>
        <w:rPr>
          <w:noProof/>
          <w:color w:val="000000"/>
          <w:szCs w:val="24"/>
        </w:rPr>
        <w:t> (ЕС) 2020/135</w:t>
      </w:r>
      <w:r>
        <w:rPr>
          <w:rStyle w:val="FootnoteReference"/>
          <w:noProof/>
          <w:color w:val="000000"/>
          <w:szCs w:val="24"/>
        </w:rPr>
        <w:footnoteReference w:id="2"/>
      </w:r>
      <w:r>
        <w:rPr>
          <w:rStyle w:val="FootnoteReference"/>
          <w:noProof/>
        </w:rPr>
        <w:t xml:space="preserve"> </w:t>
      </w:r>
      <w:r>
        <w:rPr>
          <w:noProof/>
        </w:rPr>
        <w:t xml:space="preserve">на Съвета от 30 януари 2020 г. </w:t>
      </w:r>
      <w:r>
        <w:rPr>
          <w:noProof/>
        </w:rPr>
        <w:t>и влезе в сила на 1 февруари 2020 г.</w:t>
      </w:r>
    </w:p>
    <w:p w:rsidR="00E150B0" w:rsidRDefault="00E06CDE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С член 166 от Споразумението за оттегляне Съвместният комитет се оправомощава да приема решения по всички въпроси, предвидени в Споразумението. Протоколът за Ирландия/Северна Ирландия към Споразумението за оттегляне</w:t>
      </w:r>
      <w:r>
        <w:rPr>
          <w:noProof/>
        </w:rPr>
        <w:t xml:space="preserve"> (наричан по-нататък „Протоколът“) съставлява неразделна част от това споразумение.</w:t>
      </w:r>
    </w:p>
    <w:p w:rsidR="00E150B0" w:rsidRDefault="00E06CDE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В член 5, параграф 1 от Протокола се предвижда налагането на митата, приложими в правото на Съюза, за стоки, въведени в Северна Ирландия, за които се счита, че съществу</w:t>
      </w:r>
      <w:r>
        <w:rPr>
          <w:noProof/>
        </w:rPr>
        <w:t>ва риск да бъдат впоследствие изпратени в Съюза. По отношение на стоките, за които не съществува риск, или не се дължат мита, или се налагат митата, приложими в Обединеното кралство.</w:t>
      </w:r>
    </w:p>
    <w:p w:rsidR="00E150B0" w:rsidRDefault="00E06CDE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Съгласно член 5, параграф 2 се счита, че за всички стоки, въведени в </w:t>
      </w:r>
      <w:r>
        <w:rPr>
          <w:noProof/>
        </w:rPr>
        <w:t>Северна Ирландия, съществува риск да бъдат изпратени впоследствие в Съюза. За да се счита, че „не съществува риск“ в този смисъл, стоките, въведени в Северна Ирландия, трябва да не бъдат обект на търговска преработка там или да изпълняват критериите, устан</w:t>
      </w:r>
      <w:r>
        <w:rPr>
          <w:noProof/>
        </w:rPr>
        <w:t>овени в решение на Съвместния комитет.</w:t>
      </w:r>
    </w:p>
    <w:p w:rsidR="00E150B0" w:rsidRDefault="00E06CDE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Критериите за стоките, които не са обект на търговска преработка, следва също така да отчитат факта, че съгласно член 6 от Протокола Северна Ирландия е част от митническата територия на Обединеното кралство, като </w:t>
      </w:r>
      <w:r>
        <w:rPr>
          <w:noProof/>
        </w:rPr>
        <w:t>следва да се отрази и ангажиментът на страните по Протокола, че прилагането му следва да се отрази във възможно най-малка степен върху всекидневния живот на общностите в Ирландия и Северна Ирландия.</w:t>
      </w:r>
    </w:p>
    <w:p w:rsidR="00E150B0" w:rsidRDefault="00E06CDE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Може да се счита, че за стоките, въведени в Северна И</w:t>
      </w:r>
      <w:r>
        <w:rPr>
          <w:noProof/>
        </w:rPr>
        <w:t>рландия, не съществува риск да бъдат впоследствие изпратени в Съюза, когато разликата в тарифите е нула или когато по друг начин се гарантира, че за икономическите оператори липсва стимул да превозват стоки в Северна Ирландия само като избор на приложимата</w:t>
      </w:r>
      <w:r>
        <w:rPr>
          <w:noProof/>
        </w:rPr>
        <w:t xml:space="preserve"> митническа тарифа.</w:t>
      </w:r>
    </w:p>
    <w:p w:rsidR="00E150B0" w:rsidRDefault="00E06CDE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Поради това е целесъобразно да се установи позицията, която трябва да се заеме от името на Съюза в рамките на Съвместния комитет,</w:t>
      </w:r>
    </w:p>
    <w:p w:rsidR="00E150B0" w:rsidRDefault="00E06CDE"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 w:rsidR="00E150B0" w:rsidRDefault="00E06CDE">
      <w:pPr>
        <w:pStyle w:val="Titrearticle"/>
        <w:rPr>
          <w:noProof/>
        </w:rPr>
      </w:pPr>
      <w:r>
        <w:rPr>
          <w:noProof/>
        </w:rPr>
        <w:t>Член 1</w:t>
      </w:r>
    </w:p>
    <w:p w:rsidR="00E150B0" w:rsidRDefault="00E06CDE"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</w:t>
      </w:r>
      <w:r>
        <w:rPr>
          <w:noProof/>
        </w:rPr>
        <w:t>местния комитет, създаден съгласно член 164 от Споразумението за оттегляне, относно решението, което трябва да бъде взето в съответствие с член 12 от Протокола, се основава на проекта на решение на Съвместния комитет, приложен към настоящото решение.</w:t>
      </w:r>
    </w:p>
    <w:p w:rsidR="00E150B0" w:rsidRDefault="00E06CDE">
      <w:pPr>
        <w:pStyle w:val="Titrearticle"/>
        <w:rPr>
          <w:noProof/>
        </w:rPr>
      </w:pPr>
      <w:r>
        <w:rPr>
          <w:noProof/>
        </w:rPr>
        <w:t>Член </w:t>
      </w:r>
      <w:r>
        <w:rPr>
          <w:noProof/>
        </w:rPr>
        <w:t>2</w:t>
      </w:r>
    </w:p>
    <w:p w:rsidR="00E150B0" w:rsidRDefault="00E06CDE">
      <w:pPr>
        <w:rPr>
          <w:noProof/>
        </w:rPr>
      </w:pPr>
      <w:r>
        <w:rPr>
          <w:noProof/>
        </w:rPr>
        <w:t xml:space="preserve">Решението на Съвместния комитет се публикува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.</w:t>
      </w:r>
    </w:p>
    <w:p w:rsidR="00E150B0" w:rsidRDefault="00E150B0">
      <w:pPr>
        <w:rPr>
          <w:noProof/>
        </w:rPr>
      </w:pPr>
    </w:p>
    <w:p w:rsidR="00E150B0" w:rsidRDefault="00E06CDE">
      <w:pPr>
        <w:pStyle w:val="Titrearticle"/>
        <w:keepNext w:val="0"/>
        <w:rPr>
          <w:noProof/>
        </w:rPr>
      </w:pPr>
      <w:r>
        <w:rPr>
          <w:noProof/>
        </w:rPr>
        <w:t>Член 3</w:t>
      </w:r>
    </w:p>
    <w:p w:rsidR="00E150B0" w:rsidRDefault="00E06CDE">
      <w:pPr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 w:rsidR="00E150B0" w:rsidRDefault="00E150B0">
      <w:pPr>
        <w:keepNext/>
        <w:keepLines/>
        <w:rPr>
          <w:noProof/>
        </w:rPr>
      </w:pPr>
    </w:p>
    <w:p w:rsidR="00E150B0" w:rsidRDefault="00E06CDE" w:rsidP="00E06CDE">
      <w:pPr>
        <w:pStyle w:val="Fait"/>
        <w:rPr>
          <w:noProof/>
        </w:rPr>
      </w:pPr>
      <w:r w:rsidRPr="00E06CDE">
        <w:t xml:space="preserve">Съставено в Брюксел на </w:t>
      </w:r>
      <w:r w:rsidRPr="00E06CDE">
        <w:rPr>
          <w:rStyle w:val="Marker"/>
        </w:rPr>
        <w:t>[…]</w:t>
      </w:r>
      <w:r w:rsidRPr="00E06CDE">
        <w:t xml:space="preserve"> година.</w:t>
      </w:r>
    </w:p>
    <w:p w:rsidR="00E150B0" w:rsidRDefault="00E06CDE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Съвета</w:t>
      </w:r>
    </w:p>
    <w:p w:rsidR="00E150B0" w:rsidRDefault="00E06CDE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E150B0" w:rsidSect="00E06CDE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B0" w:rsidRDefault="00E06CDE">
      <w:pPr>
        <w:spacing w:before="0" w:after="0"/>
      </w:pPr>
      <w:r>
        <w:separator/>
      </w:r>
    </w:p>
  </w:endnote>
  <w:endnote w:type="continuationSeparator" w:id="0">
    <w:p w:rsidR="00E150B0" w:rsidRDefault="00E06CDE">
      <w:pPr>
        <w:spacing w:before="0" w:after="0"/>
      </w:pPr>
      <w:r>
        <w:continuationSeparator/>
      </w:r>
    </w:p>
  </w:endnote>
  <w:endnote w:type="continuationNotice" w:id="1">
    <w:p w:rsidR="00E150B0" w:rsidRDefault="00E150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E" w:rsidRPr="00E06CDE" w:rsidRDefault="00E06CDE" w:rsidP="00E06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B0" w:rsidRPr="00E06CDE" w:rsidRDefault="00E06CDE" w:rsidP="00E06CDE">
    <w:pPr>
      <w:pStyle w:val="Footer"/>
      <w:rPr>
        <w:rFonts w:ascii="Arial" w:hAnsi="Arial" w:cs="Arial"/>
        <w:b/>
        <w:sz w:val="48"/>
      </w:rPr>
    </w:pPr>
    <w:r w:rsidRPr="00E06CDE">
      <w:rPr>
        <w:rFonts w:ascii="Arial" w:hAnsi="Arial" w:cs="Arial"/>
        <w:b/>
        <w:sz w:val="48"/>
      </w:rPr>
      <w:t>BG</w:t>
    </w:r>
    <w:r w:rsidRPr="00E06CDE">
      <w:rPr>
        <w:rFonts w:ascii="Arial" w:hAnsi="Arial" w:cs="Arial"/>
        <w:b/>
        <w:sz w:val="48"/>
      </w:rPr>
      <w:tab/>
    </w:r>
    <w:r w:rsidRPr="00E06CDE">
      <w:rPr>
        <w:rFonts w:ascii="Arial" w:hAnsi="Arial" w:cs="Arial"/>
        <w:b/>
        <w:sz w:val="48"/>
      </w:rPr>
      <w:tab/>
    </w:r>
    <w:r w:rsidRPr="00E06CDE">
      <w:tab/>
    </w:r>
    <w:r w:rsidRPr="00E06CDE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E" w:rsidRPr="00E06CDE" w:rsidRDefault="00E06CDE" w:rsidP="00E06C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B0" w:rsidRPr="00E06CDE" w:rsidRDefault="00E06CDE" w:rsidP="00E06CDE">
    <w:pPr>
      <w:pStyle w:val="Footer"/>
      <w:rPr>
        <w:rFonts w:ascii="Arial" w:hAnsi="Arial" w:cs="Arial"/>
        <w:b/>
        <w:sz w:val="48"/>
      </w:rPr>
    </w:pPr>
    <w:r w:rsidRPr="00E06CDE">
      <w:rPr>
        <w:rFonts w:ascii="Arial" w:hAnsi="Arial" w:cs="Arial"/>
        <w:b/>
        <w:sz w:val="48"/>
      </w:rPr>
      <w:t>BG</w:t>
    </w:r>
    <w:r w:rsidRPr="00E06CD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 w:rsidRPr="00E06CDE">
      <w:tab/>
    </w:r>
    <w:r w:rsidRPr="00E06CDE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E" w:rsidRPr="00E06CDE" w:rsidRDefault="00E06CDE" w:rsidP="00E06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B0" w:rsidRDefault="00E06CDE">
      <w:pPr>
        <w:spacing w:before="0" w:after="0"/>
      </w:pPr>
      <w:r>
        <w:separator/>
      </w:r>
    </w:p>
  </w:footnote>
  <w:footnote w:type="continuationSeparator" w:id="0">
    <w:p w:rsidR="00E150B0" w:rsidRDefault="00E06CDE">
      <w:pPr>
        <w:spacing w:before="0" w:after="0"/>
      </w:pPr>
      <w:r>
        <w:continuationSeparator/>
      </w:r>
    </w:p>
  </w:footnote>
  <w:footnote w:type="continuationNotice" w:id="1">
    <w:p w:rsidR="00E150B0" w:rsidRDefault="00E150B0">
      <w:pPr>
        <w:spacing w:before="0" w:after="0"/>
      </w:pPr>
    </w:p>
  </w:footnote>
  <w:footnote w:id="2">
    <w:p w:rsidR="00E150B0" w:rsidRDefault="00E06CDE">
      <w:pPr>
        <w:pStyle w:val="FootnoteText"/>
      </w:pPr>
      <w:r>
        <w:rPr>
          <w:rStyle w:val="FootnoteReference"/>
        </w:rPr>
        <w:footnoteRef/>
      </w:r>
      <w:r>
        <w:tab/>
        <w:t>ОВ L 29, 31.1.2020 г., стр. 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E" w:rsidRPr="00E06CDE" w:rsidRDefault="00E06CDE" w:rsidP="00E06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E" w:rsidRPr="00E06CDE" w:rsidRDefault="00E06CDE" w:rsidP="00E06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E" w:rsidRPr="00E06CDE" w:rsidRDefault="00E06CDE" w:rsidP="00E06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EF60C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BD866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30A76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C3EFB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B58AD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DEEB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1361D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21868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 w:numId="28">
    <w:abstractNumId w:val="18"/>
  </w:num>
  <w:num w:numId="29">
    <w:abstractNumId w:val="12"/>
  </w:num>
  <w:num w:numId="30">
    <w:abstractNumId w:val="20"/>
  </w:num>
  <w:num w:numId="31">
    <w:abstractNumId w:val="11"/>
  </w:num>
  <w:num w:numId="32">
    <w:abstractNumId w:val="13"/>
  </w:num>
  <w:num w:numId="33">
    <w:abstractNumId w:val="9"/>
  </w:num>
  <w:num w:numId="34">
    <w:abstractNumId w:val="19"/>
  </w:num>
  <w:num w:numId="35">
    <w:abstractNumId w:val="8"/>
  </w:num>
  <w:num w:numId="36">
    <w:abstractNumId w:val="14"/>
  </w:num>
  <w:num w:numId="37">
    <w:abstractNumId w:val="16"/>
  </w:num>
  <w:num w:numId="38">
    <w:abstractNumId w:val="17"/>
  </w:num>
  <w:num w:numId="39">
    <w:abstractNumId w:val="10"/>
  </w:num>
  <w:num w:numId="40">
    <w:abstractNumId w:val="15"/>
  </w:num>
  <w:num w:numId="4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14 09:41:0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2"/>
    <w:docVar w:name="DQCStatus" w:val="Yellow"/>
    <w:docVar w:name="DQCVersion" w:val="3"/>
    <w:docVar w:name="DQCWithWarnings" w:val="0"/>
    <w:docVar w:name="LW_CORRIGENDUM" w:val="COM(2020) 834 final of 10.12.2020 downgraded on 27.1.2021"/>
    <w:docVar w:name="LW_COVERPAGE_EXISTS" w:val="True"/>
    <w:docVar w:name="LW_COVERPAGE_GUID" w:val="C6C7719E-56EA-4524-A141-9F70118572D8"/>
    <w:docVar w:name="LW_COVERPAGE_TYPE" w:val="1"/>
    <w:docVar w:name="LW_CROSSREFERENCE" w:val="&lt;UNUSED&gt;"/>
    <w:docVar w:name="LW_DocType" w:val="COM"/>
    <w:docVar w:name="LW_EMISSION" w:val="27.1.2021"/>
    <w:docVar w:name="LW_EMISSION_ISODATE" w:val="2021-01-27"/>
    <w:docVar w:name="LW_EMISSION_LOCATION" w:val="BRX"/>
    <w:docVar w:name="LW_EMISSION_PREFIX" w:val="\u1041?\u1088?\u1102?\u1082?\u1089?\u1077?\u1083?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68"/>
    <w:docVar w:name="LW_REF.II.NEW.CP_YEAR" w:val="2020"/>
    <w:docVar w:name="LW_REF.INST.NEW" w:val="COM"/>
    <w:docVar w:name="LW_REF.INST.NEW_ADOPTED" w:val="final/2"/>
    <w:docVar w:name="LW_REF.INST.NEW_TEXT" w:val="(2020) 8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9?\u1098?\u1075?\u1083?\u1072?\u1089?\u1085?\u1086? \u1095?\u1083?\u1077?\u1085? 218, \u1087?\u1072?\u1088?\u1072?\u1075?\u1088?\u1072?\u1092? 9 \u1086?\u1090? \u1044?\u1060?\u1045?\u1057? \u1086?\u1090?\u1085?\u1086?\u1089?\u1085?\u1086? \u1087?\u1086?\u1079?\u1080?\u1094?\u1080?\u1103?\u1090?\u1072? \u1085?\u1072? \u1057?\u1098?\u1102?\u1079?\u1072? \u1074?\u1098?\u1074? \u1074?\u1088?\u1098?\u1079?\u1082?\u1072? \u1089? \u1087?\u1088?\u1086?\u1077?\u1082?\u1090?\u1072? \u1085?\u1072? \u1056?\u1077?\u1096?\u1077?\u1085?\u1080?\u1077? \u1085?\u1072? \u1057?\u1098?\u1074?\u1084?\u1077?\u1089?\u1090?\u1085?\u1080?\u1103? \u1082?\u1086?\u1084?\u1080?\u1090?\u1077?\u1090? \u1086?\u1090?\u1085?\u1086?\u1089?\u1085?\u1086? \u1086?\u1087?\u1088?\u1077?\u1076?\u1077?\u1083?\u1103?\u1085?\u1077?\u1090?\u1086? \u1085?\u1072? \u1089?\u1090?\u1086?\u1082?\u1080?\u1090?\u1077?, \u1079?\u1072? \u1082?\u1086?\u1080?\u1090?\u1086? \u1085?\u1077? \u1089?\u1098?\u1097?\u1077?\u1089?\u1090?\u1074?\u1091?\u1074?\u1072? \u1088?\u1080?\u1089?\u1082?"/>
    <w:docVar w:name="LW_TYPE.DOC.CP" w:val="\u1056?\u1045?\u1064?\u1045?\u1053?\u1048?\u1045? \u1053?\u1040? \u1057?\u1066?\u1042?\u1045?\u1058?\u1040?"/>
  </w:docVars>
  <w:rsids>
    <w:rsidRoot w:val="00E150B0"/>
    <w:rsid w:val="00E06CDE"/>
    <w:rsid w:val="00E1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6EC7B5A-8A02-446A-8A51-23533C15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ragraph">
    <w:name w:val="Paragraph"/>
    <w:basedOn w:val="Normal"/>
    <w:pPr>
      <w:spacing w:before="0" w:after="160" w:line="259" w:lineRule="auto"/>
    </w:pPr>
    <w:rPr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06CDE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06CDE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6CD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E06CDE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E06CD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E06CD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E06C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E06CDE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E06C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10</TotalTime>
  <Pages>5</Pages>
  <Words>1146</Words>
  <Characters>6307</Characters>
  <Application>Microsoft Office Word</Application>
  <DocSecurity>0</DocSecurity>
  <Lines>134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LAGES CARVALHO Patrick (SG)</cp:lastModifiedBy>
  <cp:revision>39</cp:revision>
  <dcterms:created xsi:type="dcterms:W3CDTF">2020-12-11T08:08:00Z</dcterms:created>
  <dcterms:modified xsi:type="dcterms:W3CDTF">2021-01-27T10:03:00Z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Yellow (DQC version 03)</vt:lpwstr>
  </property>
</Properties>
</file>