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68D" w:rsidRDefault="000804DF" w:rsidP="000804DF">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DBDC3DB4-D827-4FC3-B4C1-F655BB4C6C26" style="width:450.6pt;height:425.4pt">
            <v:imagedata r:id="rId8" o:title=""/>
          </v:shape>
        </w:pict>
      </w:r>
    </w:p>
    <w:p w:rsidR="0068568D" w:rsidRDefault="0068568D">
      <w:pPr>
        <w:rPr>
          <w:noProof/>
        </w:rPr>
        <w:sectPr w:rsidR="0068568D" w:rsidSect="000804DF">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68568D" w:rsidRDefault="000804DF">
      <w:pPr>
        <w:pStyle w:val="Annexetitre"/>
        <w:rPr>
          <w:rFonts w:eastAsia="Times New Roman"/>
          <w:i/>
          <w:noProof/>
          <w:szCs w:val="24"/>
        </w:rPr>
      </w:pPr>
      <w:bookmarkStart w:id="0" w:name="_GoBack"/>
      <w:bookmarkEnd w:id="0"/>
      <w:r>
        <w:rPr>
          <w:i/>
          <w:noProof/>
          <w:szCs w:val="24"/>
        </w:rPr>
        <w:lastRenderedPageBreak/>
        <w:t>PROJET DE DÉCISION</w:t>
      </w:r>
    </w:p>
    <w:p w:rsidR="0068568D" w:rsidRDefault="0068568D">
      <w:pPr>
        <w:rPr>
          <w:noProof/>
        </w:rPr>
      </w:pPr>
    </w:p>
    <w:p w:rsidR="0068568D" w:rsidRDefault="000804DF">
      <w:pPr>
        <w:spacing w:after="240"/>
        <w:rPr>
          <w:rFonts w:eastAsia="Times New Roman"/>
          <w:noProof/>
          <w:szCs w:val="24"/>
        </w:rPr>
      </w:pPr>
      <w:r>
        <w:rPr>
          <w:noProof/>
        </w:rPr>
        <w:t>LE COMITÉ MIXTE,</w:t>
      </w:r>
    </w:p>
    <w:p w:rsidR="0068568D" w:rsidRDefault="000804DF">
      <w:pPr>
        <w:spacing w:after="240"/>
        <w:rPr>
          <w:rFonts w:eastAsia="Times New Roman"/>
          <w:noProof/>
          <w:szCs w:val="24"/>
        </w:rPr>
      </w:pPr>
      <w:r>
        <w:rPr>
          <w:noProof/>
        </w:rPr>
        <w:t>vu le protocole sur l’Irlande et l’Irlande du Nord de l’accord sur le retrait du Royaume-Uni de Grande-Bretagne</w:t>
      </w:r>
      <w:r>
        <w:rPr>
          <w:noProof/>
        </w:rPr>
        <w:t xml:space="preserve"> et d’Irlande du Nord de l’Union européenne et de la Communauté européenne de l’énergie atomique, et notamment son article 5, paragraphe 2,</w:t>
      </w:r>
    </w:p>
    <w:p w:rsidR="0068568D" w:rsidRDefault="000804DF">
      <w:pPr>
        <w:spacing w:after="240"/>
        <w:rPr>
          <w:rFonts w:eastAsia="Times New Roman"/>
          <w:noProof/>
          <w:szCs w:val="24"/>
        </w:rPr>
      </w:pPr>
      <w:r>
        <w:rPr>
          <w:noProof/>
        </w:rPr>
        <w:t>DÉCIDE:</w:t>
      </w:r>
    </w:p>
    <w:p w:rsidR="0068568D" w:rsidRDefault="000804DF">
      <w:pPr>
        <w:pStyle w:val="Titrearticle"/>
        <w:rPr>
          <w:noProof/>
        </w:rPr>
      </w:pPr>
      <w:r>
        <w:rPr>
          <w:noProof/>
        </w:rPr>
        <w:t>Article premier</w:t>
      </w:r>
    </w:p>
    <w:p w:rsidR="0068568D" w:rsidRDefault="000804DF">
      <w:pPr>
        <w:keepNext/>
        <w:spacing w:after="360"/>
        <w:jc w:val="center"/>
        <w:rPr>
          <w:rFonts w:eastAsia="Times New Roman"/>
          <w:i/>
          <w:noProof/>
          <w:szCs w:val="24"/>
        </w:rPr>
      </w:pPr>
      <w:r>
        <w:rPr>
          <w:i/>
          <w:noProof/>
          <w:szCs w:val="24"/>
        </w:rPr>
        <w:t>Objet</w:t>
      </w:r>
    </w:p>
    <w:p w:rsidR="0068568D" w:rsidRDefault="000804DF">
      <w:pPr>
        <w:spacing w:after="240"/>
        <w:rPr>
          <w:rFonts w:eastAsia="Times New Roman"/>
          <w:noProof/>
          <w:szCs w:val="24"/>
        </w:rPr>
      </w:pPr>
      <w:r>
        <w:rPr>
          <w:noProof/>
        </w:rPr>
        <w:t>La présente décision fixe les modalités d’application de l’article 5, paragraphe 2, du</w:t>
      </w:r>
      <w:r>
        <w:rPr>
          <w:noProof/>
        </w:rPr>
        <w:t xml:space="preserve"> protocole sur l’Irlande et l’Irlande du Nord (ci-après dénommé «protocole») en ce qui concerne:</w:t>
      </w:r>
    </w:p>
    <w:p w:rsidR="0068568D" w:rsidRDefault="000804DF">
      <w:pPr>
        <w:pStyle w:val="Point0"/>
        <w:rPr>
          <w:noProof/>
        </w:rPr>
      </w:pPr>
      <w:r>
        <w:rPr>
          <w:noProof/>
        </w:rPr>
        <w:t>a)</w:t>
      </w:r>
      <w:r>
        <w:rPr>
          <w:noProof/>
        </w:rPr>
        <w:tab/>
        <w:t xml:space="preserve">les conditions permettant de considérer qu’une marchandise introduite en Irlande du Nord et ne provenant pas de l’Union ne sera pas soumise à un traitement </w:t>
      </w:r>
      <w:r>
        <w:rPr>
          <w:noProof/>
        </w:rPr>
        <w:t>commercial en Irlande du Nord;</w:t>
      </w:r>
    </w:p>
    <w:p w:rsidR="0068568D" w:rsidRDefault="000804DF">
      <w:pPr>
        <w:pStyle w:val="Point0"/>
        <w:rPr>
          <w:rFonts w:eastAsia="Times New Roman"/>
          <w:noProof/>
          <w:color w:val="000000"/>
          <w:szCs w:val="24"/>
        </w:rPr>
      </w:pPr>
      <w:r>
        <w:rPr>
          <w:noProof/>
        </w:rPr>
        <w:t>b)</w:t>
      </w:r>
      <w:r>
        <w:rPr>
          <w:noProof/>
        </w:rPr>
        <w:tab/>
        <w:t>les critères permettant de considérer qu’une marchandise introduite en Irlande du Nord et ne provenant pas de l’Union ne risque pas d’être ensuite introduite dans l’Union.</w:t>
      </w:r>
    </w:p>
    <w:p w:rsidR="0068568D" w:rsidRDefault="000804DF">
      <w:pPr>
        <w:pStyle w:val="Titrearticle"/>
        <w:rPr>
          <w:rFonts w:eastAsia="Times New Roman"/>
          <w:i w:val="0"/>
          <w:noProof/>
          <w:szCs w:val="24"/>
        </w:rPr>
      </w:pPr>
      <w:r>
        <w:rPr>
          <w:noProof/>
        </w:rPr>
        <w:t>Article 2</w:t>
      </w:r>
    </w:p>
    <w:p w:rsidR="0068568D" w:rsidRDefault="000804DF">
      <w:pPr>
        <w:keepNext/>
        <w:spacing w:after="360"/>
        <w:jc w:val="center"/>
        <w:rPr>
          <w:rFonts w:eastAsia="Times New Roman"/>
          <w:noProof/>
          <w:szCs w:val="24"/>
        </w:rPr>
      </w:pPr>
      <w:r>
        <w:rPr>
          <w:i/>
          <w:noProof/>
          <w:szCs w:val="24"/>
        </w:rPr>
        <w:t>Traitement non commercial</w:t>
      </w:r>
    </w:p>
    <w:p w:rsidR="0068568D" w:rsidRDefault="000804DF">
      <w:pPr>
        <w:spacing w:after="240"/>
        <w:rPr>
          <w:rFonts w:eastAsia="Times New Roman"/>
          <w:noProof/>
          <w:szCs w:val="24"/>
        </w:rPr>
      </w:pPr>
      <w:r>
        <w:rPr>
          <w:noProof/>
        </w:rPr>
        <w:t xml:space="preserve">Une </w:t>
      </w:r>
      <w:r>
        <w:rPr>
          <w:noProof/>
        </w:rPr>
        <w:t>marchandise n’est pas considérée comme soumise à un traitement commercial si:</w:t>
      </w:r>
    </w:p>
    <w:p w:rsidR="0068568D" w:rsidRDefault="000804DF">
      <w:pPr>
        <w:pStyle w:val="Point0"/>
        <w:rPr>
          <w:rFonts w:eastAsia="Times New Roman"/>
          <w:noProof/>
          <w:szCs w:val="24"/>
        </w:rPr>
      </w:pPr>
      <w:r>
        <w:rPr>
          <w:noProof/>
        </w:rPr>
        <w:t>a)</w:t>
      </w:r>
      <w:r>
        <w:rPr>
          <w:noProof/>
        </w:rPr>
        <w:tab/>
        <w:t>la personne ayant déposé une déclaration de mise en libre pratique pour ladite marchandise, ou la personne pour le compte de laquelle une telle déclaration est déposée (ci-apr</w:t>
      </w:r>
      <w:r>
        <w:rPr>
          <w:noProof/>
        </w:rPr>
        <w:t>ès dénommée «importateur») a réalisé un chiffre d’affaires annuel total de moins de 500 000 GBP au cours de l’exercice clos le plus récent; ou</w:t>
      </w:r>
    </w:p>
    <w:p w:rsidR="0068568D" w:rsidRDefault="000804DF">
      <w:pPr>
        <w:pStyle w:val="Point0"/>
        <w:rPr>
          <w:rFonts w:eastAsia="Times New Roman"/>
          <w:noProof/>
          <w:szCs w:val="24"/>
        </w:rPr>
      </w:pPr>
      <w:bookmarkStart w:id="1" w:name="_gjdgxs"/>
      <w:bookmarkEnd w:id="1"/>
      <w:r>
        <w:rPr>
          <w:noProof/>
        </w:rPr>
        <w:t>b)</w:t>
      </w:r>
      <w:r>
        <w:rPr>
          <w:noProof/>
        </w:rPr>
        <w:tab/>
        <w:t>le traitement est effectué en Irlande du Nord, aux seules fins suivantes:</w:t>
      </w:r>
    </w:p>
    <w:p w:rsidR="0068568D" w:rsidRDefault="000804DF">
      <w:pPr>
        <w:pStyle w:val="Point1"/>
        <w:rPr>
          <w:noProof/>
        </w:rPr>
      </w:pPr>
      <w:r>
        <w:rPr>
          <w:noProof/>
        </w:rPr>
        <w:t>i)</w:t>
      </w:r>
      <w:r>
        <w:rPr>
          <w:noProof/>
        </w:rPr>
        <w:tab/>
        <w:t xml:space="preserve">la vente de denrées alimentaires </w:t>
      </w:r>
      <w:r>
        <w:rPr>
          <w:noProof/>
        </w:rPr>
        <w:t>à un consommateur final au Royaume-Uni;</w:t>
      </w:r>
    </w:p>
    <w:p w:rsidR="0068568D" w:rsidRDefault="000804DF">
      <w:pPr>
        <w:pStyle w:val="Point1"/>
        <w:rPr>
          <w:noProof/>
        </w:rPr>
      </w:pPr>
      <w:r>
        <w:rPr>
          <w:noProof/>
        </w:rPr>
        <w:t>ii)</w:t>
      </w:r>
      <w:r>
        <w:rPr>
          <w:noProof/>
        </w:rPr>
        <w:tab/>
        <w:t>la construction par l’importateur d’une structure dont les marchandises traitées forment une partie permanente et qui est située en Irlande du Nord;</w:t>
      </w:r>
    </w:p>
    <w:p w:rsidR="0068568D" w:rsidRDefault="000804DF">
      <w:pPr>
        <w:pStyle w:val="Point1"/>
        <w:rPr>
          <w:noProof/>
        </w:rPr>
      </w:pPr>
      <w:r>
        <w:rPr>
          <w:noProof/>
        </w:rPr>
        <w:t>iii)</w:t>
      </w:r>
      <w:r>
        <w:rPr>
          <w:noProof/>
        </w:rPr>
        <w:tab/>
        <w:t>la fourniture directe par l’importateur de services de san</w:t>
      </w:r>
      <w:r>
        <w:rPr>
          <w:noProof/>
        </w:rPr>
        <w:t>té ou de soins à un bénéficiaire en Irlande du Nord;</w:t>
      </w:r>
    </w:p>
    <w:p w:rsidR="0068568D" w:rsidRDefault="000804DF">
      <w:pPr>
        <w:pStyle w:val="Point1"/>
        <w:rPr>
          <w:noProof/>
        </w:rPr>
      </w:pPr>
      <w:r>
        <w:rPr>
          <w:noProof/>
        </w:rPr>
        <w:t>iv)</w:t>
      </w:r>
      <w:r>
        <w:rPr>
          <w:noProof/>
        </w:rPr>
        <w:tab/>
        <w:t>des fins non lucratives en Irlande du Nord, excluant toute revente de la marchandise traitée par l’importateur; ou</w:t>
      </w:r>
    </w:p>
    <w:p w:rsidR="0068568D" w:rsidRDefault="000804DF">
      <w:pPr>
        <w:pStyle w:val="Point1"/>
        <w:rPr>
          <w:noProof/>
        </w:rPr>
      </w:pPr>
      <w:r>
        <w:rPr>
          <w:noProof/>
        </w:rPr>
        <w:t>v)</w:t>
      </w:r>
      <w:r>
        <w:rPr>
          <w:noProof/>
        </w:rPr>
        <w:tab/>
        <w:t>l’utilisation finale d’aliments pour animaux par l’importateur sur un site en Irl</w:t>
      </w:r>
      <w:r>
        <w:rPr>
          <w:noProof/>
        </w:rPr>
        <w:t>ande du Nord.</w:t>
      </w:r>
    </w:p>
    <w:p w:rsidR="0068568D" w:rsidRDefault="000804DF">
      <w:pPr>
        <w:pStyle w:val="Titrearticle"/>
        <w:rPr>
          <w:rFonts w:eastAsia="Times New Roman"/>
          <w:i w:val="0"/>
          <w:noProof/>
          <w:szCs w:val="24"/>
        </w:rPr>
      </w:pPr>
      <w:r>
        <w:rPr>
          <w:noProof/>
        </w:rPr>
        <w:t>Article 3</w:t>
      </w:r>
    </w:p>
    <w:p w:rsidR="0068568D" w:rsidRDefault="000804DF">
      <w:pPr>
        <w:keepNext/>
        <w:spacing w:after="360"/>
        <w:jc w:val="center"/>
        <w:rPr>
          <w:rFonts w:eastAsia="Times New Roman"/>
          <w:i/>
          <w:noProof/>
          <w:szCs w:val="24"/>
        </w:rPr>
      </w:pPr>
      <w:r>
        <w:rPr>
          <w:i/>
          <w:noProof/>
          <w:szCs w:val="24"/>
        </w:rPr>
        <w:t>Critères permettant de considérer que des marchandises ne risquent pas d’être ensuite introduites dans l’Union</w:t>
      </w:r>
    </w:p>
    <w:p w:rsidR="0068568D" w:rsidRDefault="000804DF">
      <w:pPr>
        <w:pStyle w:val="NumPar1"/>
        <w:numPr>
          <w:ilvl w:val="0"/>
          <w:numId w:val="9"/>
        </w:numPr>
        <w:rPr>
          <w:noProof/>
        </w:rPr>
      </w:pPr>
      <w:r>
        <w:rPr>
          <w:noProof/>
        </w:rPr>
        <w:t>N’est pas considérée comme présentant un risque d’être ensuite introduite dans l’Union toute marchandise qui n’est pas co</w:t>
      </w:r>
      <w:r>
        <w:rPr>
          <w:noProof/>
        </w:rPr>
        <w:t>nsidérée comme soumise à un traitement commercial par application de l’article 2 et lorsque:</w:t>
      </w:r>
    </w:p>
    <w:p w:rsidR="0068568D" w:rsidRDefault="0068568D">
      <w:pPr>
        <w:pBdr>
          <w:top w:val="nil"/>
          <w:left w:val="nil"/>
          <w:bottom w:val="nil"/>
          <w:right w:val="nil"/>
          <w:between w:val="nil"/>
        </w:pBdr>
        <w:spacing w:after="0"/>
        <w:ind w:left="357"/>
        <w:rPr>
          <w:rFonts w:eastAsia="Times New Roman"/>
          <w:noProof/>
          <w:color w:val="000000"/>
          <w:szCs w:val="24"/>
        </w:rPr>
      </w:pPr>
    </w:p>
    <w:p w:rsidR="0068568D" w:rsidRDefault="000804DF">
      <w:pPr>
        <w:pStyle w:val="Point1"/>
        <w:rPr>
          <w:noProof/>
        </w:rPr>
      </w:pPr>
      <w:r>
        <w:rPr>
          <w:noProof/>
        </w:rPr>
        <w:t>a)</w:t>
      </w:r>
      <w:r>
        <w:rPr>
          <w:noProof/>
        </w:rPr>
        <w:tab/>
        <w:t>dans le cas d’une marchandise introduite en Irlande du Nord par transport direct à partir d’une autre partie du Royaume-Uni:</w:t>
      </w:r>
    </w:p>
    <w:p w:rsidR="0068568D" w:rsidRDefault="000804DF">
      <w:pPr>
        <w:pStyle w:val="Point2"/>
        <w:rPr>
          <w:noProof/>
        </w:rPr>
      </w:pPr>
      <w:r>
        <w:rPr>
          <w:noProof/>
        </w:rPr>
        <w:t>i)</w:t>
      </w:r>
      <w:r>
        <w:rPr>
          <w:noProof/>
        </w:rPr>
        <w:tab/>
        <w:t xml:space="preserve">les droits exigibles en </w:t>
      </w:r>
      <w:r>
        <w:rPr>
          <w:noProof/>
        </w:rPr>
        <w:t>application du tarif douanier commun de l’Union sont nuls, ou</w:t>
      </w:r>
    </w:p>
    <w:p w:rsidR="0068568D" w:rsidRDefault="000804DF">
      <w:pPr>
        <w:pStyle w:val="Point2"/>
        <w:rPr>
          <w:noProof/>
        </w:rPr>
      </w:pPr>
      <w:r>
        <w:rPr>
          <w:noProof/>
        </w:rPr>
        <w:t>ii)</w:t>
      </w:r>
      <w:r>
        <w:rPr>
          <w:noProof/>
        </w:rPr>
        <w:tab/>
        <w:t>l’importateur a été autorisé, conformément aux articles 5 à 7 de la présente décision, à introduire cette marchandise en Irlande du Nord aux fins de la vendre à des consommateurs finaux situ</w:t>
      </w:r>
      <w:r>
        <w:rPr>
          <w:noProof/>
        </w:rPr>
        <w:t>és au Royaume-Uni, ou de la destiner à une utilisation finale par lesdits consommateurs, et ce même lorsque la marchandise est soumise à un traitement non commercial, au sens de l’article 2, avant la vente ou l’utilisation finale susmentionnées;</w:t>
      </w:r>
    </w:p>
    <w:p w:rsidR="0068568D" w:rsidRDefault="0068568D">
      <w:pPr>
        <w:pBdr>
          <w:top w:val="nil"/>
          <w:left w:val="nil"/>
          <w:bottom w:val="nil"/>
          <w:right w:val="nil"/>
          <w:between w:val="nil"/>
        </w:pBdr>
        <w:spacing w:after="0"/>
        <w:ind w:left="1437"/>
        <w:rPr>
          <w:rFonts w:eastAsia="Times New Roman"/>
          <w:noProof/>
          <w:color w:val="000000"/>
          <w:szCs w:val="24"/>
        </w:rPr>
      </w:pPr>
    </w:p>
    <w:p w:rsidR="0068568D" w:rsidRDefault="000804DF">
      <w:pPr>
        <w:pStyle w:val="Point1"/>
        <w:rPr>
          <w:noProof/>
        </w:rPr>
      </w:pPr>
      <w:r>
        <w:rPr>
          <w:noProof/>
        </w:rPr>
        <w:t>b)</w:t>
      </w:r>
      <w:r>
        <w:rPr>
          <w:noProof/>
        </w:rPr>
        <w:tab/>
        <w:t xml:space="preserve">dans </w:t>
      </w:r>
      <w:r>
        <w:rPr>
          <w:noProof/>
        </w:rPr>
        <w:t>le cas d’une marchandise introduite en Irlande du Nord par transport direct et ne provenant ni de l’Union ni d’une autre partie du Royaume-Uni:</w:t>
      </w:r>
    </w:p>
    <w:p w:rsidR="0068568D" w:rsidRDefault="000804DF">
      <w:pPr>
        <w:pStyle w:val="Point2"/>
        <w:rPr>
          <w:noProof/>
        </w:rPr>
      </w:pPr>
      <w:r>
        <w:rPr>
          <w:noProof/>
        </w:rPr>
        <w:t>i)</w:t>
      </w:r>
      <w:r>
        <w:rPr>
          <w:noProof/>
        </w:rPr>
        <w:tab/>
        <w:t>les droits exigibles en application du tarif douanier commun de l’Union sont égaux ou inférieurs aux droits e</w:t>
      </w:r>
      <w:r>
        <w:rPr>
          <w:noProof/>
        </w:rPr>
        <w:t>xigibles en application du tarif douanier du Royaume-Uni; ou</w:t>
      </w:r>
    </w:p>
    <w:p w:rsidR="0068568D" w:rsidRDefault="000804DF">
      <w:pPr>
        <w:pStyle w:val="Point2"/>
        <w:rPr>
          <w:noProof/>
        </w:rPr>
      </w:pPr>
      <w:r>
        <w:rPr>
          <w:noProof/>
        </w:rPr>
        <w:t>ii)</w:t>
      </w:r>
      <w:r>
        <w:rPr>
          <w:noProof/>
        </w:rPr>
        <w:tab/>
        <w:t>l’importateur a été autorisé, conformément aux articles 5 à 7 de la présente décision, à introduire cette marchandise en Irlande du Nord aux fins de la vendre à des consommateurs finaux situé</w:t>
      </w:r>
      <w:r>
        <w:rPr>
          <w:noProof/>
        </w:rPr>
        <w:t xml:space="preserve">s en Irlande du Nord, ou de la destiner à une utilisation finale par lesdits consommateurs (et ce même lorsque la marchandise est soumise à un traitement non commercial, au sens de l’article 2, avant la vente ou l’utilisation finale susmentionnées), et la </w:t>
      </w:r>
      <w:r>
        <w:rPr>
          <w:noProof/>
        </w:rPr>
        <w:t>différence entre les droits exigibles en application du tarif douanier commun de l’Union et ceux exigibles en application du tarif douanier du Royaume-Uni est inférieure à 3 % de la valeur en douane de la marchandise.</w:t>
      </w:r>
    </w:p>
    <w:p w:rsidR="0068568D" w:rsidRDefault="0068568D">
      <w:pPr>
        <w:pBdr>
          <w:top w:val="nil"/>
          <w:left w:val="nil"/>
          <w:bottom w:val="nil"/>
          <w:right w:val="nil"/>
          <w:between w:val="nil"/>
        </w:pBdr>
        <w:spacing w:after="0"/>
        <w:ind w:left="1417" w:hanging="708"/>
        <w:rPr>
          <w:rFonts w:eastAsia="Times New Roman"/>
          <w:noProof/>
          <w:szCs w:val="24"/>
        </w:rPr>
      </w:pPr>
    </w:p>
    <w:p w:rsidR="0068568D" w:rsidRDefault="000804DF">
      <w:pPr>
        <w:pStyle w:val="NumPar1"/>
        <w:numPr>
          <w:ilvl w:val="0"/>
          <w:numId w:val="9"/>
        </w:numPr>
        <w:rPr>
          <w:noProof/>
        </w:rPr>
      </w:pPr>
      <w:r>
        <w:rPr>
          <w:noProof/>
        </w:rPr>
        <w:t>Les points a) ii) et b) ii) du paragr</w:t>
      </w:r>
      <w:r>
        <w:rPr>
          <w:noProof/>
        </w:rPr>
        <w:t>aphe 1 ne s’appliquent pas aux marchandises faisant l’objet de mesures de défense commerciale adoptées par l’Union.</w:t>
      </w:r>
    </w:p>
    <w:p w:rsidR="0068568D" w:rsidRDefault="000804DF">
      <w:pPr>
        <w:pStyle w:val="Titrearticle"/>
        <w:keepLines/>
        <w:rPr>
          <w:rFonts w:eastAsia="Times New Roman"/>
          <w:i w:val="0"/>
          <w:noProof/>
          <w:szCs w:val="24"/>
        </w:rPr>
      </w:pPr>
      <w:bookmarkStart w:id="2" w:name="_30j0zll"/>
      <w:bookmarkEnd w:id="2"/>
      <w:r>
        <w:rPr>
          <w:noProof/>
        </w:rPr>
        <w:t>Article 4</w:t>
      </w:r>
    </w:p>
    <w:p w:rsidR="0068568D" w:rsidRDefault="000804DF">
      <w:pPr>
        <w:keepNext/>
        <w:keepLines/>
        <w:tabs>
          <w:tab w:val="left" w:pos="1074"/>
          <w:tab w:val="center" w:pos="4536"/>
        </w:tabs>
        <w:spacing w:after="360"/>
        <w:jc w:val="center"/>
        <w:rPr>
          <w:rFonts w:eastAsia="Times New Roman"/>
          <w:i/>
          <w:noProof/>
          <w:szCs w:val="24"/>
        </w:rPr>
      </w:pPr>
      <w:r>
        <w:rPr>
          <w:i/>
          <w:noProof/>
          <w:szCs w:val="24"/>
        </w:rPr>
        <w:t>Détermination des droits applicables</w:t>
      </w:r>
    </w:p>
    <w:p w:rsidR="0068568D" w:rsidRDefault="000804DF">
      <w:pPr>
        <w:keepNext/>
        <w:keepLines/>
        <w:spacing w:after="240"/>
        <w:rPr>
          <w:rFonts w:eastAsia="Times New Roman"/>
          <w:noProof/>
          <w:szCs w:val="24"/>
        </w:rPr>
      </w:pPr>
      <w:bookmarkStart w:id="3" w:name="_1fob9te"/>
      <w:bookmarkEnd w:id="3"/>
      <w:r>
        <w:rPr>
          <w:noProof/>
        </w:rPr>
        <w:t>Aux fins de l’article 3, paragraphe 1, point a) i) et point b), il convient d’appliquer les r</w:t>
      </w:r>
      <w:r>
        <w:rPr>
          <w:noProof/>
        </w:rPr>
        <w:t>ègles suivantes:</w:t>
      </w:r>
    </w:p>
    <w:p w:rsidR="0068568D" w:rsidRDefault="000804DF">
      <w:pPr>
        <w:pStyle w:val="Point0"/>
        <w:rPr>
          <w:noProof/>
        </w:rPr>
      </w:pPr>
      <w:r>
        <w:rPr>
          <w:noProof/>
        </w:rPr>
        <w:t>a)</w:t>
      </w:r>
      <w:r>
        <w:rPr>
          <w:noProof/>
        </w:rPr>
        <w:tab/>
        <w:t>les droits exigibles sur une marchandise en application du tarif douanier commun de l’Union sont déterminés selon les règles en vigueur de la législation douanière de l’Union;</w:t>
      </w:r>
    </w:p>
    <w:p w:rsidR="0068568D" w:rsidRDefault="000804DF">
      <w:pPr>
        <w:pStyle w:val="Point0"/>
        <w:rPr>
          <w:rFonts w:eastAsia="Times New Roman"/>
          <w:noProof/>
          <w:color w:val="000000"/>
          <w:szCs w:val="24"/>
        </w:rPr>
      </w:pPr>
      <w:r>
        <w:rPr>
          <w:noProof/>
        </w:rPr>
        <w:t>b)</w:t>
      </w:r>
      <w:r>
        <w:rPr>
          <w:noProof/>
        </w:rPr>
        <w:tab/>
        <w:t>les droits exigibles sur une marchandise en application d</w:t>
      </w:r>
      <w:r>
        <w:rPr>
          <w:noProof/>
        </w:rPr>
        <w:t>u tarif douanier commun du Royaume-Uni sont déterminés selon les règles en vigueur de la législation douanière du Royaume-Uni.</w:t>
      </w:r>
    </w:p>
    <w:p w:rsidR="0068568D" w:rsidRDefault="000804DF">
      <w:pPr>
        <w:pStyle w:val="Titrearticle"/>
        <w:keepLines/>
        <w:rPr>
          <w:rFonts w:eastAsia="Times New Roman"/>
          <w:i w:val="0"/>
          <w:noProof/>
          <w:szCs w:val="24"/>
        </w:rPr>
      </w:pPr>
      <w:r>
        <w:rPr>
          <w:noProof/>
        </w:rPr>
        <w:t>Article 5</w:t>
      </w:r>
    </w:p>
    <w:p w:rsidR="0068568D" w:rsidRDefault="000804DF">
      <w:pPr>
        <w:keepNext/>
        <w:spacing w:after="360"/>
        <w:jc w:val="center"/>
        <w:rPr>
          <w:rFonts w:eastAsia="Times New Roman"/>
          <w:i/>
          <w:noProof/>
          <w:szCs w:val="24"/>
        </w:rPr>
      </w:pPr>
      <w:r>
        <w:rPr>
          <w:i/>
          <w:noProof/>
          <w:szCs w:val="24"/>
        </w:rPr>
        <w:t>Autorisation valant pour les fins visées à l’article 3</w:t>
      </w:r>
    </w:p>
    <w:p w:rsidR="0068568D" w:rsidRDefault="000804DF">
      <w:pPr>
        <w:pStyle w:val="NumPar1"/>
        <w:numPr>
          <w:ilvl w:val="0"/>
          <w:numId w:val="10"/>
        </w:numPr>
        <w:rPr>
          <w:noProof/>
        </w:rPr>
      </w:pPr>
      <w:r>
        <w:rPr>
          <w:noProof/>
        </w:rPr>
        <w:t xml:space="preserve">Aux fins des points a) ii) et b) ii) de l’article 3, </w:t>
      </w:r>
      <w:r>
        <w:rPr>
          <w:noProof/>
        </w:rPr>
        <w:t>paragraphe 1, une demande d’autorisation d’introduction de marchandises en Irlande du Nord par transport direct aux fins de les vendre à des consommateurs finaux, ou de les destiner à une utilisation finale par lesdits consommateurs, est soumise à l’autori</w:t>
      </w:r>
      <w:r>
        <w:rPr>
          <w:noProof/>
        </w:rPr>
        <w:t>té compétente du Royaume-Uni.</w:t>
      </w:r>
    </w:p>
    <w:p w:rsidR="0068568D" w:rsidRDefault="000804DF">
      <w:pPr>
        <w:pStyle w:val="NumPar1"/>
        <w:numPr>
          <w:ilvl w:val="0"/>
          <w:numId w:val="10"/>
        </w:numPr>
        <w:rPr>
          <w:rFonts w:eastAsia="Times New Roman"/>
          <w:noProof/>
          <w:color w:val="000000"/>
          <w:szCs w:val="24"/>
        </w:rPr>
      </w:pPr>
      <w:r>
        <w:rPr>
          <w:noProof/>
        </w:rPr>
        <w:t xml:space="preserve">La demande d’autorisation visée au paragraphe 1 contient des informations sur les activités commerciales du demandeur, sur les marchandises qu’il introduit habituellement en Irlande du Nord, ainsi qu’une description des types </w:t>
      </w:r>
      <w:r>
        <w:rPr>
          <w:noProof/>
        </w:rPr>
        <w:t>de registres, systèmes et contrôles qu’il a mis en place pour garantir que les marchandises faisant l’objet de l’autorisation sont dûment déclarées à des fins douanières et qu’il est en mesure de fournir des pièces justificatives pour étayer l’engagement v</w:t>
      </w:r>
      <w:r>
        <w:rPr>
          <w:noProof/>
        </w:rPr>
        <w:t>isé à l’article 6, point b).</w:t>
      </w:r>
      <w:r>
        <w:rPr>
          <w:noProof/>
          <w:color w:val="000000"/>
          <w:szCs w:val="24"/>
        </w:rPr>
        <w:t xml:space="preserve"> </w:t>
      </w:r>
      <w:r>
        <w:rPr>
          <w:noProof/>
        </w:rPr>
        <w:t>L’opérateur conserve les pièces justificatives des cinq dernières années, par exemple des factures, et les fournit aux autorités compétentes à leur demande.</w:t>
      </w:r>
      <w:r>
        <w:rPr>
          <w:noProof/>
          <w:color w:val="000000"/>
          <w:szCs w:val="24"/>
        </w:rPr>
        <w:t xml:space="preserve"> L’annexe de la présente décision indique dans le détail quelles sont l</w:t>
      </w:r>
      <w:r>
        <w:rPr>
          <w:noProof/>
          <w:color w:val="000000"/>
          <w:szCs w:val="24"/>
        </w:rPr>
        <w:t>es données que doit contenir la demande.</w:t>
      </w:r>
    </w:p>
    <w:p w:rsidR="0068568D" w:rsidRDefault="000804DF">
      <w:pPr>
        <w:pStyle w:val="NumPar1"/>
        <w:numPr>
          <w:ilvl w:val="0"/>
          <w:numId w:val="10"/>
        </w:numPr>
        <w:rPr>
          <w:rFonts w:eastAsia="Times New Roman"/>
          <w:noProof/>
          <w:color w:val="000000"/>
          <w:szCs w:val="24"/>
        </w:rPr>
      </w:pPr>
      <w:r>
        <w:rPr>
          <w:noProof/>
          <w:color w:val="000000"/>
          <w:szCs w:val="24"/>
        </w:rPr>
        <w:t>L’autorisation comporte au moins les mentions suivantes:</w:t>
      </w:r>
    </w:p>
    <w:p w:rsidR="0068568D" w:rsidRDefault="000804DF">
      <w:pPr>
        <w:pStyle w:val="Point1"/>
        <w:rPr>
          <w:noProof/>
        </w:rPr>
      </w:pPr>
      <w:r>
        <w:rPr>
          <w:noProof/>
        </w:rPr>
        <w:t>a)</w:t>
      </w:r>
      <w:r>
        <w:rPr>
          <w:noProof/>
        </w:rPr>
        <w:tab/>
        <w:t>le nom de la personne à laquelle elle a été accordée («titulaire de l’autorisation»);</w:t>
      </w:r>
    </w:p>
    <w:p w:rsidR="0068568D" w:rsidRDefault="000804DF">
      <w:pPr>
        <w:pStyle w:val="Point1"/>
        <w:rPr>
          <w:noProof/>
        </w:rPr>
      </w:pPr>
      <w:r>
        <w:rPr>
          <w:noProof/>
        </w:rPr>
        <w:t>b)</w:t>
      </w:r>
      <w:r>
        <w:rPr>
          <w:noProof/>
        </w:rPr>
        <w:tab/>
        <w:t>une référence unique attribuée à la décision par l’autorité douani</w:t>
      </w:r>
      <w:r>
        <w:rPr>
          <w:noProof/>
        </w:rPr>
        <w:t xml:space="preserve">ère compétente («référence unique de l’autorisation»); </w:t>
      </w:r>
    </w:p>
    <w:p w:rsidR="0068568D" w:rsidRDefault="000804DF">
      <w:pPr>
        <w:pStyle w:val="Point1"/>
        <w:rPr>
          <w:noProof/>
        </w:rPr>
      </w:pPr>
      <w:r>
        <w:rPr>
          <w:noProof/>
        </w:rPr>
        <w:t>c)</w:t>
      </w:r>
      <w:r>
        <w:rPr>
          <w:noProof/>
        </w:rPr>
        <w:tab/>
        <w:t>la dénomination de l’autorité ayant accordé l’autorisation;</w:t>
      </w:r>
    </w:p>
    <w:p w:rsidR="0068568D" w:rsidRDefault="000804DF">
      <w:pPr>
        <w:pStyle w:val="Point1"/>
        <w:rPr>
          <w:noProof/>
        </w:rPr>
      </w:pPr>
      <w:r>
        <w:rPr>
          <w:noProof/>
        </w:rPr>
        <w:t>d)</w:t>
      </w:r>
      <w:r>
        <w:rPr>
          <w:noProof/>
        </w:rPr>
        <w:tab/>
        <w:t>la date de prise d’effet de l’autorisation.</w:t>
      </w:r>
    </w:p>
    <w:p w:rsidR="0068568D" w:rsidRDefault="000804DF">
      <w:pPr>
        <w:pStyle w:val="NumPar1"/>
        <w:numPr>
          <w:ilvl w:val="0"/>
          <w:numId w:val="10"/>
        </w:numPr>
        <w:rPr>
          <w:rFonts w:eastAsia="Times New Roman"/>
          <w:noProof/>
          <w:color w:val="000000"/>
          <w:szCs w:val="24"/>
        </w:rPr>
      </w:pPr>
      <w:r>
        <w:rPr>
          <w:noProof/>
          <w:color w:val="000000"/>
          <w:szCs w:val="24"/>
        </w:rPr>
        <w:t xml:space="preserve">Les dispositions de la législation douanière de l’Union relatives aux mesures d’exécution </w:t>
      </w:r>
      <w:r>
        <w:rPr>
          <w:noProof/>
          <w:color w:val="000000"/>
          <w:szCs w:val="24"/>
        </w:rPr>
        <w:t>de ladite législation s’appliquent aux demandes et autorisations visées au présent article, y compris en matière de contrôle.</w:t>
      </w:r>
    </w:p>
    <w:p w:rsidR="0068568D" w:rsidRDefault="000804DF">
      <w:pPr>
        <w:pStyle w:val="NumPar1"/>
        <w:numPr>
          <w:ilvl w:val="0"/>
          <w:numId w:val="10"/>
        </w:numPr>
        <w:rPr>
          <w:rFonts w:eastAsia="Times New Roman"/>
          <w:noProof/>
          <w:color w:val="000000"/>
          <w:szCs w:val="24"/>
        </w:rPr>
      </w:pPr>
      <w:r>
        <w:rPr>
          <w:noProof/>
          <w:color w:val="000000"/>
          <w:szCs w:val="24"/>
        </w:rPr>
        <w:t>Si l’autorité douanière compétente du Royaume-Uni constate qu’une autorisation est utilisée de manière délibérément détournée ou q</w:t>
      </w:r>
      <w:r>
        <w:rPr>
          <w:noProof/>
          <w:color w:val="000000"/>
          <w:szCs w:val="24"/>
        </w:rPr>
        <w:t>ue les conditions d’octroi de cette autorisation selon la présente décision ne sont pas respectées, elle suspend ou retire l’autorisation.</w:t>
      </w:r>
    </w:p>
    <w:p w:rsidR="0068568D" w:rsidRDefault="000804DF">
      <w:pPr>
        <w:pStyle w:val="Titrearticle"/>
        <w:keepLines/>
        <w:rPr>
          <w:rFonts w:eastAsia="Times New Roman"/>
          <w:i w:val="0"/>
          <w:noProof/>
          <w:szCs w:val="24"/>
        </w:rPr>
      </w:pPr>
      <w:r>
        <w:rPr>
          <w:noProof/>
        </w:rPr>
        <w:t>Article 6</w:t>
      </w:r>
    </w:p>
    <w:p w:rsidR="0068568D" w:rsidRDefault="000804DF">
      <w:pPr>
        <w:keepNext/>
        <w:spacing w:after="360"/>
        <w:jc w:val="center"/>
        <w:rPr>
          <w:rFonts w:eastAsia="Times New Roman"/>
          <w:i/>
          <w:noProof/>
          <w:szCs w:val="24"/>
        </w:rPr>
      </w:pPr>
      <w:r>
        <w:rPr>
          <w:i/>
          <w:noProof/>
          <w:szCs w:val="24"/>
        </w:rPr>
        <w:t>Conditions générales d’octroi de l’autorisation</w:t>
      </w:r>
    </w:p>
    <w:p w:rsidR="0068568D" w:rsidRDefault="000804DF">
      <w:pPr>
        <w:spacing w:after="240"/>
        <w:rPr>
          <w:rFonts w:eastAsia="Times New Roman"/>
          <w:noProof/>
          <w:szCs w:val="24"/>
        </w:rPr>
      </w:pPr>
      <w:r>
        <w:rPr>
          <w:noProof/>
        </w:rPr>
        <w:t>Aux fins des points a) ii) et b) ii) de l’article 3, paragr</w:t>
      </w:r>
      <w:r>
        <w:rPr>
          <w:noProof/>
        </w:rPr>
        <w:t>aphe 1, une autorisation peut être accordée aux demandeurs qui:</w:t>
      </w:r>
    </w:p>
    <w:p w:rsidR="0068568D" w:rsidRDefault="000804DF">
      <w:pPr>
        <w:pStyle w:val="Point0"/>
        <w:rPr>
          <w:noProof/>
        </w:rPr>
      </w:pPr>
      <w:r>
        <w:rPr>
          <w:noProof/>
        </w:rPr>
        <w:t>a)</w:t>
      </w:r>
      <w:r>
        <w:rPr>
          <w:noProof/>
        </w:rPr>
        <w:tab/>
        <w:t>répondent aux critères d’établissement suivants:</w:t>
      </w:r>
    </w:p>
    <w:p w:rsidR="0068568D" w:rsidRDefault="000804DF">
      <w:pPr>
        <w:pStyle w:val="Point1"/>
        <w:rPr>
          <w:noProof/>
        </w:rPr>
      </w:pPr>
      <w:r>
        <w:rPr>
          <w:noProof/>
        </w:rPr>
        <w:t>i)</w:t>
      </w:r>
      <w:r>
        <w:rPr>
          <w:noProof/>
        </w:rPr>
        <w:tab/>
        <w:t>ils sont établis en Irlande du Nord ou bénéficient d’une installation fixe d’affaires en Irlande du Nord:</w:t>
      </w:r>
    </w:p>
    <w:p w:rsidR="0068568D" w:rsidRDefault="000804DF">
      <w:pPr>
        <w:pStyle w:val="Tiret2"/>
        <w:numPr>
          <w:ilvl w:val="0"/>
          <w:numId w:val="13"/>
        </w:numPr>
        <w:rPr>
          <w:noProof/>
        </w:rPr>
      </w:pPr>
      <w:r>
        <w:rPr>
          <w:noProof/>
          <w:color w:val="000000"/>
          <w:szCs w:val="24"/>
        </w:rPr>
        <w:t>disposant en permanence de ress</w:t>
      </w:r>
      <w:r>
        <w:rPr>
          <w:noProof/>
          <w:color w:val="000000"/>
          <w:szCs w:val="24"/>
        </w:rPr>
        <w:t>ources humaines et techniques,</w:t>
      </w:r>
    </w:p>
    <w:p w:rsidR="0068568D" w:rsidRDefault="000804DF">
      <w:pPr>
        <w:pStyle w:val="Tiret2"/>
        <w:rPr>
          <w:noProof/>
        </w:rPr>
      </w:pPr>
      <w:r>
        <w:rPr>
          <w:noProof/>
        </w:rPr>
        <w:t>d’où les marchandises sont vendues aux consommateurs finaux ou destinés à une utilisation finale par lesdits consommateurs et</w:t>
      </w:r>
    </w:p>
    <w:p w:rsidR="0068568D" w:rsidRDefault="000804DF">
      <w:pPr>
        <w:pStyle w:val="Tiret2"/>
        <w:rPr>
          <w:noProof/>
        </w:rPr>
      </w:pPr>
      <w:r>
        <w:rPr>
          <w:noProof/>
          <w:color w:val="000000"/>
          <w:szCs w:val="24"/>
        </w:rPr>
        <w:t>dont les écritures et informations commerciales, douanières et de transport sont accessibles en Irl</w:t>
      </w:r>
      <w:r>
        <w:rPr>
          <w:noProof/>
          <w:color w:val="000000"/>
          <w:szCs w:val="24"/>
        </w:rPr>
        <w:t>ande du Nord; et par ailleurs</w:t>
      </w:r>
    </w:p>
    <w:p w:rsidR="0068568D" w:rsidRDefault="000804DF">
      <w:pPr>
        <w:pStyle w:val="Point1"/>
        <w:rPr>
          <w:noProof/>
          <w:color w:val="000000"/>
        </w:rPr>
      </w:pPr>
      <w:r>
        <w:rPr>
          <w:noProof/>
        </w:rPr>
        <w:t>ii)</w:t>
      </w:r>
      <w:r>
        <w:rPr>
          <w:noProof/>
        </w:rPr>
        <w:tab/>
        <w:t>s’ils ne sont pas établis en Irlande du Nord, leurs opérations douanières sont effectuées au Royaume-Uni et ils disposent d’un agent en douane les représentant indirectement en Irlande du Nord;</w:t>
      </w:r>
    </w:p>
    <w:p w:rsidR="0068568D" w:rsidRDefault="000804DF">
      <w:pPr>
        <w:pStyle w:val="Point0"/>
        <w:rPr>
          <w:noProof/>
        </w:rPr>
      </w:pPr>
      <w:r>
        <w:rPr>
          <w:noProof/>
        </w:rPr>
        <w:t>b)</w:t>
      </w:r>
      <w:r>
        <w:rPr>
          <w:noProof/>
        </w:rPr>
        <w:tab/>
        <w:t xml:space="preserve">s’engagent à introduire </w:t>
      </w:r>
      <w:r>
        <w:rPr>
          <w:noProof/>
        </w:rPr>
        <w:t>des marchandises en Irlande du Nord aux seules fins de les vendre à des consommateurs finaux, ou de les destiner à une utilisation finale par lesdits consommateurs, et ce même lorsque ces marchandises sont soumises à un traitement non commercial, au sens d</w:t>
      </w:r>
      <w:r>
        <w:rPr>
          <w:noProof/>
        </w:rPr>
        <w:t>e l’article 2, avant leur vente aux consommateurs finaux ou leur utilisation finale par ceux-ci, et s’engagent par ailleurs, dans le cas d’une vente à des consommateurs finaux en Irlande du Nord, à ce que la vente se fasse à partir d’un ou de plusieurs poi</w:t>
      </w:r>
      <w:r>
        <w:rPr>
          <w:noProof/>
        </w:rPr>
        <w:t>nts de vente physiques en Irlande du Nord qui opèrent des ventes physiques directes aux consommateurs finaux.</w:t>
      </w:r>
    </w:p>
    <w:p w:rsidR="0068568D" w:rsidRDefault="000804DF">
      <w:pPr>
        <w:pStyle w:val="Titrearticle"/>
        <w:keepLines/>
        <w:rPr>
          <w:rFonts w:eastAsia="Times New Roman"/>
          <w:noProof/>
          <w:szCs w:val="24"/>
        </w:rPr>
      </w:pPr>
      <w:r>
        <w:rPr>
          <w:noProof/>
        </w:rPr>
        <w:t>Article 7</w:t>
      </w:r>
    </w:p>
    <w:p w:rsidR="0068568D" w:rsidRDefault="000804DF">
      <w:pPr>
        <w:keepNext/>
        <w:spacing w:after="360"/>
        <w:jc w:val="center"/>
        <w:rPr>
          <w:rFonts w:eastAsia="Times New Roman"/>
          <w:i/>
          <w:noProof/>
          <w:szCs w:val="24"/>
        </w:rPr>
      </w:pPr>
      <w:r>
        <w:rPr>
          <w:i/>
          <w:noProof/>
          <w:szCs w:val="24"/>
        </w:rPr>
        <w:t>Conditions spécifiques d’octroi de l’autorisation</w:t>
      </w:r>
    </w:p>
    <w:p w:rsidR="0068568D" w:rsidRDefault="000804DF">
      <w:pPr>
        <w:pStyle w:val="NumPar1"/>
        <w:numPr>
          <w:ilvl w:val="0"/>
          <w:numId w:val="11"/>
        </w:numPr>
        <w:rPr>
          <w:noProof/>
        </w:rPr>
      </w:pPr>
      <w:r>
        <w:rPr>
          <w:noProof/>
        </w:rPr>
        <w:t>Aux fins des points a) ii) et b) ii) de l’article 3, paragraphe 1, une autorisation d’</w:t>
      </w:r>
      <w:r>
        <w:rPr>
          <w:noProof/>
        </w:rPr>
        <w:t>introduction de marchandises en Irlande du Nord n’est accordée qu’aux demandeurs remplissant les conditions énoncées à l’article 6 et les conditions suivantes:</w:t>
      </w:r>
    </w:p>
    <w:p w:rsidR="0068568D" w:rsidRDefault="000804DF">
      <w:pPr>
        <w:pStyle w:val="Point1"/>
        <w:rPr>
          <w:noProof/>
        </w:rPr>
      </w:pPr>
      <w:r>
        <w:rPr>
          <w:noProof/>
        </w:rPr>
        <w:t>a)</w:t>
      </w:r>
      <w:r>
        <w:rPr>
          <w:noProof/>
        </w:rPr>
        <w:tab/>
        <w:t>le demandeur s’engage à effectuer des déclarations de mise en libre pratique des marchandises</w:t>
      </w:r>
      <w:r>
        <w:rPr>
          <w:noProof/>
        </w:rPr>
        <w:t xml:space="preserve"> introduites en Irlande du Nord relevant des points a) ii) et b) ii) de l’article 3, paragraphe 1;</w:t>
      </w:r>
    </w:p>
    <w:p w:rsidR="0068568D" w:rsidRDefault="000804DF">
      <w:pPr>
        <w:pStyle w:val="Point1"/>
        <w:rPr>
          <w:rFonts w:eastAsia="Times New Roman"/>
          <w:noProof/>
        </w:rPr>
      </w:pPr>
      <w:r>
        <w:rPr>
          <w:noProof/>
        </w:rPr>
        <w:t>b)</w:t>
      </w:r>
      <w:r>
        <w:rPr>
          <w:noProof/>
        </w:rPr>
        <w:tab/>
        <w:t>le demandeur n’a pas commis d’infractions graves ou répétées à la législation douanière et aux dispositions fiscales, et il n’a pas commis d’infractions p</w:t>
      </w:r>
      <w:r>
        <w:rPr>
          <w:noProof/>
        </w:rPr>
        <w:t>énales graves liées à son activité économique;</w:t>
      </w:r>
    </w:p>
    <w:p w:rsidR="0068568D" w:rsidRDefault="000804DF">
      <w:pPr>
        <w:pStyle w:val="Point1"/>
        <w:rPr>
          <w:rFonts w:eastAsia="Times New Roman"/>
          <w:noProof/>
        </w:rPr>
      </w:pPr>
      <w:r>
        <w:rPr>
          <w:noProof/>
        </w:rPr>
        <w:t>c)</w:t>
      </w:r>
      <w:r>
        <w:rPr>
          <w:noProof/>
        </w:rPr>
        <w:tab/>
        <w:t xml:space="preserve">le demandeur démontre, pour les marchandises qu’il déclare comme ne présentant pas de risque, qu’il assure un niveau élevé de contrôle de ses opérations et de ses flux de marchandises au moyen d’un système </w:t>
      </w:r>
      <w:r>
        <w:rPr>
          <w:noProof/>
        </w:rPr>
        <w:t>de gestion des écritures commerciales et, le cas échéant, des écritures de transport, permettant des contrôles appropriés et la production des pièces justificatives venant étayer l’engagement visé à l’article 6, point b).</w:t>
      </w:r>
    </w:p>
    <w:p w:rsidR="0068568D" w:rsidRDefault="000804DF">
      <w:pPr>
        <w:pStyle w:val="NumPar1"/>
        <w:numPr>
          <w:ilvl w:val="0"/>
          <w:numId w:val="11"/>
        </w:numPr>
        <w:rPr>
          <w:rFonts w:eastAsia="Times New Roman"/>
          <w:noProof/>
          <w:color w:val="000000"/>
          <w:szCs w:val="24"/>
        </w:rPr>
      </w:pPr>
      <w:r>
        <w:rPr>
          <w:noProof/>
        </w:rPr>
        <w:t>Les autorisations ne sont accordée</w:t>
      </w:r>
      <w:r>
        <w:rPr>
          <w:noProof/>
        </w:rPr>
        <w:t>s que si l’autorité douanière estime être en mesure d’effectuer des contrôles sans effort administratif disproportionné, dont le contrôle des pièces justificatives démontrant que les marchandises ont été vendues à des consommateurs finaux ou destinées à un</w:t>
      </w:r>
      <w:r>
        <w:rPr>
          <w:noProof/>
        </w:rPr>
        <w:t>e utilisation finale par lesdits consommateurs.</w:t>
      </w:r>
    </w:p>
    <w:p w:rsidR="0068568D" w:rsidRDefault="000804DF">
      <w:pPr>
        <w:pStyle w:val="NumPar1"/>
        <w:numPr>
          <w:ilvl w:val="0"/>
          <w:numId w:val="11"/>
        </w:numPr>
        <w:rPr>
          <w:i/>
          <w:noProof/>
        </w:rPr>
      </w:pPr>
      <w:r>
        <w:rPr>
          <w:noProof/>
        </w:rPr>
        <w:t>Au cours d’une période s’achevant deux mois après l’entrée en vigueur de la présente décision, il est possible d’accorder une autorisation à titre provisoire à un demandeur si celui-ci a soumis une demande co</w:t>
      </w:r>
      <w:r>
        <w:rPr>
          <w:noProof/>
        </w:rPr>
        <w:t>mplète, s’il satisfait aux dispositions du paragraphe 1, point b), et s’il déclare remplir les autres conditions d’autorisation. La durée de l’autorisation provisoire est limitée à quatre mois, au terme desquels l’opérateur doit obtenir une autorisation pe</w:t>
      </w:r>
      <w:r>
        <w:rPr>
          <w:noProof/>
        </w:rPr>
        <w:t>rmanente pour en conserver le bénéfice.</w:t>
      </w:r>
    </w:p>
    <w:p w:rsidR="0068568D" w:rsidRDefault="000804DF">
      <w:pPr>
        <w:pStyle w:val="Titrearticle"/>
        <w:keepLines/>
        <w:rPr>
          <w:rFonts w:eastAsia="Times New Roman"/>
          <w:i w:val="0"/>
          <w:noProof/>
          <w:szCs w:val="24"/>
        </w:rPr>
      </w:pPr>
      <w:r>
        <w:rPr>
          <w:noProof/>
        </w:rPr>
        <w:t>Article 8</w:t>
      </w:r>
    </w:p>
    <w:p w:rsidR="0068568D" w:rsidRDefault="000804DF">
      <w:pPr>
        <w:keepNext/>
        <w:spacing w:after="360"/>
        <w:jc w:val="center"/>
        <w:rPr>
          <w:rFonts w:eastAsia="Times New Roman"/>
          <w:i/>
          <w:noProof/>
          <w:szCs w:val="24"/>
        </w:rPr>
      </w:pPr>
      <w:r>
        <w:rPr>
          <w:i/>
          <w:noProof/>
          <w:szCs w:val="24"/>
        </w:rPr>
        <w:t>Échange d’informations sur l’application de l’article 5, paragraphes 1 et 2, du protocole</w:t>
      </w:r>
    </w:p>
    <w:p w:rsidR="0068568D" w:rsidRDefault="000804DF">
      <w:pPr>
        <w:pStyle w:val="NumPar1"/>
        <w:numPr>
          <w:ilvl w:val="0"/>
          <w:numId w:val="12"/>
        </w:numPr>
        <w:rPr>
          <w:noProof/>
        </w:rPr>
      </w:pPr>
      <w:r>
        <w:rPr>
          <w:noProof/>
        </w:rPr>
        <w:t xml:space="preserve">Sans préjudice des obligations lui incombant en vertu de l’article 5, paragraphe 4, du protocole, lu en combinaison </w:t>
      </w:r>
      <w:r>
        <w:rPr>
          <w:noProof/>
        </w:rPr>
        <w:t>avec les règlements du Parlement européen et du Conseil (CE) nº 638/2004</w:t>
      </w:r>
      <w:r>
        <w:rPr>
          <w:noProof/>
          <w:vertAlign w:val="superscript"/>
        </w:rPr>
        <w:t>(</w:t>
      </w:r>
      <w:r>
        <w:rPr>
          <w:rStyle w:val="FootnoteReference"/>
          <w:noProof/>
        </w:rPr>
        <w:footnoteReference w:id="1"/>
      </w:r>
      <w:r>
        <w:rPr>
          <w:noProof/>
          <w:vertAlign w:val="superscript"/>
        </w:rPr>
        <w:t>)</w:t>
      </w:r>
      <w:r>
        <w:rPr>
          <w:noProof/>
        </w:rPr>
        <w:t xml:space="preserve"> et (CE) nº 471/2009</w:t>
      </w:r>
      <w:r>
        <w:rPr>
          <w:noProof/>
          <w:vertAlign w:val="superscript"/>
        </w:rPr>
        <w:t>(</w:t>
      </w:r>
      <w:r>
        <w:rPr>
          <w:rStyle w:val="FootnoteReference"/>
          <w:noProof/>
        </w:rPr>
        <w:footnoteReference w:id="2"/>
      </w:r>
      <w:r>
        <w:rPr>
          <w:noProof/>
          <w:vertAlign w:val="superscript"/>
        </w:rPr>
        <w:t>)</w:t>
      </w:r>
      <w:r>
        <w:rPr>
          <w:noProof/>
        </w:rPr>
        <w:t>, le Royaume-Uni fournit chaque mois à l’Union des informations sur l’application de l’article 5, paragraphes 1 et 2, du protocole, ainsi que sur l’applicatio</w:t>
      </w:r>
      <w:r>
        <w:rPr>
          <w:noProof/>
        </w:rPr>
        <w:t>n de la présente décision. Ces informations portent sur les volumes et les valeurs, détaillées par envoi et agrégées, et les moyens de transport, en ce qui concerne:</w:t>
      </w:r>
    </w:p>
    <w:p w:rsidR="0068568D" w:rsidRDefault="000804DF">
      <w:pPr>
        <w:pStyle w:val="Point1"/>
        <w:rPr>
          <w:noProof/>
        </w:rPr>
      </w:pPr>
      <w:r>
        <w:rPr>
          <w:noProof/>
        </w:rPr>
        <w:t>a)</w:t>
      </w:r>
      <w:r>
        <w:rPr>
          <w:noProof/>
        </w:rPr>
        <w:tab/>
        <w:t>les marchandises introduites en Irlande du Nord pour lesquelles aucuns droits de douane</w:t>
      </w:r>
      <w:r>
        <w:rPr>
          <w:noProof/>
        </w:rPr>
        <w:t xml:space="preserve"> n’étaient exigibles conformément à l’article 5, paragraphe 1, premier alinéa, du protocole;</w:t>
      </w:r>
    </w:p>
    <w:p w:rsidR="0068568D" w:rsidRDefault="000804DF">
      <w:pPr>
        <w:pStyle w:val="Point1"/>
        <w:rPr>
          <w:rFonts w:eastAsia="Times New Roman"/>
          <w:noProof/>
          <w:szCs w:val="24"/>
        </w:rPr>
      </w:pPr>
      <w:r>
        <w:rPr>
          <w:noProof/>
        </w:rPr>
        <w:t>b)</w:t>
      </w:r>
      <w:r>
        <w:rPr>
          <w:noProof/>
        </w:rPr>
        <w:tab/>
        <w:t xml:space="preserve">les marchandises introduites en Irlande du Nord pour lesquelles les droits de douane exigibles étaient ceux applicables au Royaume-Uni conformément à l’article </w:t>
      </w:r>
      <w:r>
        <w:rPr>
          <w:noProof/>
        </w:rPr>
        <w:t>5, paragraphe 1, deuxième alinéa, du protocole; et</w:t>
      </w:r>
    </w:p>
    <w:p w:rsidR="0068568D" w:rsidRDefault="000804DF">
      <w:pPr>
        <w:pStyle w:val="Point1"/>
        <w:rPr>
          <w:rFonts w:eastAsia="Times New Roman"/>
          <w:noProof/>
          <w:szCs w:val="24"/>
        </w:rPr>
      </w:pPr>
      <w:r>
        <w:rPr>
          <w:noProof/>
        </w:rPr>
        <w:t>c)</w:t>
      </w:r>
      <w:r>
        <w:rPr>
          <w:noProof/>
        </w:rPr>
        <w:tab/>
        <w:t>les marchandises introduites en Irlande du Nord pour lesquelles les droits de douane exigibles étaient conformes au tarif douanier commun de l’Union.</w:t>
      </w:r>
    </w:p>
    <w:p w:rsidR="0068568D" w:rsidRDefault="000804DF">
      <w:pPr>
        <w:pStyle w:val="NumPar1"/>
        <w:numPr>
          <w:ilvl w:val="0"/>
          <w:numId w:val="12"/>
        </w:numPr>
        <w:rPr>
          <w:rFonts w:eastAsia="Times New Roman"/>
          <w:noProof/>
          <w:szCs w:val="24"/>
        </w:rPr>
      </w:pPr>
      <w:r>
        <w:rPr>
          <w:noProof/>
        </w:rPr>
        <w:t>Le Royaume-Uni fournit les informations visées au pa</w:t>
      </w:r>
      <w:r>
        <w:rPr>
          <w:noProof/>
        </w:rPr>
        <w:t>ragraphe 1 le quinzième jour ouvrable du mois suivant celui pour lequel les informations sont fournies.</w:t>
      </w:r>
    </w:p>
    <w:p w:rsidR="0068568D" w:rsidRDefault="000804DF">
      <w:pPr>
        <w:pStyle w:val="NumPar1"/>
        <w:numPr>
          <w:ilvl w:val="0"/>
          <w:numId w:val="12"/>
        </w:numPr>
        <w:rPr>
          <w:rFonts w:eastAsia="Times New Roman"/>
          <w:noProof/>
          <w:szCs w:val="24"/>
        </w:rPr>
      </w:pPr>
      <w:r>
        <w:rPr>
          <w:noProof/>
        </w:rPr>
        <w:t>Les informations sont fournies au moyen de procédés informatiques de traitement des données.</w:t>
      </w:r>
    </w:p>
    <w:p w:rsidR="0068568D" w:rsidRDefault="000804DF">
      <w:pPr>
        <w:pStyle w:val="NumPar1"/>
        <w:numPr>
          <w:ilvl w:val="0"/>
          <w:numId w:val="12"/>
        </w:numPr>
        <w:rPr>
          <w:rFonts w:eastAsia="Times New Roman"/>
          <w:noProof/>
          <w:szCs w:val="24"/>
        </w:rPr>
      </w:pPr>
      <w:r>
        <w:rPr>
          <w:noProof/>
        </w:rPr>
        <w:t>À la demande des représentants de l’Union visés dans {insér</w:t>
      </w:r>
      <w:r>
        <w:rPr>
          <w:noProof/>
        </w:rPr>
        <w:t>er la référence à la décision du comité mixte sur la présence de l’Union} et au moins deux fois par an, les autorités compétentes du Royaume-Uni fournissent à ces représentants des informations sur les autorisations accordées conformément aux articles 5 à </w:t>
      </w:r>
      <w:r>
        <w:rPr>
          <w:noProof/>
        </w:rPr>
        <w:t>7, détaillées par formulaire d’autorisation et agrégées, et sur le nombre d’autorisations acceptées, rejetées et retirées.</w:t>
      </w:r>
    </w:p>
    <w:p w:rsidR="0068568D" w:rsidRDefault="000804DF">
      <w:pPr>
        <w:pStyle w:val="NumPar1"/>
        <w:numPr>
          <w:ilvl w:val="0"/>
          <w:numId w:val="12"/>
        </w:numPr>
        <w:rPr>
          <w:rFonts w:eastAsia="Times New Roman"/>
          <w:noProof/>
          <w:szCs w:val="24"/>
        </w:rPr>
      </w:pPr>
      <w:r>
        <w:rPr>
          <w:noProof/>
        </w:rPr>
        <w:t xml:space="preserve">L’envoi régulier d’informations visé ci-dessus commence dès que possible et au plus tard le 15 avril 2021. Le premier envoi comprend </w:t>
      </w:r>
      <w:r>
        <w:rPr>
          <w:noProof/>
        </w:rPr>
        <w:t>les informations portant sur la période allant du 1</w:t>
      </w:r>
      <w:r>
        <w:rPr>
          <w:noProof/>
          <w:vertAlign w:val="superscript"/>
        </w:rPr>
        <w:t>er</w:t>
      </w:r>
      <w:r>
        <w:rPr>
          <w:noProof/>
        </w:rPr>
        <w:t> janvier 2021 à la fin du mois précédant ledit envoi.</w:t>
      </w:r>
    </w:p>
    <w:p w:rsidR="0068568D" w:rsidRDefault="000804DF">
      <w:pPr>
        <w:pStyle w:val="Titrearticle"/>
        <w:keepLines/>
        <w:rPr>
          <w:rFonts w:eastAsia="Times New Roman"/>
          <w:i w:val="0"/>
          <w:noProof/>
          <w:szCs w:val="24"/>
        </w:rPr>
      </w:pPr>
      <w:r>
        <w:rPr>
          <w:noProof/>
        </w:rPr>
        <w:t>Article 9</w:t>
      </w:r>
    </w:p>
    <w:p w:rsidR="0068568D" w:rsidRDefault="000804DF">
      <w:pPr>
        <w:keepNext/>
        <w:spacing w:after="360"/>
        <w:jc w:val="center"/>
        <w:rPr>
          <w:rFonts w:eastAsia="Times New Roman"/>
          <w:i/>
          <w:noProof/>
          <w:szCs w:val="24"/>
        </w:rPr>
      </w:pPr>
      <w:r>
        <w:rPr>
          <w:i/>
          <w:noProof/>
          <w:szCs w:val="24"/>
        </w:rPr>
        <w:t>Réexamen et résiliation</w:t>
      </w:r>
    </w:p>
    <w:p w:rsidR="0068568D" w:rsidRDefault="000804DF">
      <w:pPr>
        <w:spacing w:after="240"/>
        <w:rPr>
          <w:rFonts w:eastAsia="Times New Roman"/>
          <w:noProof/>
          <w:szCs w:val="24"/>
        </w:rPr>
      </w:pPr>
      <w:r>
        <w:rPr>
          <w:noProof/>
        </w:rPr>
        <w:t>Si l’une des parties estime qu’il y a détournement important des échanges commerciaux, ou fraude, ou autres activit</w:t>
      </w:r>
      <w:r>
        <w:rPr>
          <w:noProof/>
        </w:rPr>
        <w:t>és illégales, elle en informe l’autre partie au sein du comité mixte, au plus tard le 1</w:t>
      </w:r>
      <w:r>
        <w:rPr>
          <w:noProof/>
          <w:vertAlign w:val="superscript"/>
        </w:rPr>
        <w:t>er</w:t>
      </w:r>
      <w:r>
        <w:rPr>
          <w:noProof/>
        </w:rPr>
        <w:t> août 2023, et les parties mettent tout en œuvre pour parvenir à une solution mutuellement satisfaisante. Si les parties ne trouvent pas de solution mutuellement satis</w:t>
      </w:r>
      <w:r>
        <w:rPr>
          <w:noProof/>
        </w:rPr>
        <w:t>faisante, les points a) ii) et b) ii) de l’article 3, paragraphe 1, et les articles 5 à 8 de la présente décision cessent de s’appliquer à partir du 1</w:t>
      </w:r>
      <w:r>
        <w:rPr>
          <w:noProof/>
          <w:vertAlign w:val="superscript"/>
        </w:rPr>
        <w:t>er</w:t>
      </w:r>
      <w:r>
        <w:rPr>
          <w:noProof/>
        </w:rPr>
        <w:t> août 2024, à moins que le comité mixte ne décide avant le 1</w:t>
      </w:r>
      <w:r>
        <w:rPr>
          <w:noProof/>
          <w:vertAlign w:val="superscript"/>
        </w:rPr>
        <w:t>er</w:t>
      </w:r>
      <w:r>
        <w:rPr>
          <w:noProof/>
        </w:rPr>
        <w:t> avril 2024 de les maintenir en vigueur.</w:t>
      </w:r>
    </w:p>
    <w:p w:rsidR="0068568D" w:rsidRDefault="000804DF">
      <w:pPr>
        <w:spacing w:after="240"/>
        <w:rPr>
          <w:rFonts w:eastAsia="Times New Roman"/>
          <w:noProof/>
          <w:szCs w:val="24"/>
        </w:rPr>
      </w:pPr>
      <w:r>
        <w:rPr>
          <w:noProof/>
        </w:rPr>
        <w:t>Si les points a) ii) et b) ii) de l’article 3, paragraphe 1, et les articles 5 à 8 de la présente décision cessent de s’appliquer conformément au premier alinéa, le comité mixte modifie la présente décision, au plus tard le 1</w:t>
      </w:r>
      <w:r>
        <w:rPr>
          <w:noProof/>
          <w:vertAlign w:val="superscript"/>
        </w:rPr>
        <w:t>er</w:t>
      </w:r>
      <w:r>
        <w:rPr>
          <w:noProof/>
        </w:rPr>
        <w:t> août 2024, afin de rendre ap</w:t>
      </w:r>
      <w:r>
        <w:rPr>
          <w:noProof/>
        </w:rPr>
        <w:t>plicables d’autres dispositions appropriées à partir du 1</w:t>
      </w:r>
      <w:r>
        <w:rPr>
          <w:noProof/>
          <w:vertAlign w:val="superscript"/>
        </w:rPr>
        <w:t>er</w:t>
      </w:r>
      <w:r>
        <w:rPr>
          <w:noProof/>
        </w:rPr>
        <w:t> août 2024, compte tenu des circonstances particulières en Irlande du Nord et en respectant pleinement la place de l’Irlande du Nord au sein du territoire douanier du Royaume-Uni.</w:t>
      </w:r>
    </w:p>
    <w:p w:rsidR="0068568D" w:rsidRDefault="000804DF">
      <w:pPr>
        <w:pStyle w:val="Titrearticle"/>
        <w:keepLines/>
        <w:rPr>
          <w:rFonts w:eastAsia="Times New Roman"/>
          <w:i w:val="0"/>
          <w:noProof/>
          <w:szCs w:val="24"/>
        </w:rPr>
      </w:pPr>
      <w:r>
        <w:rPr>
          <w:noProof/>
        </w:rPr>
        <w:t>Article 10</w:t>
      </w:r>
    </w:p>
    <w:p w:rsidR="0068568D" w:rsidRDefault="000804DF">
      <w:pPr>
        <w:keepNext/>
        <w:spacing w:after="360"/>
        <w:jc w:val="center"/>
        <w:rPr>
          <w:rFonts w:eastAsia="Times New Roman"/>
          <w:i/>
          <w:noProof/>
          <w:szCs w:val="24"/>
        </w:rPr>
      </w:pPr>
      <w:r>
        <w:rPr>
          <w:i/>
          <w:noProof/>
          <w:szCs w:val="24"/>
        </w:rPr>
        <w:t>Entrée</w:t>
      </w:r>
      <w:r>
        <w:rPr>
          <w:i/>
          <w:noProof/>
          <w:szCs w:val="24"/>
        </w:rPr>
        <w:t xml:space="preserve"> en vigueur</w:t>
      </w:r>
    </w:p>
    <w:p w:rsidR="0068568D" w:rsidRDefault="000804DF">
      <w:pPr>
        <w:spacing w:after="240"/>
        <w:rPr>
          <w:rFonts w:eastAsia="Times New Roman"/>
          <w:noProof/>
          <w:szCs w:val="24"/>
        </w:rPr>
      </w:pPr>
      <w:r>
        <w:rPr>
          <w:noProof/>
        </w:rPr>
        <w:t>La présente décision entre en vigueur le 1</w:t>
      </w:r>
      <w:r>
        <w:rPr>
          <w:noProof/>
          <w:vertAlign w:val="superscript"/>
        </w:rPr>
        <w:t>er</w:t>
      </w:r>
      <w:r>
        <w:rPr>
          <w:noProof/>
        </w:rPr>
        <w:t> janvier 2021.</w:t>
      </w:r>
    </w:p>
    <w:p w:rsidR="0068568D" w:rsidRDefault="0068568D">
      <w:pPr>
        <w:rPr>
          <w:rFonts w:eastAsia="Times New Roman"/>
          <w:noProof/>
          <w:szCs w:val="24"/>
        </w:rPr>
      </w:pPr>
    </w:p>
    <w:p w:rsidR="0068568D" w:rsidRDefault="000804DF">
      <w:pPr>
        <w:rPr>
          <w:rFonts w:eastAsia="Times New Roman"/>
          <w:noProof/>
          <w:szCs w:val="24"/>
        </w:rPr>
      </w:pPr>
      <w:r>
        <w:rPr>
          <w:noProof/>
        </w:rPr>
        <w:t>Fait à …, le</w:t>
      </w:r>
    </w:p>
    <w:p w:rsidR="0068568D" w:rsidRDefault="000804DF">
      <w:pPr>
        <w:keepNext/>
        <w:keepLines/>
        <w:spacing w:before="60" w:after="60"/>
        <w:jc w:val="center"/>
        <w:rPr>
          <w:rFonts w:eastAsia="Times New Roman"/>
          <w:noProof/>
          <w:szCs w:val="24"/>
        </w:rPr>
      </w:pPr>
      <w:r>
        <w:rPr>
          <w:i/>
          <w:noProof/>
          <w:szCs w:val="24"/>
        </w:rPr>
        <w:t>Par le comité mixte</w:t>
      </w:r>
    </w:p>
    <w:p w:rsidR="0068568D" w:rsidRDefault="000804DF">
      <w:pPr>
        <w:spacing w:before="60" w:after="60"/>
        <w:jc w:val="center"/>
        <w:rPr>
          <w:noProof/>
        </w:rPr>
      </w:pPr>
      <w:r>
        <w:rPr>
          <w:i/>
          <w:noProof/>
          <w:szCs w:val="24"/>
        </w:rPr>
        <w:t>Les coprésidents</w:t>
      </w:r>
      <w:r>
        <w:rPr>
          <w:noProof/>
        </w:rPr>
        <w:br w:type="page"/>
      </w:r>
    </w:p>
    <w:p w:rsidR="0068568D" w:rsidRDefault="0068568D">
      <w:pPr>
        <w:spacing w:before="60" w:after="60"/>
        <w:jc w:val="center"/>
        <w:rPr>
          <w:rFonts w:eastAsia="Times New Roman"/>
          <w:noProof/>
          <w:szCs w:val="24"/>
        </w:rPr>
      </w:pPr>
    </w:p>
    <w:p w:rsidR="0068568D" w:rsidRDefault="000804DF">
      <w:pPr>
        <w:spacing w:after="240"/>
        <w:jc w:val="center"/>
        <w:rPr>
          <w:rFonts w:eastAsia="Times New Roman"/>
          <w:b/>
          <w:noProof/>
          <w:szCs w:val="24"/>
        </w:rPr>
      </w:pPr>
      <w:r>
        <w:rPr>
          <w:b/>
          <w:noProof/>
          <w:szCs w:val="24"/>
        </w:rPr>
        <w:t>Annexe</w:t>
      </w:r>
    </w:p>
    <w:p w:rsidR="0068568D" w:rsidRDefault="000804DF">
      <w:pPr>
        <w:spacing w:after="240"/>
        <w:jc w:val="center"/>
        <w:rPr>
          <w:rFonts w:eastAsia="Times New Roman"/>
          <w:b/>
          <w:noProof/>
          <w:szCs w:val="24"/>
        </w:rPr>
      </w:pPr>
      <w:r>
        <w:rPr>
          <w:b/>
          <w:noProof/>
          <w:szCs w:val="24"/>
        </w:rPr>
        <w:t>Demande d’une autorisation d’introduire en Irlande du Nord des marchandises destinées à des consommateurs finaux</w:t>
      </w:r>
    </w:p>
    <w:p w:rsidR="0068568D" w:rsidRDefault="000804DF">
      <w:pPr>
        <w:spacing w:after="240"/>
        <w:jc w:val="center"/>
        <w:rPr>
          <w:rFonts w:eastAsia="Times New Roman"/>
          <w:noProof/>
          <w:szCs w:val="24"/>
        </w:rPr>
      </w:pPr>
      <w:r>
        <w:rPr>
          <w:noProof/>
        </w:rPr>
        <w:t xml:space="preserve">(visée à </w:t>
      </w:r>
      <w:r>
        <w:rPr>
          <w:noProof/>
        </w:rPr>
        <w:t>l’article 5 de la décision)</w:t>
      </w:r>
    </w:p>
    <w:p w:rsidR="0068568D" w:rsidRDefault="000804DF">
      <w:pPr>
        <w:rPr>
          <w:rFonts w:eastAsia="Times New Roman"/>
          <w:b/>
          <w:noProof/>
          <w:szCs w:val="24"/>
          <w:u w:val="single"/>
        </w:rPr>
      </w:pPr>
      <w:r>
        <w:rPr>
          <w:b/>
          <w:noProof/>
          <w:szCs w:val="24"/>
          <w:u w:val="single"/>
        </w:rPr>
        <w:t>Informations sur la demande</w:t>
      </w:r>
    </w:p>
    <w:p w:rsidR="0068568D" w:rsidRDefault="0068568D">
      <w:pPr>
        <w:spacing w:after="0" w:line="360" w:lineRule="auto"/>
        <w:ind w:left="720"/>
        <w:rPr>
          <w:noProof/>
        </w:rPr>
      </w:pPr>
    </w:p>
    <w:p w:rsidR="0068568D" w:rsidRDefault="000804DF">
      <w:pPr>
        <w:spacing w:after="0" w:line="360" w:lineRule="auto"/>
        <w:rPr>
          <w:rFonts w:eastAsia="Times New Roman"/>
          <w:b/>
          <w:noProof/>
          <w:szCs w:val="24"/>
        </w:rPr>
      </w:pPr>
      <w:r>
        <w:rPr>
          <w:b/>
          <w:noProof/>
          <w:szCs w:val="24"/>
        </w:rPr>
        <w:t>1. Pièces justificatives</w:t>
      </w:r>
    </w:p>
    <w:p w:rsidR="0068568D" w:rsidRDefault="000804DF">
      <w:pPr>
        <w:spacing w:after="0" w:line="360" w:lineRule="auto"/>
        <w:rPr>
          <w:rFonts w:eastAsia="Times New Roman"/>
          <w:noProof/>
          <w:szCs w:val="24"/>
        </w:rPr>
      </w:pPr>
      <w:r>
        <w:rPr>
          <w:noProof/>
        </w:rPr>
        <w:t>Pièces justificatives et informations obligatoires à fournir par tous les demandeurs:</w:t>
      </w:r>
    </w:p>
    <w:p w:rsidR="0068568D" w:rsidRDefault="000804DF">
      <w:pPr>
        <w:spacing w:after="0" w:line="360" w:lineRule="auto"/>
        <w:rPr>
          <w:rFonts w:eastAsia="Times New Roman"/>
          <w:noProof/>
          <w:szCs w:val="24"/>
        </w:rPr>
      </w:pPr>
      <w:r>
        <w:rPr>
          <w:noProof/>
        </w:rPr>
        <w:t>Acte de constitution/document attestant l’existence d’un établissement stable</w:t>
      </w:r>
    </w:p>
    <w:p w:rsidR="0068568D" w:rsidRDefault="0068568D">
      <w:pPr>
        <w:spacing w:after="0" w:line="360" w:lineRule="auto"/>
        <w:rPr>
          <w:rFonts w:eastAsia="Times New Roman"/>
          <w:noProof/>
          <w:szCs w:val="24"/>
        </w:rPr>
      </w:pPr>
    </w:p>
    <w:p w:rsidR="0068568D" w:rsidRDefault="000804DF">
      <w:pPr>
        <w:spacing w:after="0" w:line="360" w:lineRule="auto"/>
        <w:rPr>
          <w:rFonts w:eastAsia="Times New Roman"/>
          <w:b/>
          <w:noProof/>
          <w:szCs w:val="24"/>
        </w:rPr>
      </w:pPr>
      <w:r>
        <w:rPr>
          <w:b/>
          <w:noProof/>
          <w:szCs w:val="24"/>
        </w:rPr>
        <w:t>2. Autres</w:t>
      </w:r>
      <w:r>
        <w:rPr>
          <w:b/>
          <w:noProof/>
          <w:szCs w:val="24"/>
        </w:rPr>
        <w:t xml:space="preserve"> pièces justificatives et informations à fournir par le demandeur:</w:t>
      </w:r>
    </w:p>
    <w:p w:rsidR="0068568D" w:rsidRDefault="000804DF">
      <w:pPr>
        <w:spacing w:after="0" w:line="360" w:lineRule="auto"/>
        <w:rPr>
          <w:rFonts w:eastAsia="Times New Roman"/>
          <w:noProof/>
          <w:szCs w:val="24"/>
        </w:rPr>
      </w:pPr>
      <w:r>
        <w:rPr>
          <w:noProof/>
        </w:rPr>
        <w:t>Pièces justificatives et informations jugées utiles pour vérifier que le demandeur remplit les conditions visées aux articles 6 et 7 de la décision.</w:t>
      </w:r>
    </w:p>
    <w:p w:rsidR="0068568D" w:rsidRDefault="000804DF">
      <w:pPr>
        <w:spacing w:after="0" w:line="360" w:lineRule="auto"/>
        <w:rPr>
          <w:rFonts w:eastAsia="Times New Roman"/>
          <w:noProof/>
          <w:szCs w:val="24"/>
        </w:rPr>
      </w:pPr>
      <w:r>
        <w:rPr>
          <w:noProof/>
        </w:rPr>
        <w:t xml:space="preserve">Veuillez donner des informations sur le </w:t>
      </w:r>
      <w:r>
        <w:rPr>
          <w:noProof/>
        </w:rPr>
        <w:t>type et, le cas échéant, sur le numéro d’identification et la date d’établissement de la ou des pièces justificatives jointes à la demande. Indiquez aussi le nombre total de documents joints.</w:t>
      </w:r>
    </w:p>
    <w:p w:rsidR="0068568D" w:rsidRDefault="000804DF">
      <w:pPr>
        <w:spacing w:after="0" w:line="360" w:lineRule="auto"/>
        <w:rPr>
          <w:rFonts w:eastAsia="Times New Roman"/>
          <w:b/>
          <w:noProof/>
          <w:szCs w:val="24"/>
        </w:rPr>
      </w:pPr>
      <w:r>
        <w:rPr>
          <w:b/>
          <w:noProof/>
        </w:rPr>
        <w:t>3</w:t>
      </w:r>
      <w:r>
        <w:rPr>
          <w:b/>
          <w:noProof/>
          <w:szCs w:val="24"/>
        </w:rPr>
        <w:t>. Date et signature du demandeur</w:t>
      </w:r>
    </w:p>
    <w:p w:rsidR="0068568D" w:rsidRDefault="000804DF">
      <w:pPr>
        <w:rPr>
          <w:rFonts w:eastAsia="Times New Roman"/>
          <w:noProof/>
          <w:szCs w:val="24"/>
        </w:rPr>
      </w:pPr>
      <w:r>
        <w:rPr>
          <w:noProof/>
        </w:rPr>
        <w:t>Les demandes introduites en ut</w:t>
      </w:r>
      <w:r>
        <w:rPr>
          <w:noProof/>
        </w:rPr>
        <w:t>ilisant un procédé informatique de traitement des données sont authentifiées par la personne qui dépose la demande.</w:t>
      </w:r>
    </w:p>
    <w:p w:rsidR="0068568D" w:rsidRDefault="000804DF">
      <w:pPr>
        <w:rPr>
          <w:rFonts w:eastAsia="Times New Roman"/>
          <w:noProof/>
          <w:szCs w:val="24"/>
        </w:rPr>
      </w:pPr>
      <w:r>
        <w:rPr>
          <w:noProof/>
        </w:rPr>
        <w:t>Date à laquelle le demandeur a signé ou autrement authentifié la demande.</w:t>
      </w:r>
    </w:p>
    <w:p w:rsidR="0068568D" w:rsidRDefault="000804DF">
      <w:pPr>
        <w:rPr>
          <w:rFonts w:eastAsia="Times New Roman"/>
          <w:b/>
          <w:noProof/>
          <w:szCs w:val="24"/>
          <w:u w:val="single"/>
        </w:rPr>
      </w:pPr>
      <w:r>
        <w:rPr>
          <w:b/>
          <w:noProof/>
          <w:szCs w:val="24"/>
          <w:u w:val="single"/>
        </w:rPr>
        <w:t>Informations concernant le demandeur</w:t>
      </w:r>
    </w:p>
    <w:p w:rsidR="0068568D" w:rsidRDefault="000804DF">
      <w:pPr>
        <w:spacing w:after="0" w:line="360" w:lineRule="auto"/>
        <w:rPr>
          <w:rFonts w:eastAsia="Times New Roman"/>
          <w:b/>
          <w:noProof/>
          <w:szCs w:val="24"/>
        </w:rPr>
      </w:pPr>
      <w:r>
        <w:rPr>
          <w:b/>
          <w:noProof/>
          <w:szCs w:val="24"/>
        </w:rPr>
        <w:t>4. Demandeur</w:t>
      </w:r>
    </w:p>
    <w:p w:rsidR="0068568D" w:rsidRDefault="000804DF">
      <w:pPr>
        <w:spacing w:after="0" w:line="360" w:lineRule="auto"/>
        <w:rPr>
          <w:rFonts w:eastAsia="Times New Roman"/>
          <w:noProof/>
          <w:szCs w:val="24"/>
        </w:rPr>
      </w:pPr>
      <w:r>
        <w:rPr>
          <w:noProof/>
        </w:rPr>
        <w:t>Le demandeur est</w:t>
      </w:r>
      <w:r>
        <w:rPr>
          <w:noProof/>
        </w:rPr>
        <w:t xml:space="preserve"> la personne qui sollicite une décision auprès des autorités douanières.</w:t>
      </w:r>
    </w:p>
    <w:p w:rsidR="0068568D" w:rsidRDefault="000804DF">
      <w:pPr>
        <w:spacing w:after="0" w:line="360" w:lineRule="auto"/>
        <w:rPr>
          <w:rFonts w:eastAsia="Times New Roman"/>
          <w:noProof/>
          <w:szCs w:val="24"/>
        </w:rPr>
      </w:pPr>
      <w:r>
        <w:rPr>
          <w:noProof/>
        </w:rPr>
        <w:t>Indiquez le nom et l’adresse de la personne concernée.</w:t>
      </w:r>
    </w:p>
    <w:p w:rsidR="0068568D" w:rsidRDefault="000804DF">
      <w:pPr>
        <w:spacing w:after="0" w:line="360" w:lineRule="auto"/>
        <w:rPr>
          <w:rFonts w:eastAsia="Times New Roman"/>
          <w:b/>
          <w:noProof/>
          <w:szCs w:val="24"/>
        </w:rPr>
      </w:pPr>
      <w:r>
        <w:rPr>
          <w:b/>
          <w:noProof/>
          <w:szCs w:val="24"/>
        </w:rPr>
        <w:t>5. Numéro d’identification du demandeur</w:t>
      </w:r>
    </w:p>
    <w:p w:rsidR="0068568D" w:rsidRDefault="000804DF">
      <w:pPr>
        <w:spacing w:after="0" w:line="360" w:lineRule="auto"/>
        <w:rPr>
          <w:rFonts w:eastAsia="Times New Roman"/>
          <w:noProof/>
          <w:szCs w:val="24"/>
        </w:rPr>
      </w:pPr>
      <w:r>
        <w:rPr>
          <w:noProof/>
        </w:rPr>
        <w:t>Le demandeur est la personne qui sollicite une décision auprès des autorités douanières.</w:t>
      </w:r>
    </w:p>
    <w:p w:rsidR="0068568D" w:rsidRDefault="000804DF">
      <w:pPr>
        <w:spacing w:after="0" w:line="360" w:lineRule="auto"/>
        <w:rPr>
          <w:rFonts w:eastAsia="Times New Roman"/>
          <w:noProof/>
          <w:szCs w:val="24"/>
        </w:rPr>
      </w:pPr>
      <w:r>
        <w:rPr>
          <w:noProof/>
        </w:rPr>
        <w:t>Indiquez le numéro d’enregistrement et d’identification des opérateurs économiques (numéro EORI) de la personne concernée, conformément à l’article 1</w:t>
      </w:r>
      <w:r>
        <w:rPr>
          <w:noProof/>
          <w:vertAlign w:val="superscript"/>
        </w:rPr>
        <w:t>er</w:t>
      </w:r>
      <w:r>
        <w:rPr>
          <w:noProof/>
        </w:rPr>
        <w:t>, paragraphe 18, du règlement délégué (UE) 2015/2446 de la Commission</w:t>
      </w:r>
      <w:r>
        <w:rPr>
          <w:noProof/>
          <w:szCs w:val="24"/>
          <w:vertAlign w:val="superscript"/>
        </w:rPr>
        <w:t>(</w:t>
      </w:r>
      <w:r>
        <w:rPr>
          <w:rStyle w:val="FootnoteReference"/>
          <w:noProof/>
        </w:rPr>
        <w:footnoteReference w:id="3"/>
      </w:r>
      <w:r>
        <w:rPr>
          <w:noProof/>
          <w:szCs w:val="24"/>
          <w:vertAlign w:val="superscript"/>
        </w:rPr>
        <w:t>)</w:t>
      </w:r>
      <w:r>
        <w:rPr>
          <w:noProof/>
        </w:rPr>
        <w:t xml:space="preserve">. </w:t>
      </w:r>
    </w:p>
    <w:p w:rsidR="0068568D" w:rsidRDefault="000804DF">
      <w:pPr>
        <w:spacing w:after="0" w:line="360" w:lineRule="auto"/>
        <w:rPr>
          <w:rFonts w:eastAsia="Times New Roman"/>
          <w:b/>
          <w:noProof/>
          <w:szCs w:val="24"/>
        </w:rPr>
      </w:pPr>
      <w:r>
        <w:rPr>
          <w:b/>
          <w:noProof/>
          <w:szCs w:val="24"/>
        </w:rPr>
        <w:t>6. Statut juridique du demand</w:t>
      </w:r>
      <w:r>
        <w:rPr>
          <w:b/>
          <w:noProof/>
          <w:szCs w:val="24"/>
        </w:rPr>
        <w:t>eur</w:t>
      </w:r>
    </w:p>
    <w:p w:rsidR="0068568D" w:rsidRDefault="000804DF">
      <w:pPr>
        <w:spacing w:after="0" w:line="360" w:lineRule="auto"/>
        <w:rPr>
          <w:rFonts w:eastAsia="Times New Roman"/>
          <w:noProof/>
          <w:szCs w:val="24"/>
        </w:rPr>
      </w:pPr>
      <w:r>
        <w:rPr>
          <w:noProof/>
        </w:rPr>
        <w:t>Statut juridique mentionné dans l’acte de constitution.</w:t>
      </w:r>
    </w:p>
    <w:p w:rsidR="0068568D" w:rsidRDefault="000804DF">
      <w:pPr>
        <w:spacing w:after="0" w:line="360" w:lineRule="auto"/>
        <w:rPr>
          <w:rFonts w:eastAsia="Times New Roman"/>
          <w:b/>
          <w:noProof/>
          <w:szCs w:val="24"/>
        </w:rPr>
      </w:pPr>
      <w:r>
        <w:rPr>
          <w:b/>
          <w:noProof/>
          <w:szCs w:val="24"/>
        </w:rPr>
        <w:t>7. Numéro(s) d’identification à la TVA</w:t>
      </w:r>
    </w:p>
    <w:p w:rsidR="0068568D" w:rsidRDefault="000804DF">
      <w:pPr>
        <w:spacing w:after="0" w:line="360" w:lineRule="auto"/>
        <w:rPr>
          <w:rFonts w:eastAsia="Times New Roman"/>
          <w:noProof/>
          <w:szCs w:val="24"/>
        </w:rPr>
      </w:pPr>
      <w:r>
        <w:rPr>
          <w:noProof/>
        </w:rPr>
        <w:t>S’il existe, indiquez le numéro d’identification à la TVA.</w:t>
      </w:r>
    </w:p>
    <w:p w:rsidR="0068568D" w:rsidRDefault="000804DF">
      <w:pPr>
        <w:spacing w:after="0" w:line="360" w:lineRule="auto"/>
        <w:rPr>
          <w:rFonts w:eastAsia="Times New Roman"/>
          <w:b/>
          <w:noProof/>
          <w:szCs w:val="24"/>
        </w:rPr>
      </w:pPr>
      <w:r>
        <w:rPr>
          <w:b/>
          <w:noProof/>
          <w:szCs w:val="24"/>
        </w:rPr>
        <w:t>8. Activités commerciales</w:t>
      </w:r>
    </w:p>
    <w:p w:rsidR="0068568D" w:rsidRDefault="000804DF">
      <w:pPr>
        <w:spacing w:after="0" w:line="360" w:lineRule="auto"/>
        <w:rPr>
          <w:rFonts w:eastAsia="Times New Roman"/>
          <w:noProof/>
          <w:szCs w:val="24"/>
        </w:rPr>
      </w:pPr>
      <w:r>
        <w:rPr>
          <w:noProof/>
        </w:rPr>
        <w:t xml:space="preserve">Indiquez les informations relatives aux activités commerciales du </w:t>
      </w:r>
      <w:r>
        <w:rPr>
          <w:noProof/>
        </w:rPr>
        <w:t>demandeur. Veuillez décrire brièvement vos activités commerciales et indiquer votre rôle dans la chaîne d’approvisionnement (par exemple, fabricant, importateur, détaillant etc.). Veuillez préciser:</w:t>
      </w:r>
    </w:p>
    <w:p w:rsidR="0068568D" w:rsidRDefault="000804DF">
      <w:pPr>
        <w:spacing w:after="0" w:line="360" w:lineRule="auto"/>
        <w:rPr>
          <w:rFonts w:eastAsia="Times New Roman"/>
          <w:noProof/>
          <w:szCs w:val="24"/>
        </w:rPr>
      </w:pPr>
      <w:r>
        <w:rPr>
          <w:noProof/>
        </w:rPr>
        <w:t>— l’utilisation prévue des marchandises importées, avec u</w:t>
      </w:r>
      <w:r>
        <w:rPr>
          <w:noProof/>
        </w:rPr>
        <w:t>ne description du type de marchandises et de toute transformation dont elles feraient l’objet,</w:t>
      </w:r>
    </w:p>
    <w:p w:rsidR="0068568D" w:rsidRDefault="000804DF">
      <w:pPr>
        <w:spacing w:after="0" w:line="360" w:lineRule="auto"/>
        <w:rPr>
          <w:rFonts w:eastAsia="Times New Roman"/>
          <w:noProof/>
          <w:szCs w:val="24"/>
        </w:rPr>
      </w:pPr>
      <w:r>
        <w:rPr>
          <w:noProof/>
        </w:rPr>
        <w:t>— le nombre estimé de déclarations en douane de mise en libre pratique qui seraient déposées par an pour les marchandises concernées,</w:t>
      </w:r>
    </w:p>
    <w:p w:rsidR="0068568D" w:rsidRDefault="000804DF">
      <w:pPr>
        <w:spacing w:after="0" w:line="360" w:lineRule="auto"/>
        <w:rPr>
          <w:rFonts w:eastAsia="Times New Roman"/>
          <w:noProof/>
          <w:szCs w:val="24"/>
        </w:rPr>
      </w:pPr>
      <w:r>
        <w:rPr>
          <w:noProof/>
        </w:rPr>
        <w:t>— les types de registres, s</w:t>
      </w:r>
      <w:r>
        <w:rPr>
          <w:noProof/>
        </w:rPr>
        <w:t>ystèmes et contrôles mis en place pour étayer l’engagement visé à l’article 6, point b).</w:t>
      </w:r>
    </w:p>
    <w:p w:rsidR="0068568D" w:rsidRDefault="000804DF">
      <w:pPr>
        <w:spacing w:after="0" w:line="360" w:lineRule="auto"/>
        <w:rPr>
          <w:rFonts w:eastAsia="Times New Roman"/>
          <w:b/>
          <w:noProof/>
          <w:szCs w:val="24"/>
        </w:rPr>
      </w:pPr>
      <w:r>
        <w:rPr>
          <w:b/>
          <w:noProof/>
          <w:szCs w:val="24"/>
        </w:rPr>
        <w:t>9. Chiffre d’affaires annuel</w:t>
      </w:r>
    </w:p>
    <w:p w:rsidR="0068568D" w:rsidRDefault="000804DF">
      <w:pPr>
        <w:spacing w:after="0" w:line="360" w:lineRule="auto"/>
        <w:rPr>
          <w:rFonts w:eastAsia="Times New Roman"/>
          <w:noProof/>
          <w:szCs w:val="24"/>
        </w:rPr>
      </w:pPr>
      <w:r>
        <w:rPr>
          <w:noProof/>
        </w:rPr>
        <w:t xml:space="preserve">Aux fins de l’article 2 de la décision, veuillez indiquer le chiffre d’affaires annuel de l’exercice clos le plus récent. Si l’entreprise </w:t>
      </w:r>
      <w:r>
        <w:rPr>
          <w:noProof/>
        </w:rPr>
        <w:t>est de création récente, indiquez toutes données et informations permettant une évaluation du chiffre d’affaires à venir, par exemple les derniers flux de trésorerie et les prévisions des bilans et comptes de résultat, approuvés par les administrateurs/ass</w:t>
      </w:r>
      <w:r>
        <w:rPr>
          <w:noProof/>
        </w:rPr>
        <w:t>ociés/propriétaires individuels.</w:t>
      </w:r>
    </w:p>
    <w:p w:rsidR="0068568D" w:rsidRDefault="000804DF">
      <w:pPr>
        <w:spacing w:after="0" w:line="360" w:lineRule="auto"/>
        <w:rPr>
          <w:rFonts w:eastAsia="Times New Roman"/>
          <w:b/>
          <w:noProof/>
          <w:szCs w:val="24"/>
        </w:rPr>
      </w:pPr>
      <w:r>
        <w:rPr>
          <w:b/>
          <w:noProof/>
          <w:szCs w:val="24"/>
        </w:rPr>
        <w:t>10. Personne de contact responsable de la demande</w:t>
      </w:r>
    </w:p>
    <w:p w:rsidR="0068568D" w:rsidRDefault="000804DF">
      <w:pPr>
        <w:spacing w:after="0" w:line="360" w:lineRule="auto"/>
        <w:rPr>
          <w:rFonts w:eastAsia="Times New Roman"/>
          <w:noProof/>
          <w:szCs w:val="24"/>
        </w:rPr>
      </w:pPr>
      <w:r>
        <w:rPr>
          <w:noProof/>
        </w:rPr>
        <w:t>La personne de contact doit maintenir le contact avec les services des douanes en ce qui concerne la demande.</w:t>
      </w:r>
    </w:p>
    <w:p w:rsidR="0068568D" w:rsidRDefault="000804DF">
      <w:pPr>
        <w:spacing w:after="0" w:line="360" w:lineRule="auto"/>
        <w:rPr>
          <w:rFonts w:eastAsia="Times New Roman"/>
          <w:noProof/>
          <w:szCs w:val="24"/>
        </w:rPr>
      </w:pPr>
      <w:r>
        <w:rPr>
          <w:noProof/>
        </w:rPr>
        <w:t>Indiquez le nom de la personne de contact et l’une des informat</w:t>
      </w:r>
      <w:r>
        <w:rPr>
          <w:noProof/>
        </w:rPr>
        <w:t>ions suivantes: numéro de téléphone, adresse électronique (de préférence une boîte fonctionnelle).</w:t>
      </w:r>
    </w:p>
    <w:p w:rsidR="0068568D" w:rsidRDefault="000804DF">
      <w:pPr>
        <w:spacing w:after="0" w:line="360" w:lineRule="auto"/>
        <w:rPr>
          <w:rFonts w:eastAsia="Times New Roman"/>
          <w:b/>
          <w:noProof/>
          <w:szCs w:val="24"/>
        </w:rPr>
      </w:pPr>
      <w:r>
        <w:rPr>
          <w:b/>
          <w:noProof/>
          <w:szCs w:val="24"/>
        </w:rPr>
        <w:t>11. Personne responsable de la société du demandeur ou exerçant le contrôle sur sa gestion</w:t>
      </w:r>
    </w:p>
    <w:p w:rsidR="0068568D" w:rsidRDefault="000804DF">
      <w:pPr>
        <w:spacing w:after="0" w:line="360" w:lineRule="auto"/>
        <w:rPr>
          <w:rFonts w:eastAsia="Times New Roman"/>
          <w:noProof/>
          <w:szCs w:val="24"/>
        </w:rPr>
      </w:pPr>
      <w:r>
        <w:rPr>
          <w:noProof/>
        </w:rPr>
        <w:t>Aux fins de l’article 7, point b), de la décision, insérer le ou l</w:t>
      </w:r>
      <w:r>
        <w:rPr>
          <w:noProof/>
        </w:rPr>
        <w:t>es noms et toutes les coordonnées de la ou des personnes concernées selon le statut/la forme juridique de la société du demandeur, en particulier: le directeur/gérant de l’entreprise, les directeurs du conseil d’administration, le cas échéant. Doivent être</w:t>
      </w:r>
      <w:r>
        <w:rPr>
          <w:noProof/>
        </w:rPr>
        <w:t xml:space="preserve"> précisés: le nom complet et l’adresse, la date de naissance et le numéro national d’identification.</w:t>
      </w:r>
    </w:p>
    <w:p w:rsidR="0068568D" w:rsidRDefault="000804DF">
      <w:pPr>
        <w:spacing w:after="0" w:line="360" w:lineRule="auto"/>
        <w:rPr>
          <w:rFonts w:eastAsia="Times New Roman"/>
          <w:b/>
          <w:noProof/>
          <w:szCs w:val="24"/>
          <w:u w:val="single"/>
        </w:rPr>
      </w:pPr>
      <w:r>
        <w:rPr>
          <w:b/>
          <w:noProof/>
          <w:szCs w:val="24"/>
          <w:u w:val="single"/>
        </w:rPr>
        <w:t>Dates, heures, périodes et lieux</w:t>
      </w:r>
    </w:p>
    <w:p w:rsidR="0068568D" w:rsidRDefault="000804DF">
      <w:pPr>
        <w:spacing w:after="0" w:line="360" w:lineRule="auto"/>
        <w:rPr>
          <w:rFonts w:eastAsia="Times New Roman"/>
          <w:b/>
          <w:noProof/>
          <w:szCs w:val="24"/>
        </w:rPr>
      </w:pPr>
      <w:r>
        <w:rPr>
          <w:b/>
          <w:noProof/>
          <w:szCs w:val="24"/>
        </w:rPr>
        <w:t>12. Date de constitution</w:t>
      </w:r>
    </w:p>
    <w:p w:rsidR="0068568D" w:rsidRDefault="000804DF">
      <w:pPr>
        <w:spacing w:after="0" w:line="360" w:lineRule="auto"/>
        <w:rPr>
          <w:rFonts w:eastAsia="Times New Roman"/>
          <w:noProof/>
          <w:szCs w:val="24"/>
        </w:rPr>
      </w:pPr>
      <w:r>
        <w:rPr>
          <w:noProof/>
        </w:rPr>
        <w:t>Mentionnez — en chiffres — le jour, le mois et l’année de constitution.</w:t>
      </w:r>
    </w:p>
    <w:p w:rsidR="0068568D" w:rsidRDefault="000804DF">
      <w:pPr>
        <w:spacing w:after="0" w:line="360" w:lineRule="auto"/>
        <w:rPr>
          <w:rFonts w:eastAsia="Times New Roman"/>
          <w:b/>
          <w:noProof/>
          <w:szCs w:val="24"/>
        </w:rPr>
      </w:pPr>
      <w:r>
        <w:rPr>
          <w:b/>
          <w:noProof/>
          <w:szCs w:val="24"/>
        </w:rPr>
        <w:t xml:space="preserve">13. </w:t>
      </w:r>
      <w:r>
        <w:rPr>
          <w:b/>
          <w:noProof/>
        </w:rPr>
        <w:t>Adresse de constituti</w:t>
      </w:r>
      <w:r>
        <w:rPr>
          <w:b/>
          <w:noProof/>
        </w:rPr>
        <w:t>on/Adresse de résidence</w:t>
      </w:r>
    </w:p>
    <w:p w:rsidR="0068568D" w:rsidRDefault="000804DF">
      <w:pPr>
        <w:spacing w:after="0" w:line="360" w:lineRule="auto"/>
        <w:rPr>
          <w:rFonts w:eastAsia="Times New Roman"/>
          <w:noProof/>
          <w:szCs w:val="24"/>
        </w:rPr>
      </w:pPr>
      <w:r>
        <w:rPr>
          <w:noProof/>
        </w:rPr>
        <w:t>L’adresse complète du lieu où la personne est établie/réside, incluant l’identifiant du pays ou territoire.</w:t>
      </w:r>
    </w:p>
    <w:p w:rsidR="0068568D" w:rsidRDefault="000804DF">
      <w:pPr>
        <w:spacing w:after="0" w:line="360" w:lineRule="auto"/>
        <w:rPr>
          <w:rFonts w:eastAsia="Times New Roman"/>
          <w:b/>
          <w:noProof/>
          <w:szCs w:val="24"/>
        </w:rPr>
      </w:pPr>
      <w:r>
        <w:rPr>
          <w:b/>
          <w:noProof/>
          <w:szCs w:val="24"/>
        </w:rPr>
        <w:t>14. Lieux où sont conservées les écritures</w:t>
      </w:r>
    </w:p>
    <w:p w:rsidR="0068568D" w:rsidRDefault="000804DF">
      <w:pPr>
        <w:spacing w:after="0" w:line="360" w:lineRule="auto"/>
        <w:rPr>
          <w:rFonts w:eastAsia="Times New Roman"/>
          <w:noProof/>
          <w:szCs w:val="24"/>
        </w:rPr>
      </w:pPr>
      <w:r>
        <w:rPr>
          <w:noProof/>
        </w:rPr>
        <w:t>Indiquez l’adresse complète du ou des lieux où sont conservées ou censées être co</w:t>
      </w:r>
      <w:r>
        <w:rPr>
          <w:noProof/>
        </w:rPr>
        <w:t>nservées les écritures du demandeur. Le LOCODE/ONU peut remplacer l’adresse, s’il fournit une identification sans équivoque du lieu concerné.</w:t>
      </w:r>
    </w:p>
    <w:p w:rsidR="0068568D" w:rsidRDefault="000804DF">
      <w:pPr>
        <w:spacing w:after="0" w:line="360" w:lineRule="auto"/>
        <w:rPr>
          <w:rFonts w:eastAsia="Times New Roman"/>
          <w:b/>
          <w:noProof/>
          <w:szCs w:val="24"/>
        </w:rPr>
      </w:pPr>
      <w:r>
        <w:rPr>
          <w:b/>
          <w:noProof/>
          <w:szCs w:val="24"/>
        </w:rPr>
        <w:t>15. Lieu(x) de transformation ou d’utilisation</w:t>
      </w:r>
    </w:p>
    <w:p w:rsidR="0068568D" w:rsidRDefault="000804DF">
      <w:pPr>
        <w:spacing w:after="0" w:line="360" w:lineRule="auto"/>
        <w:rPr>
          <w:rFonts w:eastAsia="Times New Roman"/>
          <w:noProof/>
          <w:szCs w:val="24"/>
        </w:rPr>
      </w:pPr>
      <w:r>
        <w:rPr>
          <w:noProof/>
        </w:rPr>
        <w:t>Veuillez indiquer l’adresse du ou des lieux où les marchandises ser</w:t>
      </w:r>
      <w:r>
        <w:rPr>
          <w:noProof/>
        </w:rPr>
        <w:t>ont transformées, le cas échéant, et vendues aux consommateurs finaux.</w:t>
      </w:r>
    </w:p>
    <w:sectPr w:rsidR="0068568D" w:rsidSect="000804DF">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68D" w:rsidRDefault="000804DF">
      <w:pPr>
        <w:spacing w:before="0" w:after="0"/>
      </w:pPr>
      <w:r>
        <w:separator/>
      </w:r>
    </w:p>
  </w:endnote>
  <w:endnote w:type="continuationSeparator" w:id="0">
    <w:p w:rsidR="0068568D" w:rsidRDefault="000804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4DF" w:rsidRPr="000804DF" w:rsidRDefault="000804DF" w:rsidP="000804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68D" w:rsidRPr="000804DF" w:rsidRDefault="000804DF" w:rsidP="000804DF">
    <w:pPr>
      <w:pStyle w:val="Footer"/>
      <w:rPr>
        <w:rFonts w:ascii="Arial" w:hAnsi="Arial" w:cs="Arial"/>
        <w:b/>
        <w:sz w:val="48"/>
      </w:rPr>
    </w:pPr>
    <w:r w:rsidRPr="000804DF">
      <w:rPr>
        <w:rFonts w:ascii="Arial" w:hAnsi="Arial" w:cs="Arial"/>
        <w:b/>
        <w:sz w:val="48"/>
      </w:rPr>
      <w:t>FR</w:t>
    </w:r>
    <w:r w:rsidRPr="000804DF">
      <w:rPr>
        <w:rFonts w:ascii="Arial" w:hAnsi="Arial" w:cs="Arial"/>
        <w:b/>
        <w:sz w:val="48"/>
      </w:rPr>
      <w:tab/>
    </w:r>
    <w:r w:rsidRPr="000804DF">
      <w:rPr>
        <w:rFonts w:ascii="Arial" w:hAnsi="Arial" w:cs="Arial"/>
        <w:b/>
        <w:sz w:val="48"/>
      </w:rPr>
      <w:tab/>
    </w:r>
    <w:r w:rsidRPr="000804DF">
      <w:tab/>
    </w:r>
    <w:r w:rsidRPr="000804DF">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4DF" w:rsidRPr="000804DF" w:rsidRDefault="000804DF" w:rsidP="000804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4DF" w:rsidRPr="000804DF" w:rsidRDefault="000804DF" w:rsidP="000804DF">
    <w:pPr>
      <w:pStyle w:val="Footer"/>
      <w:rPr>
        <w:rFonts w:ascii="Arial" w:hAnsi="Arial" w:cs="Arial"/>
        <w:b/>
        <w:sz w:val="48"/>
      </w:rPr>
    </w:pPr>
    <w:r w:rsidRPr="000804DF">
      <w:rPr>
        <w:rFonts w:ascii="Arial" w:hAnsi="Arial" w:cs="Arial"/>
        <w:b/>
        <w:sz w:val="48"/>
      </w:rPr>
      <w:t>FR</w:t>
    </w:r>
    <w:r w:rsidRPr="000804DF">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0804DF">
      <w:tab/>
    </w:r>
    <w:r w:rsidRPr="000804DF">
      <w:rPr>
        <w:rFonts w:ascii="Arial" w:hAnsi="Arial" w:cs="Arial"/>
        <w:b/>
        <w:sz w:val="48"/>
      </w:rPr>
      <w:t>FR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4DF" w:rsidRPr="000804DF" w:rsidRDefault="000804DF" w:rsidP="000804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68D" w:rsidRDefault="000804DF">
      <w:pPr>
        <w:spacing w:before="0" w:after="0"/>
      </w:pPr>
      <w:r>
        <w:separator/>
      </w:r>
    </w:p>
  </w:footnote>
  <w:footnote w:type="continuationSeparator" w:id="0">
    <w:p w:rsidR="0068568D" w:rsidRDefault="000804DF">
      <w:pPr>
        <w:spacing w:before="0" w:after="0"/>
      </w:pPr>
      <w:r>
        <w:continuationSeparator/>
      </w:r>
    </w:p>
  </w:footnote>
  <w:footnote w:id="1">
    <w:p w:rsidR="0068568D" w:rsidRDefault="000804DF">
      <w:pPr>
        <w:spacing w:after="0"/>
        <w:rPr>
          <w:rFonts w:eastAsia="Times New Roman"/>
          <w:sz w:val="20"/>
          <w:szCs w:val="20"/>
          <w:lang w:val="fr-BE"/>
        </w:rPr>
      </w:pPr>
      <w:r>
        <w:rPr>
          <w:rStyle w:val="FootnoteReference"/>
        </w:rPr>
        <w:footnoteRef/>
      </w:r>
      <w:r>
        <w:rPr>
          <w:lang w:val="fr-BE"/>
        </w:rPr>
        <w:tab/>
      </w:r>
      <w:r>
        <w:rPr>
          <w:sz w:val="20"/>
          <w:szCs w:val="20"/>
          <w:lang w:val="fr-BE"/>
        </w:rPr>
        <w:t xml:space="preserve">Règlement (CE) nº638/2004 du Parlement européen et du Conseil du 31 mars 2004 relatif aux statistiques communautaires des échanges de biens </w:t>
      </w:r>
      <w:r>
        <w:rPr>
          <w:sz w:val="20"/>
          <w:szCs w:val="20"/>
          <w:lang w:val="fr-BE"/>
        </w:rPr>
        <w:t>entre États membres et abrogeant le règlement (CEE) nº 3330/91 du Conseil (JO L 102 du 7.4.2004, p. 1).</w:t>
      </w:r>
    </w:p>
  </w:footnote>
  <w:footnote w:id="2">
    <w:p w:rsidR="0068568D" w:rsidRDefault="000804DF">
      <w:pPr>
        <w:spacing w:after="0"/>
        <w:rPr>
          <w:rFonts w:eastAsia="Times New Roman"/>
          <w:sz w:val="20"/>
          <w:szCs w:val="20"/>
          <w:lang w:val="fr-BE"/>
        </w:rPr>
      </w:pPr>
      <w:r>
        <w:rPr>
          <w:rStyle w:val="FootnoteReference"/>
        </w:rPr>
        <w:footnoteRef/>
      </w:r>
      <w:r>
        <w:rPr>
          <w:lang w:val="fr-BE"/>
        </w:rPr>
        <w:tab/>
      </w:r>
      <w:r>
        <w:rPr>
          <w:sz w:val="20"/>
          <w:szCs w:val="20"/>
          <w:lang w:val="fr-BE"/>
        </w:rPr>
        <w:t>Règlement (CE) nº 471/2009 du Parlement européen et du Conseil du 6 mai 2009 concernant les statistiques communautaires relatives au commerce extérieu</w:t>
      </w:r>
      <w:r>
        <w:rPr>
          <w:sz w:val="20"/>
          <w:szCs w:val="20"/>
          <w:lang w:val="fr-BE"/>
        </w:rPr>
        <w:t>r avec les pays tiers et abrogeant le règlement (CE) nº 1172/95 du Conseil (JO L 152 du 16.6.2009, p. 23).</w:t>
      </w:r>
    </w:p>
  </w:footnote>
  <w:footnote w:id="3">
    <w:p w:rsidR="0068568D" w:rsidRDefault="000804DF">
      <w:pPr>
        <w:spacing w:after="0"/>
        <w:rPr>
          <w:sz w:val="20"/>
          <w:szCs w:val="20"/>
          <w:lang w:val="fr-BE"/>
        </w:rPr>
      </w:pPr>
      <w:r>
        <w:rPr>
          <w:rStyle w:val="FootnoteReference"/>
        </w:rPr>
        <w:footnoteRef/>
      </w:r>
      <w:r>
        <w:rPr>
          <w:lang w:val="fr-BE"/>
        </w:rPr>
        <w:tab/>
      </w:r>
      <w:r>
        <w:rPr>
          <w:sz w:val="21"/>
          <w:szCs w:val="21"/>
          <w:highlight w:val="white"/>
          <w:lang w:val="fr-BE"/>
        </w:rPr>
        <w:t>Règlement délégué (UE) 2015/2446 de la Commission du 28 juillet 2015 complétant le règlement (UE) nº 952/2013 du Parlement européen et du Conseil a</w:t>
      </w:r>
      <w:r>
        <w:rPr>
          <w:sz w:val="21"/>
          <w:szCs w:val="21"/>
          <w:highlight w:val="white"/>
          <w:lang w:val="fr-BE"/>
        </w:rPr>
        <w:t>u sujet des modalités de certaines dispositions du code des douanes de l’Union (JO L 343 du 28.12.2015, p.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4DF" w:rsidRPr="000804DF" w:rsidRDefault="000804DF" w:rsidP="000804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4DF" w:rsidRPr="000804DF" w:rsidRDefault="000804DF" w:rsidP="000804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4DF" w:rsidRPr="000804DF" w:rsidRDefault="000804DF" w:rsidP="000804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7EFADF7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4984B3D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4B882B74"/>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5F64150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420C6F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4E86012"/>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39A13E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EE3AC23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14 09:41:3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3"/>
    <w:docVar w:name="DQCStatus" w:val="Yellow"/>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COM(2020) 834 final of 10.12.2020 downgraded on 27.1.2021"/>
    <w:docVar w:name="LW_COVERPAGE_EXISTS" w:val="True"/>
    <w:docVar w:name="LW_COVERPAGE_GUID" w:val="DBDC3DB4-D827-4FC3-B4C1-F655BB4C6C26"/>
    <w:docVar w:name="LW_COVERPAGE_TYPE" w:val="1"/>
    <w:docVar w:name="LW_CROSSREFERENCE" w:val="&lt;UNUSED&gt;"/>
    <w:docVar w:name="LW_DocType" w:val="ANNEX"/>
    <w:docVar w:name="LW_EMISSION" w:val="27.1.2021"/>
    <w:docVar w:name="LW_EMISSION_ISODATE" w:val="2021-01-27"/>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lt;FMT:Font=Calibri&gt;conformément à l\u8217?article 218, paragraphe 9, du TFUE, relative à la position de l\u8217?Union concernant le projet de décision du comité mixte sur la détermination des marchandises ne présentant pas de risque&lt;/FMT&gt;"/>
    <w:docVar w:name="LW_OBJETACTEPRINCIPAL.CP" w:val="&lt;FMT:Font=Calibri&gt;conformément à l\u8217?article 218, paragraphe 9, du TFUE, relative à la position de l\u8217?Union concernant le projet de décision du comité mixte sur la détermination des marchandises ne présentant pas de risque&lt;/FMT&gt;"/>
    <w:docVar w:name="LW_PART_NBR" w:val="1"/>
    <w:docVar w:name="LW_PART_NBR_TOTAL" w:val="1"/>
    <w:docVar w:name="LW_REF.INST.NEW" w:val="COM"/>
    <w:docVar w:name="LW_REF.INST.NEW_ADOPTED" w:val="final/2"/>
    <w:docVar w:name="LW_REF.INST.NEW_TEXT" w:val="(2020) 8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w:rsids>
    <w:rsidRoot w:val="0068568D"/>
    <w:rsid w:val="000804DF"/>
    <w:rsid w:val="00685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9F0F56CA-3B3E-4A6A-A456-AA4FE3B70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rsid w:val="000804DF"/>
    <w:pPr>
      <w:tabs>
        <w:tab w:val="center" w:pos="4535"/>
        <w:tab w:val="right" w:pos="9071"/>
      </w:tabs>
      <w:spacing w:before="0"/>
    </w:pPr>
  </w:style>
  <w:style w:type="character" w:customStyle="1" w:styleId="HeaderChar">
    <w:name w:val="Header Char"/>
    <w:basedOn w:val="DefaultParagraphFont"/>
    <w:link w:val="Header"/>
    <w:uiPriority w:val="99"/>
    <w:rsid w:val="000804DF"/>
    <w:rPr>
      <w:rFonts w:ascii="Times New Roman" w:hAnsi="Times New Roman" w:cs="Times New Roman"/>
      <w:sz w:val="24"/>
      <w:lang w:val="fr-FR"/>
    </w:rPr>
  </w:style>
  <w:style w:type="paragraph" w:styleId="Footer">
    <w:name w:val="footer"/>
    <w:basedOn w:val="Normal"/>
    <w:link w:val="FooterChar"/>
    <w:uiPriority w:val="99"/>
    <w:unhideWhenUsed/>
    <w:rsid w:val="000804DF"/>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0804DF"/>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0804DF"/>
    <w:pPr>
      <w:tabs>
        <w:tab w:val="center" w:pos="7285"/>
        <w:tab w:val="right" w:pos="14003"/>
      </w:tabs>
      <w:spacing w:before="0"/>
    </w:pPr>
  </w:style>
  <w:style w:type="paragraph" w:customStyle="1" w:styleId="FooterLandscape">
    <w:name w:val="FooterLandscape"/>
    <w:basedOn w:val="Normal"/>
    <w:rsid w:val="000804DF"/>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0804DF"/>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0804DF"/>
    <w:pPr>
      <w:spacing w:before="0"/>
      <w:jc w:val="right"/>
    </w:pPr>
    <w:rPr>
      <w:sz w:val="28"/>
    </w:rPr>
  </w:style>
  <w:style w:type="paragraph" w:customStyle="1" w:styleId="FooterSensitivity">
    <w:name w:val="Footer Sensitivity"/>
    <w:basedOn w:val="Normal"/>
    <w:rsid w:val="000804DF"/>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580149">
      <w:bodyDiv w:val="1"/>
      <w:marLeft w:val="0"/>
      <w:marRight w:val="0"/>
      <w:marTop w:val="0"/>
      <w:marBottom w:val="0"/>
      <w:divBdr>
        <w:top w:val="none" w:sz="0" w:space="0" w:color="auto"/>
        <w:left w:val="none" w:sz="0" w:space="0" w:color="auto"/>
        <w:bottom w:val="none" w:sz="0" w:space="0" w:color="auto"/>
        <w:right w:val="none" w:sz="0" w:space="0" w:color="auto"/>
      </w:divBdr>
    </w:div>
    <w:div w:id="199035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D340E-E182-421C-8F2B-5388E40F3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Template>
  <TotalTime>6</TotalTime>
  <Pages>10</Pages>
  <Words>2780</Words>
  <Characters>15322</Characters>
  <Application>Microsoft Office Word</Application>
  <DocSecurity>0</DocSecurity>
  <Lines>294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TAVARES Ana (SG)</dc:creator>
  <cp:keywords/>
  <dc:description/>
  <cp:lastModifiedBy>LAGES CARVALHO Patrick (SG)</cp:lastModifiedBy>
  <cp:revision>19</cp:revision>
  <dcterms:created xsi:type="dcterms:W3CDTF">2020-12-11T15:07:00Z</dcterms:created>
  <dcterms:modified xsi:type="dcterms:W3CDTF">2021-01-27T10:19:00Z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