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BA" w:rsidRDefault="001261D9" w:rsidP="001261D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4DD188-C094-4AF9-A11F-FB74226B56F6" style="width:450.6pt;height:409.2pt">
            <v:imagedata r:id="rId8" o:title=""/>
          </v:shape>
        </w:pict>
      </w:r>
    </w:p>
    <w:p w:rsidR="00275BBA" w:rsidRDefault="00275BBA">
      <w:pPr>
        <w:rPr>
          <w:noProof/>
        </w:rPr>
        <w:sectPr w:rsidR="00275BBA" w:rsidSect="001261D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75BBA" w:rsidRDefault="001261D9">
      <w:pPr>
        <w:pStyle w:val="Annexetitre"/>
        <w:rPr>
          <w:rFonts w:eastAsia="Times New Roman"/>
          <w:i/>
          <w:noProof/>
          <w:szCs w:val="24"/>
        </w:rPr>
      </w:pPr>
      <w:bookmarkStart w:id="0" w:name="_GoBack"/>
      <w:bookmarkEnd w:id="0"/>
      <w:r>
        <w:rPr>
          <w:rFonts w:eastAsia="Times New Roman"/>
          <w:i/>
          <w:noProof/>
          <w:szCs w:val="24"/>
        </w:rPr>
        <w:lastRenderedPageBreak/>
        <w:t>DRAFT DECISION</w:t>
      </w:r>
    </w:p>
    <w:p w:rsidR="00275BBA" w:rsidRDefault="00275BBA">
      <w:pPr>
        <w:rPr>
          <w:noProof/>
        </w:rPr>
      </w:pPr>
    </w:p>
    <w:p w:rsidR="00275BBA" w:rsidRDefault="001261D9">
      <w:pPr>
        <w:spacing w:after="240"/>
        <w:rPr>
          <w:rFonts w:eastAsia="Times New Roman"/>
          <w:noProof/>
          <w:szCs w:val="24"/>
          <w:lang w:val="en-IE"/>
        </w:rPr>
      </w:pPr>
      <w:r>
        <w:rPr>
          <w:rFonts w:eastAsia="Times New Roman"/>
          <w:noProof/>
          <w:szCs w:val="24"/>
          <w:lang w:val="en-IE"/>
        </w:rPr>
        <w:t>THE JOINT COMMITTEE</w:t>
      </w:r>
    </w:p>
    <w:p w:rsidR="00275BBA" w:rsidRDefault="001261D9">
      <w:pPr>
        <w:spacing w:after="240"/>
        <w:rPr>
          <w:rFonts w:eastAsia="Times New Roman"/>
          <w:noProof/>
          <w:szCs w:val="24"/>
          <w:lang w:val="en-IE"/>
        </w:rPr>
      </w:pPr>
      <w:r>
        <w:rPr>
          <w:rFonts w:eastAsia="Times New Roman"/>
          <w:noProof/>
          <w:szCs w:val="24"/>
          <w:lang w:val="en-IE"/>
        </w:rPr>
        <w:t xml:space="preserve">Having regard to the Protocol on Ireland/Northern Ireland to the Agreement on the withdrawal of the United </w:t>
      </w:r>
      <w:r>
        <w:rPr>
          <w:rFonts w:eastAsia="Times New Roman"/>
          <w:noProof/>
          <w:szCs w:val="24"/>
          <w:lang w:val="en-IE"/>
        </w:rPr>
        <w:t>Kingdom of Great Britain and Northern Ireland from the European Union and the European Atomic Energy Community, and in particular Article 5(2) thereof,</w:t>
      </w:r>
    </w:p>
    <w:p w:rsidR="00275BBA" w:rsidRDefault="001261D9">
      <w:pPr>
        <w:spacing w:after="240"/>
        <w:rPr>
          <w:rFonts w:eastAsia="Times New Roman"/>
          <w:noProof/>
          <w:szCs w:val="24"/>
          <w:lang w:val="en-IE"/>
        </w:rPr>
      </w:pPr>
      <w:r>
        <w:rPr>
          <w:rFonts w:eastAsia="Times New Roman"/>
          <w:noProof/>
          <w:szCs w:val="24"/>
          <w:lang w:val="en-IE"/>
        </w:rPr>
        <w:t>HAS DECIDED AS FOLLOWS:</w:t>
      </w:r>
    </w:p>
    <w:p w:rsidR="00275BBA" w:rsidRDefault="001261D9">
      <w:pPr>
        <w:pStyle w:val="Titrearticle"/>
        <w:rPr>
          <w:noProof/>
        </w:rPr>
      </w:pPr>
      <w:r>
        <w:rPr>
          <w:noProof/>
        </w:rPr>
        <w:t>Article 1</w:t>
      </w:r>
    </w:p>
    <w:p w:rsidR="00275BBA" w:rsidRDefault="001261D9">
      <w:pPr>
        <w:keepNext/>
        <w:spacing w:after="360"/>
        <w:jc w:val="center"/>
        <w:rPr>
          <w:rFonts w:eastAsia="Times New Roman"/>
          <w:i/>
          <w:noProof/>
          <w:szCs w:val="24"/>
        </w:rPr>
      </w:pPr>
      <w:r>
        <w:rPr>
          <w:rFonts w:eastAsia="Times New Roman"/>
          <w:i/>
          <w:noProof/>
          <w:szCs w:val="24"/>
        </w:rPr>
        <w:t>Subject matter</w:t>
      </w:r>
    </w:p>
    <w:p w:rsidR="00275BBA" w:rsidRDefault="001261D9">
      <w:pPr>
        <w:spacing w:after="240"/>
        <w:rPr>
          <w:rFonts w:eastAsia="Times New Roman"/>
          <w:noProof/>
          <w:szCs w:val="24"/>
        </w:rPr>
      </w:pPr>
      <w:r>
        <w:rPr>
          <w:rFonts w:eastAsia="Times New Roman"/>
          <w:noProof/>
          <w:szCs w:val="24"/>
        </w:rPr>
        <w:t xml:space="preserve">This </w:t>
      </w:r>
      <w:r>
        <w:rPr>
          <w:rFonts w:eastAsia="Times New Roman"/>
          <w:noProof/>
        </w:rPr>
        <w:t>Decision</w:t>
      </w:r>
      <w:r>
        <w:rPr>
          <w:rFonts w:eastAsia="Times New Roman"/>
          <w:noProof/>
          <w:szCs w:val="24"/>
        </w:rPr>
        <w:t xml:space="preserve"> sets out rules for implementing Article 5</w:t>
      </w:r>
      <w:r>
        <w:rPr>
          <w:rFonts w:eastAsia="Times New Roman"/>
          <w:noProof/>
          <w:szCs w:val="24"/>
        </w:rPr>
        <w:t>(2) of the Protocol on Ireland / Northern Ireland (“the Protocol”) as regards:</w:t>
      </w:r>
    </w:p>
    <w:p w:rsidR="00275BBA" w:rsidRDefault="001261D9">
      <w:pPr>
        <w:pStyle w:val="Point0letter"/>
        <w:numPr>
          <w:ilvl w:val="1"/>
          <w:numId w:val="2"/>
        </w:numPr>
        <w:rPr>
          <w:noProof/>
        </w:rPr>
      </w:pPr>
      <w:r>
        <w:rPr>
          <w:noProof/>
        </w:rPr>
        <w:t>the conditions for considering that a good brought into Northern Ireland from outside the Union will not be subject to commercial processing in Northern Ireland;</w:t>
      </w:r>
    </w:p>
    <w:p w:rsidR="00275BBA" w:rsidRDefault="001261D9">
      <w:pPr>
        <w:pStyle w:val="Point0letter"/>
        <w:rPr>
          <w:rFonts w:eastAsia="Times New Roman"/>
          <w:noProof/>
          <w:color w:val="000000"/>
          <w:szCs w:val="24"/>
        </w:rPr>
      </w:pPr>
      <w:r>
        <w:rPr>
          <w:rFonts w:eastAsia="Times New Roman"/>
          <w:noProof/>
          <w:color w:val="000000"/>
          <w:szCs w:val="24"/>
        </w:rPr>
        <w:t xml:space="preserve">the </w:t>
      </w:r>
      <w:r>
        <w:rPr>
          <w:noProof/>
        </w:rPr>
        <w:t>criteria</w:t>
      </w:r>
      <w:r>
        <w:rPr>
          <w:rFonts w:eastAsia="Times New Roman"/>
          <w:noProof/>
          <w:color w:val="000000"/>
          <w:szCs w:val="24"/>
        </w:rPr>
        <w:t xml:space="preserve"> for considering that a good brought into Northern Ireland from outside the Union is not at risk of subsequently being moved into the Union.</w:t>
      </w:r>
    </w:p>
    <w:p w:rsidR="00275BBA" w:rsidRDefault="001261D9">
      <w:pPr>
        <w:pStyle w:val="Titrearticle"/>
        <w:rPr>
          <w:rFonts w:eastAsia="Times New Roman"/>
          <w:i w:val="0"/>
          <w:noProof/>
          <w:szCs w:val="24"/>
        </w:rPr>
      </w:pPr>
      <w:r>
        <w:rPr>
          <w:noProof/>
        </w:rPr>
        <w:t>Article</w:t>
      </w:r>
      <w:r>
        <w:rPr>
          <w:rFonts w:eastAsia="Times New Roman"/>
          <w:noProof/>
          <w:szCs w:val="24"/>
        </w:rPr>
        <w:t xml:space="preserve"> 2</w:t>
      </w:r>
    </w:p>
    <w:p w:rsidR="00275BBA" w:rsidRDefault="001261D9">
      <w:pPr>
        <w:keepNext/>
        <w:spacing w:after="360"/>
        <w:jc w:val="center"/>
        <w:rPr>
          <w:rFonts w:eastAsia="Times New Roman"/>
          <w:noProof/>
          <w:szCs w:val="24"/>
        </w:rPr>
      </w:pPr>
      <w:r>
        <w:rPr>
          <w:rFonts w:eastAsia="Times New Roman"/>
          <w:i/>
          <w:noProof/>
          <w:szCs w:val="24"/>
        </w:rPr>
        <w:t>Non - commercial processing</w:t>
      </w:r>
    </w:p>
    <w:p w:rsidR="00275BBA" w:rsidRDefault="001261D9">
      <w:pPr>
        <w:spacing w:after="240"/>
        <w:rPr>
          <w:rFonts w:eastAsia="Times New Roman"/>
          <w:noProof/>
          <w:szCs w:val="24"/>
        </w:rPr>
      </w:pPr>
      <w:r>
        <w:rPr>
          <w:rFonts w:eastAsia="Times New Roman"/>
          <w:noProof/>
          <w:szCs w:val="24"/>
        </w:rPr>
        <w:t xml:space="preserve">A good shall not be considered to be subject to commercial processing where:  </w:t>
      </w:r>
    </w:p>
    <w:p w:rsidR="00275BBA" w:rsidRDefault="001261D9">
      <w:pPr>
        <w:pStyle w:val="Point0letter"/>
        <w:numPr>
          <w:ilvl w:val="1"/>
          <w:numId w:val="1"/>
        </w:numPr>
        <w:rPr>
          <w:rFonts w:eastAsia="Times New Roman"/>
          <w:noProof/>
          <w:szCs w:val="24"/>
        </w:rPr>
      </w:pPr>
      <w:r>
        <w:rPr>
          <w:rFonts w:eastAsia="Times New Roman"/>
          <w:noProof/>
          <w:szCs w:val="24"/>
        </w:rPr>
        <w:t>the person who lodges a declaration for release for free circulation in respect of that good or on whose behalf such declaration is lodged (“importer”) had a total annual turnov</w:t>
      </w:r>
      <w:r>
        <w:rPr>
          <w:rFonts w:eastAsia="Times New Roman"/>
          <w:noProof/>
          <w:szCs w:val="24"/>
        </w:rPr>
        <w:t xml:space="preserve">er of less than GBP 500,000 in its most recent complete financial year; or </w:t>
      </w:r>
    </w:p>
    <w:p w:rsidR="00275BBA" w:rsidRDefault="001261D9">
      <w:pPr>
        <w:pStyle w:val="Point0letter"/>
        <w:numPr>
          <w:ilvl w:val="1"/>
          <w:numId w:val="1"/>
        </w:numPr>
        <w:rPr>
          <w:rFonts w:eastAsia="Times New Roman"/>
          <w:noProof/>
          <w:szCs w:val="24"/>
        </w:rPr>
      </w:pPr>
      <w:bookmarkStart w:id="1" w:name="_gjdgxs" w:colFirst="0" w:colLast="0"/>
      <w:bookmarkEnd w:id="1"/>
      <w:r>
        <w:rPr>
          <w:rFonts w:eastAsia="Times New Roman"/>
          <w:noProof/>
          <w:szCs w:val="24"/>
        </w:rPr>
        <w:t>the processing is in Northern Ireland and is for the sole purpose of:</w:t>
      </w:r>
    </w:p>
    <w:p w:rsidR="00275BBA" w:rsidRDefault="001261D9">
      <w:pPr>
        <w:pStyle w:val="Point1"/>
        <w:rPr>
          <w:noProof/>
        </w:rPr>
      </w:pPr>
      <w:r>
        <w:rPr>
          <w:noProof/>
        </w:rPr>
        <w:t>(i)</w:t>
      </w:r>
      <w:r>
        <w:rPr>
          <w:noProof/>
        </w:rPr>
        <w:tab/>
        <w:t>the sale of food to an end-consumer in the United Kingdom;</w:t>
      </w:r>
    </w:p>
    <w:p w:rsidR="00275BBA" w:rsidRDefault="001261D9">
      <w:pPr>
        <w:pStyle w:val="Point1"/>
        <w:rPr>
          <w:noProof/>
        </w:rPr>
      </w:pPr>
      <w:r>
        <w:rPr>
          <w:noProof/>
        </w:rPr>
        <w:t>(ii)</w:t>
      </w:r>
      <w:r>
        <w:rPr>
          <w:noProof/>
        </w:rPr>
        <w:tab/>
        <w:t>construction, where the processed goods fo</w:t>
      </w:r>
      <w:r>
        <w:rPr>
          <w:noProof/>
        </w:rPr>
        <w:t>rm a permanent part of a structure that is constructed and located in Northern Ireland by the importer;</w:t>
      </w:r>
    </w:p>
    <w:p w:rsidR="00275BBA" w:rsidRDefault="001261D9">
      <w:pPr>
        <w:pStyle w:val="Point1"/>
        <w:rPr>
          <w:noProof/>
        </w:rPr>
      </w:pPr>
      <w:r>
        <w:rPr>
          <w:noProof/>
        </w:rPr>
        <w:t>(iii)</w:t>
      </w:r>
      <w:r>
        <w:rPr>
          <w:noProof/>
        </w:rPr>
        <w:tab/>
        <w:t>direct provision to the recipient of health or care services by the importer in Northern Ireland;</w:t>
      </w:r>
    </w:p>
    <w:p w:rsidR="00275BBA" w:rsidRDefault="001261D9">
      <w:pPr>
        <w:pStyle w:val="Point1"/>
        <w:rPr>
          <w:noProof/>
        </w:rPr>
      </w:pPr>
      <w:r>
        <w:rPr>
          <w:noProof/>
        </w:rPr>
        <w:t>(iv)</w:t>
      </w:r>
      <w:r>
        <w:rPr>
          <w:noProof/>
        </w:rPr>
        <w:tab/>
        <w:t>not for profit activities in Northern Irela</w:t>
      </w:r>
      <w:r>
        <w:rPr>
          <w:noProof/>
        </w:rPr>
        <w:t>nd, where there is no subsequent sale of the processed good by the importer; or</w:t>
      </w:r>
    </w:p>
    <w:p w:rsidR="00275BBA" w:rsidRDefault="001261D9">
      <w:pPr>
        <w:pStyle w:val="Point1"/>
        <w:rPr>
          <w:noProof/>
        </w:rPr>
      </w:pPr>
      <w:r>
        <w:rPr>
          <w:noProof/>
        </w:rPr>
        <w:t>(v)</w:t>
      </w:r>
      <w:r>
        <w:rPr>
          <w:noProof/>
        </w:rPr>
        <w:tab/>
        <w:t>the final use of animal feed on premises located in Northern Ireland by the importer.</w:t>
      </w:r>
    </w:p>
    <w:p w:rsidR="00275BBA" w:rsidRDefault="001261D9">
      <w:pPr>
        <w:pStyle w:val="Titrearticle"/>
        <w:rPr>
          <w:rFonts w:eastAsia="Times New Roman"/>
          <w:i w:val="0"/>
          <w:noProof/>
          <w:szCs w:val="24"/>
        </w:rPr>
      </w:pPr>
      <w:r>
        <w:rPr>
          <w:rFonts w:eastAsia="Times New Roman"/>
          <w:noProof/>
          <w:szCs w:val="24"/>
        </w:rPr>
        <w:t>Article 3</w:t>
      </w:r>
    </w:p>
    <w:p w:rsidR="00275BBA" w:rsidRDefault="001261D9">
      <w:pPr>
        <w:keepNext/>
        <w:spacing w:after="360"/>
        <w:jc w:val="center"/>
        <w:rPr>
          <w:rFonts w:eastAsia="Times New Roman"/>
          <w:i/>
          <w:noProof/>
          <w:szCs w:val="24"/>
        </w:rPr>
      </w:pPr>
      <w:r>
        <w:rPr>
          <w:rFonts w:eastAsia="Times New Roman"/>
          <w:i/>
          <w:noProof/>
          <w:szCs w:val="24"/>
        </w:rPr>
        <w:t>Criteria for considering goods not to be at risk of subsequently being moved</w:t>
      </w:r>
      <w:r>
        <w:rPr>
          <w:rFonts w:eastAsia="Times New Roman"/>
          <w:i/>
          <w:noProof/>
          <w:szCs w:val="24"/>
        </w:rPr>
        <w:t xml:space="preserve"> into the Union</w:t>
      </w:r>
    </w:p>
    <w:p w:rsidR="00275BBA" w:rsidRDefault="001261D9">
      <w:pPr>
        <w:pStyle w:val="NumPar1"/>
        <w:numPr>
          <w:ilvl w:val="0"/>
          <w:numId w:val="12"/>
        </w:numPr>
        <w:rPr>
          <w:noProof/>
        </w:rPr>
      </w:pPr>
      <w:r>
        <w:rPr>
          <w:noProof/>
        </w:rPr>
        <w:t>A good shall be considered not to be at risk of subsequently being moved into the Union, where it is not considered to be subject to commercial processing in accordance with Article 2, and where:</w:t>
      </w:r>
    </w:p>
    <w:p w:rsidR="00275BBA" w:rsidRDefault="00275BBA">
      <w:pPr>
        <w:pBdr>
          <w:top w:val="nil"/>
          <w:left w:val="nil"/>
          <w:bottom w:val="nil"/>
          <w:right w:val="nil"/>
          <w:between w:val="nil"/>
        </w:pBdr>
        <w:spacing w:after="0"/>
        <w:ind w:left="357"/>
        <w:rPr>
          <w:rFonts w:eastAsia="Times New Roman"/>
          <w:noProof/>
          <w:color w:val="000000"/>
          <w:szCs w:val="24"/>
        </w:rPr>
      </w:pPr>
    </w:p>
    <w:p w:rsidR="00275BBA" w:rsidRDefault="001261D9">
      <w:pPr>
        <w:pStyle w:val="Point1letter"/>
        <w:rPr>
          <w:noProof/>
        </w:rPr>
      </w:pPr>
      <w:r>
        <w:rPr>
          <w:noProof/>
        </w:rPr>
        <w:t xml:space="preserve">in the case of goods brought into Northern </w:t>
      </w:r>
      <w:r>
        <w:rPr>
          <w:noProof/>
        </w:rPr>
        <w:t>Ireland from another part of the United Kingdom by direct transport,</w:t>
      </w:r>
    </w:p>
    <w:p w:rsidR="00275BBA" w:rsidRDefault="001261D9">
      <w:pPr>
        <w:pStyle w:val="Point2"/>
        <w:rPr>
          <w:noProof/>
        </w:rPr>
      </w:pPr>
      <w:r>
        <w:rPr>
          <w:noProof/>
        </w:rPr>
        <w:t>(i)</w:t>
      </w:r>
      <w:r>
        <w:rPr>
          <w:noProof/>
        </w:rPr>
        <w:tab/>
        <w:t>the duty payable according to the Union Common Customs Tariff is equal to zero, or</w:t>
      </w:r>
    </w:p>
    <w:p w:rsidR="00275BBA" w:rsidRDefault="001261D9">
      <w:pPr>
        <w:pStyle w:val="Point2"/>
        <w:rPr>
          <w:noProof/>
        </w:rPr>
      </w:pPr>
      <w:r>
        <w:rPr>
          <w:noProof/>
        </w:rPr>
        <w:t>(ii)</w:t>
      </w:r>
      <w:r>
        <w:rPr>
          <w:noProof/>
        </w:rPr>
        <w:tab/>
        <w:t>the importer has been authorised in accordance with Articles 5 to 7 of this Decision to bring t</w:t>
      </w:r>
      <w:r>
        <w:rPr>
          <w:noProof/>
        </w:rPr>
        <w:t>hat good into Northern Ireland for its sale to, or final use by, end-consumers located in the United Kingdom, including where that good has been subject to non-commercial processing in accordance with Article 2 before its sale to, or final use by, end-cons</w:t>
      </w:r>
      <w:r>
        <w:rPr>
          <w:noProof/>
        </w:rPr>
        <w:t>umers;</w:t>
      </w:r>
    </w:p>
    <w:p w:rsidR="00275BBA" w:rsidRDefault="00275BBA">
      <w:pPr>
        <w:pBdr>
          <w:top w:val="nil"/>
          <w:left w:val="nil"/>
          <w:bottom w:val="nil"/>
          <w:right w:val="nil"/>
          <w:between w:val="nil"/>
        </w:pBdr>
        <w:spacing w:after="0"/>
        <w:ind w:left="1437"/>
        <w:rPr>
          <w:rFonts w:eastAsia="Times New Roman"/>
          <w:noProof/>
          <w:color w:val="000000"/>
          <w:szCs w:val="24"/>
        </w:rPr>
      </w:pPr>
    </w:p>
    <w:p w:rsidR="00275BBA" w:rsidRDefault="001261D9">
      <w:pPr>
        <w:pStyle w:val="Point1letter"/>
        <w:rPr>
          <w:noProof/>
        </w:rPr>
      </w:pPr>
      <w:r>
        <w:rPr>
          <w:noProof/>
        </w:rPr>
        <w:t xml:space="preserve">in the case of goods brought into Northern Ireland by direct transport other than from the Union or another part of the United Kingdom, </w:t>
      </w:r>
    </w:p>
    <w:p w:rsidR="00275BBA" w:rsidRDefault="001261D9">
      <w:pPr>
        <w:pStyle w:val="Point2"/>
        <w:rPr>
          <w:noProof/>
        </w:rPr>
      </w:pPr>
      <w:r>
        <w:rPr>
          <w:noProof/>
        </w:rPr>
        <w:t>(i)</w:t>
      </w:r>
      <w:r>
        <w:rPr>
          <w:noProof/>
        </w:rPr>
        <w:tab/>
        <w:t xml:space="preserve">the duty payable according to the Union Common Customs Tariff is equal to or less than the duty payable </w:t>
      </w:r>
      <w:r>
        <w:rPr>
          <w:noProof/>
        </w:rPr>
        <w:t>according to the customs tariff of the United Kingdom, or</w:t>
      </w:r>
    </w:p>
    <w:p w:rsidR="00275BBA" w:rsidRDefault="001261D9">
      <w:pPr>
        <w:pStyle w:val="Point2"/>
        <w:rPr>
          <w:noProof/>
        </w:rPr>
      </w:pPr>
      <w:r>
        <w:rPr>
          <w:noProof/>
        </w:rPr>
        <w:t>(ii)</w:t>
      </w:r>
      <w:r>
        <w:rPr>
          <w:noProof/>
        </w:rPr>
        <w:tab/>
        <w:t>the importer has been authorised in accordance with Articles 5 to 7 of this decision to bring that good into Northern Ireland for its sale to, or final use by, end-consumers located in Northern</w:t>
      </w:r>
      <w:r>
        <w:rPr>
          <w:noProof/>
        </w:rPr>
        <w:t xml:space="preserve"> Ireland (including where that good has been subject to non-commercial processing in accordance with Article 2 before its sale to, or final use by, end-consumers), and the difference between the duty payable according to the Union Common Customs Tariff and</w:t>
      </w:r>
      <w:r>
        <w:rPr>
          <w:noProof/>
        </w:rPr>
        <w:t xml:space="preserve"> the duty payable according to the customs tariff of the United Kingdom is lower than 3% of the customs value of the good.</w:t>
      </w:r>
      <w:r>
        <w:rPr>
          <w:noProof/>
          <w:color w:val="000000"/>
        </w:rPr>
        <w:t xml:space="preserve"> </w:t>
      </w:r>
    </w:p>
    <w:p w:rsidR="00275BBA" w:rsidRDefault="00275BBA">
      <w:pPr>
        <w:pBdr>
          <w:top w:val="nil"/>
          <w:left w:val="nil"/>
          <w:bottom w:val="nil"/>
          <w:right w:val="nil"/>
          <w:between w:val="nil"/>
        </w:pBdr>
        <w:spacing w:after="0"/>
        <w:ind w:left="1417" w:hanging="708"/>
        <w:rPr>
          <w:rFonts w:eastAsia="Times New Roman"/>
          <w:noProof/>
          <w:szCs w:val="24"/>
        </w:rPr>
      </w:pPr>
    </w:p>
    <w:p w:rsidR="00275BBA" w:rsidRDefault="001261D9">
      <w:pPr>
        <w:pStyle w:val="NumPar1"/>
        <w:numPr>
          <w:ilvl w:val="0"/>
          <w:numId w:val="12"/>
        </w:numPr>
        <w:rPr>
          <w:noProof/>
        </w:rPr>
      </w:pPr>
      <w:r>
        <w:rPr>
          <w:noProof/>
        </w:rPr>
        <w:t xml:space="preserve">Paragraphs (1)(a)(ii) and (1)(b)(ii) shall not apply to goods subject to trade defence measures adopted by the Union. </w:t>
      </w:r>
    </w:p>
    <w:p w:rsidR="00275BBA" w:rsidRDefault="001261D9">
      <w:pPr>
        <w:pStyle w:val="Titrearticle"/>
        <w:keepLines/>
        <w:rPr>
          <w:rFonts w:eastAsia="Times New Roman"/>
          <w:i w:val="0"/>
          <w:noProof/>
          <w:szCs w:val="24"/>
        </w:rPr>
      </w:pPr>
      <w:bookmarkStart w:id="2" w:name="_30j0zll" w:colFirst="0" w:colLast="0"/>
      <w:bookmarkEnd w:id="2"/>
      <w:r>
        <w:rPr>
          <w:rFonts w:eastAsia="Times New Roman"/>
          <w:noProof/>
          <w:szCs w:val="24"/>
        </w:rPr>
        <w:t>Article 4</w:t>
      </w:r>
    </w:p>
    <w:p w:rsidR="00275BBA" w:rsidRDefault="001261D9">
      <w:pPr>
        <w:keepNext/>
        <w:keepLines/>
        <w:tabs>
          <w:tab w:val="left" w:pos="1074"/>
          <w:tab w:val="center" w:pos="4536"/>
        </w:tabs>
        <w:spacing w:after="360"/>
        <w:jc w:val="center"/>
        <w:rPr>
          <w:rFonts w:eastAsia="Times New Roman"/>
          <w:i/>
          <w:noProof/>
          <w:szCs w:val="24"/>
        </w:rPr>
      </w:pPr>
      <w:r>
        <w:rPr>
          <w:rFonts w:eastAsia="Times New Roman"/>
          <w:i/>
          <w:noProof/>
          <w:szCs w:val="24"/>
        </w:rPr>
        <w:t>De</w:t>
      </w:r>
      <w:r>
        <w:rPr>
          <w:rFonts w:eastAsia="Times New Roman"/>
          <w:i/>
          <w:noProof/>
          <w:szCs w:val="24"/>
        </w:rPr>
        <w:t>termination of the applicable duties</w:t>
      </w:r>
    </w:p>
    <w:p w:rsidR="00275BBA" w:rsidRDefault="001261D9">
      <w:pPr>
        <w:keepNext/>
        <w:keepLines/>
        <w:spacing w:after="240"/>
        <w:rPr>
          <w:rFonts w:eastAsia="Times New Roman"/>
          <w:noProof/>
          <w:szCs w:val="24"/>
        </w:rPr>
      </w:pPr>
      <w:bookmarkStart w:id="3" w:name="_1fob9te" w:colFirst="0" w:colLast="0"/>
      <w:bookmarkEnd w:id="3"/>
      <w:r>
        <w:rPr>
          <w:rFonts w:eastAsia="Times New Roman"/>
          <w:noProof/>
          <w:szCs w:val="24"/>
        </w:rPr>
        <w:t>For the purposes of Article 3(1)(a)(i) and 3(1)(b) the following rules shall apply:</w:t>
      </w:r>
    </w:p>
    <w:p w:rsidR="00275BBA" w:rsidRDefault="001261D9">
      <w:pPr>
        <w:pStyle w:val="Point0letter"/>
        <w:numPr>
          <w:ilvl w:val="1"/>
          <w:numId w:val="11"/>
        </w:numPr>
        <w:rPr>
          <w:noProof/>
        </w:rPr>
      </w:pPr>
      <w:r>
        <w:rPr>
          <w:noProof/>
        </w:rPr>
        <w:t>the duty payable according to the Union Common Customs Tariff to a good shall be determined in accordance with the rules set out in the</w:t>
      </w:r>
      <w:r>
        <w:rPr>
          <w:noProof/>
        </w:rPr>
        <w:t xml:space="preserve"> Union customs legislation;</w:t>
      </w:r>
    </w:p>
    <w:p w:rsidR="00275BBA" w:rsidRDefault="001261D9">
      <w:pPr>
        <w:pStyle w:val="Point0letter"/>
        <w:numPr>
          <w:ilvl w:val="1"/>
          <w:numId w:val="11"/>
        </w:numPr>
        <w:rPr>
          <w:rFonts w:eastAsia="Times New Roman"/>
          <w:noProof/>
          <w:color w:val="000000"/>
          <w:szCs w:val="24"/>
        </w:rPr>
      </w:pPr>
      <w:r>
        <w:rPr>
          <w:noProof/>
        </w:rPr>
        <w:t>the</w:t>
      </w:r>
      <w:r>
        <w:rPr>
          <w:rFonts w:eastAsia="Times New Roman"/>
          <w:noProof/>
          <w:color w:val="000000"/>
          <w:szCs w:val="24"/>
        </w:rPr>
        <w:t xml:space="preserve"> duty payable according to the customs tariff of the United Kingdom to a good shall be determined in accordance with the rules set out in the customs legislation of the United Kingdom.</w:t>
      </w:r>
    </w:p>
    <w:p w:rsidR="00275BBA" w:rsidRDefault="001261D9">
      <w:pPr>
        <w:pStyle w:val="Titrearticle"/>
        <w:keepLines/>
        <w:rPr>
          <w:rFonts w:eastAsia="Times New Roman"/>
          <w:i w:val="0"/>
          <w:noProof/>
          <w:szCs w:val="24"/>
        </w:rPr>
      </w:pPr>
      <w:r>
        <w:rPr>
          <w:rFonts w:eastAsia="Times New Roman"/>
          <w:noProof/>
          <w:szCs w:val="24"/>
        </w:rPr>
        <w:t>Article 5</w:t>
      </w:r>
    </w:p>
    <w:p w:rsidR="00275BBA" w:rsidRDefault="001261D9">
      <w:pPr>
        <w:keepNext/>
        <w:spacing w:after="360"/>
        <w:jc w:val="center"/>
        <w:rPr>
          <w:rFonts w:eastAsia="Times New Roman"/>
          <w:i/>
          <w:noProof/>
          <w:szCs w:val="24"/>
        </w:rPr>
      </w:pPr>
      <w:r>
        <w:rPr>
          <w:rFonts w:eastAsia="Times New Roman"/>
          <w:i/>
          <w:noProof/>
          <w:szCs w:val="24"/>
        </w:rPr>
        <w:t>Authorisation for the purposes</w:t>
      </w:r>
      <w:r>
        <w:rPr>
          <w:rFonts w:eastAsia="Times New Roman"/>
          <w:i/>
          <w:noProof/>
          <w:szCs w:val="24"/>
        </w:rPr>
        <w:t xml:space="preserve"> in Article 3</w:t>
      </w:r>
    </w:p>
    <w:p w:rsidR="00275BBA" w:rsidRDefault="001261D9">
      <w:pPr>
        <w:pStyle w:val="NumPar1"/>
        <w:numPr>
          <w:ilvl w:val="0"/>
          <w:numId w:val="13"/>
        </w:numPr>
        <w:rPr>
          <w:noProof/>
        </w:rPr>
      </w:pPr>
      <w:r>
        <w:rPr>
          <w:noProof/>
        </w:rPr>
        <w:t>For the purposes of Articles 3(1)(a)(ii) and 3(1)(b)(ii), an application for an authorisation to bring goods into Northern Ireland by direct transport for sale to, or final use by, end-consumers shall be submitted to the competent authority o</w:t>
      </w:r>
      <w:r>
        <w:rPr>
          <w:noProof/>
        </w:rPr>
        <w:t xml:space="preserve">f the United Kingdom. </w:t>
      </w:r>
    </w:p>
    <w:p w:rsidR="00275BBA" w:rsidRDefault="001261D9">
      <w:pPr>
        <w:pStyle w:val="NumPar1"/>
        <w:numPr>
          <w:ilvl w:val="0"/>
          <w:numId w:val="13"/>
        </w:numPr>
        <w:rPr>
          <w:rFonts w:eastAsia="Times New Roman"/>
          <w:noProof/>
          <w:color w:val="000000"/>
          <w:szCs w:val="24"/>
        </w:rPr>
      </w:pPr>
      <w:r>
        <w:rPr>
          <w:noProof/>
        </w:rPr>
        <w:t>The</w:t>
      </w:r>
      <w:r>
        <w:rPr>
          <w:rFonts w:eastAsia="Times New Roman"/>
          <w:noProof/>
          <w:color w:val="000000"/>
          <w:szCs w:val="24"/>
        </w:rPr>
        <w:t xml:space="preserve"> application for the authorisation referred to in paragraph 1 shall contain information on the applicant’s business activities, on the goods typically brought into Northern Ireland, as well as a description of the type of records,</w:t>
      </w:r>
      <w:r>
        <w:rPr>
          <w:rFonts w:eastAsia="Times New Roman"/>
          <w:noProof/>
          <w:color w:val="000000"/>
          <w:szCs w:val="24"/>
        </w:rPr>
        <w:t xml:space="preserve"> systems and controls put in place by the applicant to ensure that the goods covered by the authorisation are properly declared for customs purposes and evidence can be provided to support the undertaking in Article 6(b). The trader shall keep the evidence</w:t>
      </w:r>
      <w:r>
        <w:rPr>
          <w:rFonts w:eastAsia="Times New Roman"/>
          <w:noProof/>
          <w:color w:val="000000"/>
          <w:szCs w:val="24"/>
        </w:rPr>
        <w:t xml:space="preserve">, e.g. invoices, for the past </w:t>
      </w:r>
      <w:r>
        <w:rPr>
          <w:rFonts w:eastAsia="Times New Roman"/>
          <w:noProof/>
        </w:rPr>
        <w:t>five years</w:t>
      </w:r>
      <w:r>
        <w:rPr>
          <w:rFonts w:eastAsia="Times New Roman"/>
          <w:noProof/>
          <w:color w:val="000000"/>
          <w:szCs w:val="24"/>
        </w:rPr>
        <w:t xml:space="preserve"> and shall provide it to the competent authorities upon their request. The data requirements of the application are set out in detail in the Annex to this Decision.</w:t>
      </w:r>
    </w:p>
    <w:p w:rsidR="00275BBA" w:rsidRDefault="001261D9">
      <w:pPr>
        <w:pStyle w:val="NumPar1"/>
        <w:numPr>
          <w:ilvl w:val="0"/>
          <w:numId w:val="13"/>
        </w:numPr>
        <w:rPr>
          <w:rFonts w:eastAsia="Times New Roman"/>
          <w:noProof/>
          <w:color w:val="000000"/>
          <w:szCs w:val="24"/>
        </w:rPr>
      </w:pPr>
      <w:r>
        <w:rPr>
          <w:rFonts w:eastAsia="Times New Roman"/>
          <w:noProof/>
          <w:color w:val="000000"/>
          <w:szCs w:val="24"/>
        </w:rPr>
        <w:t xml:space="preserve">The authorisation shall at least indicate the </w:t>
      </w:r>
      <w:r>
        <w:rPr>
          <w:rFonts w:eastAsia="Times New Roman"/>
          <w:noProof/>
          <w:color w:val="000000"/>
          <w:szCs w:val="24"/>
        </w:rPr>
        <w:t>following:</w:t>
      </w:r>
    </w:p>
    <w:p w:rsidR="00275BBA" w:rsidRDefault="001261D9">
      <w:pPr>
        <w:pStyle w:val="Point1letter"/>
        <w:rPr>
          <w:noProof/>
        </w:rPr>
      </w:pPr>
      <w:r>
        <w:rPr>
          <w:noProof/>
        </w:rPr>
        <w:t>the name of the person to whom the authorisation has been granted (“authorisation holder”);</w:t>
      </w:r>
    </w:p>
    <w:p w:rsidR="00275BBA" w:rsidRDefault="001261D9">
      <w:pPr>
        <w:pStyle w:val="Point1letter"/>
        <w:rPr>
          <w:noProof/>
        </w:rPr>
      </w:pPr>
      <w:r>
        <w:rPr>
          <w:noProof/>
        </w:rPr>
        <w:t xml:space="preserve">a single reference number attributed by the competent customs authority to the decision (“authorisation reference number”); </w:t>
      </w:r>
    </w:p>
    <w:p w:rsidR="00275BBA" w:rsidRDefault="001261D9">
      <w:pPr>
        <w:pStyle w:val="Point1letter"/>
        <w:rPr>
          <w:noProof/>
        </w:rPr>
      </w:pPr>
      <w:r>
        <w:rPr>
          <w:noProof/>
        </w:rPr>
        <w:t>the authority having granted</w:t>
      </w:r>
      <w:r>
        <w:rPr>
          <w:noProof/>
        </w:rPr>
        <w:t xml:space="preserve"> the authorisation;</w:t>
      </w:r>
    </w:p>
    <w:p w:rsidR="00275BBA" w:rsidRDefault="001261D9">
      <w:pPr>
        <w:pStyle w:val="Point1letter"/>
        <w:rPr>
          <w:noProof/>
        </w:rPr>
      </w:pPr>
      <w:r>
        <w:rPr>
          <w:noProof/>
        </w:rPr>
        <w:t>the date of taking effect of the authorisation.</w:t>
      </w:r>
    </w:p>
    <w:p w:rsidR="00275BBA" w:rsidRDefault="001261D9">
      <w:pPr>
        <w:pStyle w:val="NumPar1"/>
        <w:numPr>
          <w:ilvl w:val="0"/>
          <w:numId w:val="13"/>
        </w:numPr>
        <w:rPr>
          <w:rFonts w:eastAsia="Times New Roman"/>
          <w:noProof/>
          <w:color w:val="000000"/>
          <w:szCs w:val="24"/>
        </w:rPr>
      </w:pPr>
      <w:r>
        <w:rPr>
          <w:rFonts w:eastAsia="Times New Roman"/>
          <w:noProof/>
          <w:color w:val="000000"/>
          <w:szCs w:val="24"/>
        </w:rPr>
        <w:t xml:space="preserve">The provisions of Union customs legislation on decisions relating to the application of the customs legislation shall apply to applications and authorisations referred to in this Article, </w:t>
      </w:r>
      <w:r>
        <w:rPr>
          <w:rFonts w:eastAsia="Times New Roman"/>
          <w:noProof/>
          <w:color w:val="000000"/>
          <w:szCs w:val="24"/>
        </w:rPr>
        <w:t xml:space="preserve">including as regards monitoring. </w:t>
      </w:r>
    </w:p>
    <w:p w:rsidR="00275BBA" w:rsidRDefault="001261D9">
      <w:pPr>
        <w:pStyle w:val="NumPar1"/>
        <w:numPr>
          <w:ilvl w:val="0"/>
          <w:numId w:val="13"/>
        </w:numPr>
        <w:rPr>
          <w:rFonts w:eastAsia="Times New Roman"/>
          <w:noProof/>
          <w:color w:val="000000"/>
          <w:szCs w:val="24"/>
        </w:rPr>
      </w:pPr>
      <w:r>
        <w:rPr>
          <w:rFonts w:eastAsia="Times New Roman"/>
          <w:noProof/>
          <w:color w:val="000000"/>
          <w:szCs w:val="24"/>
        </w:rPr>
        <w:t>In cases where the competent customs authority of the United Kingdom observes deliberate mis-use of an authorisation or breaches of conditions for an authorisation set out in this Decision the authority shall suspend or re</w:t>
      </w:r>
      <w:r>
        <w:rPr>
          <w:rFonts w:eastAsia="Times New Roman"/>
          <w:noProof/>
          <w:color w:val="000000"/>
          <w:szCs w:val="24"/>
        </w:rPr>
        <w:t>voke the authorisation.</w:t>
      </w:r>
    </w:p>
    <w:p w:rsidR="00275BBA" w:rsidRDefault="001261D9">
      <w:pPr>
        <w:pStyle w:val="Titrearticle"/>
        <w:keepLines/>
        <w:rPr>
          <w:rFonts w:eastAsia="Times New Roman"/>
          <w:i w:val="0"/>
          <w:noProof/>
          <w:szCs w:val="24"/>
        </w:rPr>
      </w:pPr>
      <w:r>
        <w:rPr>
          <w:rFonts w:eastAsia="Times New Roman"/>
          <w:noProof/>
          <w:szCs w:val="24"/>
        </w:rPr>
        <w:t>Article 6</w:t>
      </w:r>
    </w:p>
    <w:p w:rsidR="00275BBA" w:rsidRDefault="001261D9">
      <w:pPr>
        <w:keepNext/>
        <w:spacing w:after="360"/>
        <w:jc w:val="center"/>
        <w:rPr>
          <w:rFonts w:eastAsia="Times New Roman"/>
          <w:i/>
          <w:noProof/>
          <w:szCs w:val="24"/>
        </w:rPr>
      </w:pPr>
      <w:r>
        <w:rPr>
          <w:rFonts w:eastAsia="Times New Roman"/>
          <w:i/>
          <w:noProof/>
          <w:szCs w:val="24"/>
        </w:rPr>
        <w:t>General conditions for authorisation</w:t>
      </w:r>
    </w:p>
    <w:p w:rsidR="00275BBA" w:rsidRDefault="001261D9">
      <w:pPr>
        <w:spacing w:after="240"/>
        <w:rPr>
          <w:rFonts w:eastAsia="Times New Roman"/>
          <w:noProof/>
          <w:szCs w:val="24"/>
        </w:rPr>
      </w:pPr>
      <w:r>
        <w:rPr>
          <w:rFonts w:eastAsia="Times New Roman"/>
          <w:noProof/>
          <w:szCs w:val="24"/>
        </w:rPr>
        <w:t xml:space="preserve">For the purposes of Articles 3(1)(a)(ii) and 3(1)(b)(ii), an authorisation may be granted to applicants who: </w:t>
      </w:r>
    </w:p>
    <w:p w:rsidR="00275BBA" w:rsidRDefault="001261D9">
      <w:pPr>
        <w:pStyle w:val="Point0letter"/>
        <w:numPr>
          <w:ilvl w:val="1"/>
          <w:numId w:val="14"/>
        </w:numPr>
        <w:rPr>
          <w:noProof/>
        </w:rPr>
      </w:pPr>
      <w:r>
        <w:rPr>
          <w:noProof/>
        </w:rPr>
        <w:t xml:space="preserve">meet the following establishment criteria: </w:t>
      </w:r>
    </w:p>
    <w:p w:rsidR="00275BBA" w:rsidRDefault="001261D9">
      <w:pPr>
        <w:pStyle w:val="Point1"/>
        <w:rPr>
          <w:noProof/>
        </w:rPr>
      </w:pPr>
      <w:r>
        <w:rPr>
          <w:noProof/>
        </w:rPr>
        <w:t>(i)</w:t>
      </w:r>
      <w:r>
        <w:rPr>
          <w:noProof/>
        </w:rPr>
        <w:tab/>
        <w:t>they are established in Nor</w:t>
      </w:r>
      <w:r>
        <w:rPr>
          <w:noProof/>
        </w:rPr>
        <w:t xml:space="preserve">thern Ireland or they have a fixed place of business in Northern Ireland </w:t>
      </w:r>
    </w:p>
    <w:p w:rsidR="00275BBA" w:rsidRDefault="001261D9">
      <w:pPr>
        <w:pStyle w:val="Tiret2"/>
        <w:numPr>
          <w:ilvl w:val="0"/>
          <w:numId w:val="18"/>
        </w:numPr>
        <w:rPr>
          <w:noProof/>
        </w:rPr>
      </w:pPr>
      <w:r>
        <w:rPr>
          <w:rFonts w:eastAsia="Times New Roman"/>
          <w:noProof/>
          <w:color w:val="000000"/>
          <w:szCs w:val="24"/>
        </w:rPr>
        <w:t xml:space="preserve">where human and technical resources are permanently present; and </w:t>
      </w:r>
    </w:p>
    <w:p w:rsidR="00275BBA" w:rsidRDefault="001261D9">
      <w:pPr>
        <w:pStyle w:val="Tiret2"/>
        <w:rPr>
          <w:noProof/>
        </w:rPr>
      </w:pPr>
      <w:r>
        <w:rPr>
          <w:noProof/>
        </w:rPr>
        <w:t xml:space="preserve">from where goods are sold to, or provided for final use by, end-consumers; and </w:t>
      </w:r>
    </w:p>
    <w:p w:rsidR="00275BBA" w:rsidRDefault="001261D9">
      <w:pPr>
        <w:pStyle w:val="Tiret2"/>
        <w:rPr>
          <w:noProof/>
        </w:rPr>
      </w:pPr>
      <w:r>
        <w:rPr>
          <w:rFonts w:eastAsia="Times New Roman"/>
          <w:noProof/>
          <w:color w:val="000000"/>
          <w:szCs w:val="24"/>
        </w:rPr>
        <w:t>where customs, commercial and transp</w:t>
      </w:r>
      <w:r>
        <w:rPr>
          <w:rFonts w:eastAsia="Times New Roman"/>
          <w:noProof/>
          <w:color w:val="000000"/>
          <w:szCs w:val="24"/>
        </w:rPr>
        <w:t>ort records and information are available or accessible in Northern Ireland, and</w:t>
      </w:r>
    </w:p>
    <w:p w:rsidR="00275BBA" w:rsidRDefault="001261D9">
      <w:pPr>
        <w:pStyle w:val="Point1"/>
        <w:rPr>
          <w:noProof/>
          <w:color w:val="000000"/>
        </w:rPr>
      </w:pPr>
      <w:r>
        <w:rPr>
          <w:noProof/>
        </w:rPr>
        <w:t>(ii)</w:t>
      </w:r>
      <w:r>
        <w:rPr>
          <w:noProof/>
        </w:rPr>
        <w:tab/>
        <w:t>in case they are not established in Northern Ireland, their customs-related operations are carried out in the United Kingdom and they have an indirect customs representat</w:t>
      </w:r>
      <w:r>
        <w:rPr>
          <w:noProof/>
        </w:rPr>
        <w:t xml:space="preserve">ive in Northern Ireland; </w:t>
      </w:r>
    </w:p>
    <w:p w:rsidR="00275BBA" w:rsidRDefault="001261D9">
      <w:pPr>
        <w:pStyle w:val="Point0letter"/>
        <w:rPr>
          <w:noProof/>
        </w:rPr>
      </w:pPr>
      <w:r>
        <w:rPr>
          <w:noProof/>
        </w:rPr>
        <w:t>undertake to bring goods into Northern Ireland solely for sale to, or final use by, end-consumers, including where those goods have been subject to non-commercial processing in accordance with Article 2 before their sale to, or fi</w:t>
      </w:r>
      <w:r>
        <w:rPr>
          <w:noProof/>
        </w:rPr>
        <w:t>nal use by, end-consumers; and, in the case of a sale to end-consumers in Northern Ireland, undertake that the sale will be from  one or several physical outlets in Northern Ireland from which physical direct sales are made to end-consumers.</w:t>
      </w:r>
    </w:p>
    <w:p w:rsidR="00275BBA" w:rsidRDefault="001261D9">
      <w:pPr>
        <w:pStyle w:val="Titrearticle"/>
        <w:keepLines/>
        <w:rPr>
          <w:rFonts w:eastAsia="Times New Roman"/>
          <w:noProof/>
          <w:szCs w:val="24"/>
        </w:rPr>
      </w:pPr>
      <w:r>
        <w:rPr>
          <w:rFonts w:eastAsia="Times New Roman"/>
          <w:noProof/>
          <w:szCs w:val="24"/>
        </w:rPr>
        <w:t>Article 7</w:t>
      </w:r>
    </w:p>
    <w:p w:rsidR="00275BBA" w:rsidRDefault="001261D9">
      <w:pPr>
        <w:keepNext/>
        <w:spacing w:after="360"/>
        <w:jc w:val="center"/>
        <w:rPr>
          <w:rFonts w:eastAsia="Times New Roman"/>
          <w:i/>
          <w:noProof/>
          <w:szCs w:val="24"/>
        </w:rPr>
      </w:pPr>
      <w:r>
        <w:rPr>
          <w:rFonts w:eastAsia="Times New Roman"/>
          <w:i/>
          <w:noProof/>
          <w:szCs w:val="24"/>
        </w:rPr>
        <w:t>Spec</w:t>
      </w:r>
      <w:r>
        <w:rPr>
          <w:rFonts w:eastAsia="Times New Roman"/>
          <w:i/>
          <w:noProof/>
          <w:szCs w:val="24"/>
        </w:rPr>
        <w:t xml:space="preserve">ific conditions for authorisation </w:t>
      </w:r>
    </w:p>
    <w:p w:rsidR="00275BBA" w:rsidRDefault="001261D9">
      <w:pPr>
        <w:pStyle w:val="NumPar1"/>
        <w:numPr>
          <w:ilvl w:val="0"/>
          <w:numId w:val="15"/>
        </w:numPr>
        <w:rPr>
          <w:noProof/>
        </w:rPr>
      </w:pPr>
      <w:r>
        <w:rPr>
          <w:noProof/>
        </w:rPr>
        <w:t>For the purposes of Articles 3(1)(a)(ii) and 3(1)(b)(ii), an authorisation to bring goods into Northern Ireland shall only be granted to applicants fulfilling the conditions set out in Article 6 and the following conditio</w:t>
      </w:r>
      <w:r>
        <w:rPr>
          <w:noProof/>
        </w:rPr>
        <w:t xml:space="preserve">ns: </w:t>
      </w:r>
    </w:p>
    <w:p w:rsidR="00275BBA" w:rsidRDefault="001261D9">
      <w:pPr>
        <w:pStyle w:val="Point1letter"/>
        <w:rPr>
          <w:noProof/>
        </w:rPr>
      </w:pPr>
      <w:r>
        <w:rPr>
          <w:noProof/>
        </w:rPr>
        <w:t xml:space="preserve">the applicant declares they will declare for release for free circulation goods brought into Northern Ireland in accordance with Article 3(1)(a)(ii) or 3(1)(b)(ii); </w:t>
      </w:r>
    </w:p>
    <w:p w:rsidR="00275BBA" w:rsidRDefault="001261D9">
      <w:pPr>
        <w:pStyle w:val="Point1letter"/>
        <w:rPr>
          <w:rFonts w:eastAsia="Times New Roman"/>
          <w:noProof/>
          <w:color w:val="000000"/>
          <w:szCs w:val="24"/>
        </w:rPr>
      </w:pPr>
      <w:r>
        <w:rPr>
          <w:rFonts w:eastAsia="Times New Roman"/>
          <w:noProof/>
          <w:color w:val="000000"/>
          <w:szCs w:val="24"/>
        </w:rPr>
        <w:t xml:space="preserve">the applicant must not have committed any serious infringement or repeated </w:t>
      </w:r>
      <w:r>
        <w:rPr>
          <w:rFonts w:eastAsia="Times New Roman"/>
          <w:noProof/>
          <w:color w:val="000000"/>
          <w:szCs w:val="24"/>
        </w:rPr>
        <w:t>infringements of customs legislation and taxation rules and must not have any record of serious criminal offences relating to his economic activity;</w:t>
      </w:r>
    </w:p>
    <w:p w:rsidR="00275BBA" w:rsidRDefault="001261D9">
      <w:pPr>
        <w:pStyle w:val="Point1letter"/>
        <w:rPr>
          <w:rFonts w:eastAsia="Times New Roman"/>
          <w:noProof/>
          <w:color w:val="000000"/>
          <w:szCs w:val="24"/>
        </w:rPr>
      </w:pPr>
      <w:r>
        <w:rPr>
          <w:rFonts w:eastAsia="Times New Roman"/>
          <w:noProof/>
          <w:color w:val="000000"/>
          <w:szCs w:val="24"/>
        </w:rPr>
        <w:t>in respect of goods to be declared as not at risk, the applicant shall demonstrate that they have a high le</w:t>
      </w:r>
      <w:r>
        <w:rPr>
          <w:rFonts w:eastAsia="Times New Roman"/>
          <w:noProof/>
          <w:color w:val="000000"/>
          <w:szCs w:val="24"/>
        </w:rPr>
        <w:t>vel of control of his or her operations and of the flow of goods, by means of a system of managing commercial and, where appropriate, transport records which allow appropriate controls and provision of evidence to support the undertaking in Article 6(b).</w:t>
      </w:r>
    </w:p>
    <w:p w:rsidR="00275BBA" w:rsidRDefault="001261D9">
      <w:pPr>
        <w:pStyle w:val="NumPar1"/>
        <w:numPr>
          <w:ilvl w:val="0"/>
          <w:numId w:val="15"/>
        </w:numPr>
        <w:rPr>
          <w:rFonts w:eastAsia="Times New Roman"/>
          <w:noProof/>
          <w:color w:val="000000"/>
          <w:szCs w:val="24"/>
        </w:rPr>
      </w:pPr>
      <w:r>
        <w:rPr>
          <w:noProof/>
        </w:rPr>
        <w:t>A</w:t>
      </w:r>
      <w:r>
        <w:rPr>
          <w:noProof/>
        </w:rPr>
        <w:t>uthorisations</w:t>
      </w:r>
      <w:r>
        <w:rPr>
          <w:rFonts w:eastAsia="Times New Roman"/>
          <w:noProof/>
          <w:color w:val="000000"/>
          <w:szCs w:val="24"/>
        </w:rPr>
        <w:t xml:space="preserve"> shall be granted only if the customs authority considers that it will be able to carry out controls without disproportionate administrative effort, including control of any evidence that the goods were sold to, or subject to final use by</w:t>
      </w:r>
      <w:r>
        <w:rPr>
          <w:rFonts w:eastAsia="Times New Roman"/>
          <w:noProof/>
          <w:szCs w:val="24"/>
        </w:rPr>
        <w:t>,</w:t>
      </w:r>
      <w:r>
        <w:rPr>
          <w:rFonts w:eastAsia="Times New Roman"/>
          <w:noProof/>
          <w:color w:val="000000"/>
          <w:szCs w:val="24"/>
        </w:rPr>
        <w:t xml:space="preserve"> end</w:t>
      </w:r>
      <w:r>
        <w:rPr>
          <w:rFonts w:eastAsia="Times New Roman"/>
          <w:noProof/>
          <w:color w:val="000000"/>
          <w:szCs w:val="24"/>
        </w:rPr>
        <w:t>-consumers.</w:t>
      </w:r>
    </w:p>
    <w:p w:rsidR="00275BBA" w:rsidRDefault="001261D9">
      <w:pPr>
        <w:pStyle w:val="NumPar1"/>
        <w:numPr>
          <w:ilvl w:val="0"/>
          <w:numId w:val="15"/>
        </w:numPr>
        <w:rPr>
          <w:i/>
          <w:noProof/>
        </w:rPr>
      </w:pPr>
      <w:r>
        <w:rPr>
          <w:noProof/>
        </w:rPr>
        <w:t>During</w:t>
      </w:r>
      <w:r>
        <w:rPr>
          <w:rFonts w:eastAsia="Times New Roman"/>
          <w:noProof/>
          <w:szCs w:val="24"/>
        </w:rPr>
        <w:t xml:space="preserve"> the period ending two months after the entry into force of this Decision, an authorisation may be granted on a provisional basis if the applicant has submitted a complete application</w:t>
      </w:r>
      <w:r>
        <w:rPr>
          <w:rFonts w:eastAsia="Times New Roman"/>
          <w:noProof/>
        </w:rPr>
        <w:t xml:space="preserve">, </w:t>
      </w:r>
      <w:r>
        <w:rPr>
          <w:rFonts w:eastAsia="Times New Roman"/>
          <w:noProof/>
          <w:szCs w:val="24"/>
        </w:rPr>
        <w:t xml:space="preserve">complies with paragraph 1(b), and declares that they </w:t>
      </w:r>
      <w:r>
        <w:rPr>
          <w:rFonts w:eastAsia="Times New Roman"/>
          <w:noProof/>
          <w:szCs w:val="24"/>
        </w:rPr>
        <w:t>meet the other conditions for authorisation. The duration of the provisional authorisation shall be limited to four months after which a permanent authorisation must have been granted for the trader to remain authorised.</w:t>
      </w:r>
    </w:p>
    <w:p w:rsidR="00275BBA" w:rsidRDefault="001261D9">
      <w:pPr>
        <w:pStyle w:val="Titrearticle"/>
        <w:keepLines/>
        <w:rPr>
          <w:rFonts w:eastAsia="Times New Roman"/>
          <w:i w:val="0"/>
          <w:noProof/>
          <w:szCs w:val="24"/>
        </w:rPr>
      </w:pPr>
      <w:r>
        <w:rPr>
          <w:rFonts w:eastAsia="Times New Roman"/>
          <w:noProof/>
          <w:szCs w:val="24"/>
        </w:rPr>
        <w:t>Article 8</w:t>
      </w:r>
    </w:p>
    <w:p w:rsidR="00275BBA" w:rsidRDefault="001261D9">
      <w:pPr>
        <w:keepNext/>
        <w:spacing w:after="360"/>
        <w:jc w:val="center"/>
        <w:rPr>
          <w:rFonts w:eastAsia="Times New Roman"/>
          <w:i/>
          <w:noProof/>
          <w:szCs w:val="24"/>
        </w:rPr>
      </w:pPr>
      <w:r>
        <w:rPr>
          <w:rFonts w:eastAsia="Times New Roman"/>
          <w:i/>
          <w:noProof/>
          <w:szCs w:val="24"/>
        </w:rPr>
        <w:t xml:space="preserve">Exchange of information </w:t>
      </w:r>
      <w:r>
        <w:rPr>
          <w:rFonts w:eastAsia="Times New Roman"/>
          <w:i/>
          <w:noProof/>
          <w:szCs w:val="24"/>
        </w:rPr>
        <w:t>on the application of Article 5(1) and (2) of the Protocol</w:t>
      </w:r>
    </w:p>
    <w:p w:rsidR="00275BBA" w:rsidRDefault="001261D9">
      <w:pPr>
        <w:pStyle w:val="NumPar1"/>
        <w:numPr>
          <w:ilvl w:val="0"/>
          <w:numId w:val="16"/>
        </w:numPr>
        <w:rPr>
          <w:noProof/>
        </w:rPr>
      </w:pPr>
      <w:r>
        <w:rPr>
          <w:noProof/>
        </w:rPr>
        <w:t>Without prejudice to its obligations pursuant to Article 5(4) of the Protocol, read in conjunction with Regulation (EC) No 638/2004 of the European Parliament and of the Council</w:t>
      </w:r>
      <w:r>
        <w:rPr>
          <w:noProof/>
          <w:vertAlign w:val="superscript"/>
        </w:rPr>
        <w:t>(</w:t>
      </w:r>
      <w:r>
        <w:rPr>
          <w:rStyle w:val="FootnoteReference"/>
          <w:noProof/>
        </w:rPr>
        <w:footnoteReference w:id="1"/>
      </w:r>
      <w:r>
        <w:rPr>
          <w:noProof/>
          <w:vertAlign w:val="superscript"/>
        </w:rPr>
        <w:t>)</w:t>
      </w:r>
      <w:r>
        <w:rPr>
          <w:noProof/>
        </w:rPr>
        <w:t xml:space="preserve"> and Regulation (</w:t>
      </w:r>
      <w:r>
        <w:rPr>
          <w:noProof/>
        </w:rPr>
        <w:t>EC) No 471/2009 of the European Parliament and of the Council</w:t>
      </w:r>
      <w:r>
        <w:rPr>
          <w:noProof/>
          <w:vertAlign w:val="superscript"/>
        </w:rPr>
        <w:t>(</w:t>
      </w:r>
      <w:r>
        <w:rPr>
          <w:rStyle w:val="FootnoteReference"/>
          <w:noProof/>
        </w:rPr>
        <w:footnoteReference w:id="2"/>
      </w:r>
      <w:r>
        <w:rPr>
          <w:noProof/>
          <w:vertAlign w:val="superscript"/>
        </w:rPr>
        <w:t>)</w:t>
      </w:r>
      <w:r>
        <w:rPr>
          <w:noProof/>
        </w:rPr>
        <w:t xml:space="preserve">, the United Kingdom shall provide the Union with information on the application of Article 5(1) and (2) of the Protocol as well as of this decision on a monthly basis. This information shall </w:t>
      </w:r>
      <w:r>
        <w:rPr>
          <w:noProof/>
        </w:rPr>
        <w:t xml:space="preserve">comprise volumes and values, in aggregated form and per consignment, as well as means of transport, relating to: </w:t>
      </w:r>
    </w:p>
    <w:p w:rsidR="00275BBA" w:rsidRDefault="001261D9">
      <w:pPr>
        <w:pStyle w:val="Point1letter"/>
        <w:numPr>
          <w:ilvl w:val="3"/>
          <w:numId w:val="17"/>
        </w:numPr>
        <w:rPr>
          <w:noProof/>
        </w:rPr>
      </w:pPr>
      <w:r>
        <w:rPr>
          <w:noProof/>
        </w:rPr>
        <w:t>goods brought into Northern Ireland in relation to which no customs duties were payable in accordance with the first subparagraph of Article 5</w:t>
      </w:r>
      <w:r>
        <w:rPr>
          <w:noProof/>
        </w:rPr>
        <w:t xml:space="preserve">(1) of the Protocol; </w:t>
      </w:r>
    </w:p>
    <w:p w:rsidR="00275BBA" w:rsidRDefault="001261D9">
      <w:pPr>
        <w:pStyle w:val="Point1letter"/>
        <w:numPr>
          <w:ilvl w:val="3"/>
          <w:numId w:val="17"/>
        </w:numPr>
        <w:rPr>
          <w:rFonts w:eastAsia="Times New Roman"/>
          <w:noProof/>
          <w:szCs w:val="24"/>
        </w:rPr>
      </w:pPr>
      <w:r>
        <w:rPr>
          <w:rFonts w:eastAsia="Times New Roman"/>
          <w:noProof/>
          <w:szCs w:val="24"/>
        </w:rPr>
        <w:t xml:space="preserve">goods brought into Northern Ireland in relation to which the customs duties payable were those applicable in the United Kingdom in accordance with the second subparagraph of Article 5(1) of the Protocol; and </w:t>
      </w:r>
    </w:p>
    <w:p w:rsidR="00275BBA" w:rsidRDefault="001261D9">
      <w:pPr>
        <w:pStyle w:val="Point1letter"/>
        <w:numPr>
          <w:ilvl w:val="3"/>
          <w:numId w:val="17"/>
        </w:numPr>
        <w:rPr>
          <w:rFonts w:eastAsia="Times New Roman"/>
          <w:noProof/>
          <w:szCs w:val="24"/>
        </w:rPr>
      </w:pPr>
      <w:r>
        <w:rPr>
          <w:rFonts w:eastAsia="Times New Roman"/>
          <w:noProof/>
          <w:szCs w:val="24"/>
        </w:rPr>
        <w:t>goods brought into Northe</w:t>
      </w:r>
      <w:r>
        <w:rPr>
          <w:rFonts w:eastAsia="Times New Roman"/>
          <w:noProof/>
          <w:szCs w:val="24"/>
        </w:rPr>
        <w:t>rn Ireland in relation to which the customs duties payable were in accordance with the Union Common Customs Tariff.</w:t>
      </w:r>
    </w:p>
    <w:p w:rsidR="00275BBA" w:rsidRDefault="001261D9">
      <w:pPr>
        <w:pStyle w:val="NumPar1"/>
        <w:numPr>
          <w:ilvl w:val="0"/>
          <w:numId w:val="16"/>
        </w:numPr>
        <w:rPr>
          <w:rFonts w:eastAsia="Times New Roman"/>
          <w:noProof/>
          <w:szCs w:val="24"/>
        </w:rPr>
      </w:pPr>
      <w:r>
        <w:rPr>
          <w:noProof/>
        </w:rPr>
        <w:t>The</w:t>
      </w:r>
      <w:r>
        <w:rPr>
          <w:rFonts w:eastAsia="Times New Roman"/>
          <w:noProof/>
          <w:szCs w:val="24"/>
        </w:rPr>
        <w:t xml:space="preserve"> United Kingdom shall provide the information referred to in paragraph 1 on the 15th working day of the following month for which the inf</w:t>
      </w:r>
      <w:r>
        <w:rPr>
          <w:rFonts w:eastAsia="Times New Roman"/>
          <w:noProof/>
          <w:szCs w:val="24"/>
        </w:rPr>
        <w:t>ormation is provided.</w:t>
      </w:r>
    </w:p>
    <w:p w:rsidR="00275BBA" w:rsidRDefault="001261D9">
      <w:pPr>
        <w:pStyle w:val="NumPar1"/>
        <w:numPr>
          <w:ilvl w:val="0"/>
          <w:numId w:val="16"/>
        </w:numPr>
        <w:rPr>
          <w:rFonts w:eastAsia="Times New Roman"/>
          <w:noProof/>
          <w:szCs w:val="24"/>
        </w:rPr>
      </w:pPr>
      <w:r>
        <w:rPr>
          <w:noProof/>
        </w:rPr>
        <w:t>The</w:t>
      </w:r>
      <w:r>
        <w:rPr>
          <w:rFonts w:eastAsia="Times New Roman"/>
          <w:noProof/>
          <w:szCs w:val="24"/>
        </w:rPr>
        <w:t xml:space="preserve"> information shall be provided using electronic data-processing techniques. </w:t>
      </w:r>
    </w:p>
    <w:p w:rsidR="00275BBA" w:rsidRDefault="001261D9">
      <w:pPr>
        <w:pStyle w:val="NumPar1"/>
        <w:numPr>
          <w:ilvl w:val="0"/>
          <w:numId w:val="16"/>
        </w:numPr>
        <w:rPr>
          <w:rFonts w:eastAsia="Times New Roman"/>
          <w:noProof/>
          <w:szCs w:val="24"/>
        </w:rPr>
      </w:pPr>
      <w:r>
        <w:rPr>
          <w:noProof/>
        </w:rPr>
        <w:t>At</w:t>
      </w:r>
      <w:r>
        <w:rPr>
          <w:rFonts w:eastAsia="Times New Roman"/>
          <w:noProof/>
          <w:szCs w:val="24"/>
        </w:rPr>
        <w:t xml:space="preserve"> the request of the Union representatives referred to in the {insert reference to JC decision on Union presence} and at least twice per year, the compet</w:t>
      </w:r>
      <w:r>
        <w:rPr>
          <w:rFonts w:eastAsia="Times New Roman"/>
          <w:noProof/>
          <w:szCs w:val="24"/>
        </w:rPr>
        <w:t>ent authorities of the United Kingdom shall provide information in aggregated and per authorisation form to these representatives on the authorisations granted pursuant to Articles 5 to 7, including numbers of accepted, rejected and revoked authorisations.</w:t>
      </w:r>
    </w:p>
    <w:p w:rsidR="00275BBA" w:rsidRDefault="001261D9">
      <w:pPr>
        <w:pStyle w:val="NumPar1"/>
        <w:numPr>
          <w:ilvl w:val="0"/>
          <w:numId w:val="16"/>
        </w:numPr>
        <w:rPr>
          <w:rFonts w:eastAsia="Times New Roman"/>
          <w:noProof/>
          <w:szCs w:val="24"/>
        </w:rPr>
      </w:pPr>
      <w:r>
        <w:rPr>
          <w:rFonts w:eastAsia="Times New Roman"/>
          <w:noProof/>
          <w:szCs w:val="24"/>
        </w:rPr>
        <w:t>The regular transfer of information referred to above shall commence as soon as possible and no later than 15 April 2021. The first transfer of information shall cover information for the period from 1 January 2021 until the end of the month before the tr</w:t>
      </w:r>
      <w:r>
        <w:rPr>
          <w:rFonts w:eastAsia="Times New Roman"/>
          <w:noProof/>
          <w:szCs w:val="24"/>
        </w:rPr>
        <w:t xml:space="preserve">ansfer. </w:t>
      </w:r>
    </w:p>
    <w:p w:rsidR="00275BBA" w:rsidRDefault="001261D9">
      <w:pPr>
        <w:pStyle w:val="Titrearticle"/>
        <w:keepLines/>
        <w:rPr>
          <w:rFonts w:eastAsia="Times New Roman"/>
          <w:i w:val="0"/>
          <w:noProof/>
          <w:szCs w:val="24"/>
        </w:rPr>
      </w:pPr>
      <w:r>
        <w:rPr>
          <w:rFonts w:eastAsia="Times New Roman"/>
          <w:noProof/>
          <w:szCs w:val="24"/>
        </w:rPr>
        <w:t>Article 9</w:t>
      </w:r>
    </w:p>
    <w:p w:rsidR="00275BBA" w:rsidRDefault="001261D9">
      <w:pPr>
        <w:keepNext/>
        <w:spacing w:after="360"/>
        <w:jc w:val="center"/>
        <w:rPr>
          <w:rFonts w:eastAsia="Times New Roman"/>
          <w:i/>
          <w:noProof/>
          <w:szCs w:val="24"/>
        </w:rPr>
      </w:pPr>
      <w:r>
        <w:rPr>
          <w:rFonts w:eastAsia="Times New Roman"/>
          <w:i/>
          <w:noProof/>
          <w:szCs w:val="24"/>
        </w:rPr>
        <w:t xml:space="preserve">Review and termination </w:t>
      </w:r>
    </w:p>
    <w:p w:rsidR="00275BBA" w:rsidRDefault="001261D9">
      <w:pPr>
        <w:spacing w:after="240"/>
        <w:rPr>
          <w:rFonts w:eastAsia="Times New Roman"/>
          <w:noProof/>
          <w:szCs w:val="24"/>
        </w:rPr>
      </w:pPr>
      <w:r>
        <w:rPr>
          <w:rFonts w:eastAsia="Times New Roman"/>
          <w:noProof/>
          <w:szCs w:val="24"/>
        </w:rPr>
        <w:t>If either Party considers there is significant diversion of trade, or fraud or other illegal activities, that Party shall inform the other Party in the Joint Committee by 1 August 2023, and the Parties shall use t</w:t>
      </w:r>
      <w:r>
        <w:rPr>
          <w:rFonts w:eastAsia="Times New Roman"/>
          <w:noProof/>
          <w:szCs w:val="24"/>
        </w:rPr>
        <w:t xml:space="preserve">heir best endeavours to find a mutually satisfactory resolution of the matter. If the Parties do not find a mutually satisfactory resolution, Articles </w:t>
      </w:r>
      <w:r>
        <w:rPr>
          <w:rFonts w:eastAsia="Times New Roman"/>
          <w:noProof/>
          <w:color w:val="000000"/>
          <w:szCs w:val="24"/>
        </w:rPr>
        <w:t>3(1)(a)(ii), 3(1)(b)(ii) and 5 to 8 of this Decision shall cease to apply from</w:t>
      </w:r>
      <w:r>
        <w:rPr>
          <w:rFonts w:eastAsia="Times New Roman"/>
          <w:noProof/>
          <w:szCs w:val="24"/>
        </w:rPr>
        <w:t xml:space="preserve"> 1 August 2024, unless the </w:t>
      </w:r>
      <w:r>
        <w:rPr>
          <w:rFonts w:eastAsia="Times New Roman"/>
          <w:noProof/>
          <w:szCs w:val="24"/>
        </w:rPr>
        <w:t xml:space="preserve">Joint Committee decides before 1 April 2024 to continue their application.  </w:t>
      </w:r>
    </w:p>
    <w:p w:rsidR="00275BBA" w:rsidRDefault="001261D9">
      <w:pPr>
        <w:spacing w:after="240"/>
        <w:rPr>
          <w:rFonts w:eastAsia="Times New Roman"/>
          <w:noProof/>
          <w:szCs w:val="24"/>
        </w:rPr>
      </w:pPr>
      <w:r>
        <w:rPr>
          <w:rFonts w:eastAsia="Times New Roman"/>
          <w:noProof/>
          <w:szCs w:val="24"/>
        </w:rPr>
        <w:t xml:space="preserve">In case Articles </w:t>
      </w:r>
      <w:r>
        <w:rPr>
          <w:rFonts w:eastAsia="Times New Roman"/>
          <w:noProof/>
          <w:color w:val="000000"/>
          <w:szCs w:val="24"/>
        </w:rPr>
        <w:t xml:space="preserve">3(1)(a)(ii), 3(1)(b)(ii) and 5 to 8 of this Decision cease to apply in accordance with the first subparagraph, </w:t>
      </w:r>
      <w:r>
        <w:rPr>
          <w:rFonts w:eastAsia="Times New Roman"/>
          <w:noProof/>
          <w:szCs w:val="24"/>
        </w:rPr>
        <w:t xml:space="preserve">the Joint Committee shall amend this Decision by 1 </w:t>
      </w:r>
      <w:r>
        <w:rPr>
          <w:rFonts w:eastAsia="Times New Roman"/>
          <w:noProof/>
          <w:szCs w:val="24"/>
        </w:rPr>
        <w:t xml:space="preserve">August 2024 to make appropriate alternative provision applicable from 1 August 2024, having regard to the specific circumstances in Northern Ireland and fully respecting Northern Ireland’s place in the United Kingdom’s customs territory. </w:t>
      </w:r>
    </w:p>
    <w:p w:rsidR="00275BBA" w:rsidRDefault="001261D9">
      <w:pPr>
        <w:pStyle w:val="Titrearticle"/>
        <w:keepLines/>
        <w:rPr>
          <w:rFonts w:eastAsia="Times New Roman"/>
          <w:i w:val="0"/>
          <w:noProof/>
          <w:szCs w:val="24"/>
        </w:rPr>
      </w:pPr>
      <w:r>
        <w:rPr>
          <w:rFonts w:eastAsia="Times New Roman"/>
          <w:noProof/>
          <w:szCs w:val="24"/>
        </w:rPr>
        <w:t>Article 10</w:t>
      </w:r>
    </w:p>
    <w:p w:rsidR="00275BBA" w:rsidRDefault="001261D9">
      <w:pPr>
        <w:keepNext/>
        <w:spacing w:after="360"/>
        <w:jc w:val="center"/>
        <w:rPr>
          <w:rFonts w:eastAsia="Times New Roman"/>
          <w:i/>
          <w:noProof/>
          <w:szCs w:val="24"/>
        </w:rPr>
      </w:pPr>
      <w:r>
        <w:rPr>
          <w:rFonts w:eastAsia="Times New Roman"/>
          <w:i/>
          <w:noProof/>
          <w:szCs w:val="24"/>
        </w:rPr>
        <w:t xml:space="preserve">Entry </w:t>
      </w:r>
      <w:r>
        <w:rPr>
          <w:rFonts w:eastAsia="Times New Roman"/>
          <w:i/>
          <w:noProof/>
          <w:szCs w:val="24"/>
        </w:rPr>
        <w:t>into force</w:t>
      </w:r>
    </w:p>
    <w:p w:rsidR="00275BBA" w:rsidRDefault="001261D9">
      <w:pPr>
        <w:spacing w:after="240"/>
        <w:rPr>
          <w:rFonts w:eastAsia="Times New Roman"/>
          <w:noProof/>
          <w:szCs w:val="24"/>
        </w:rPr>
      </w:pPr>
      <w:r>
        <w:rPr>
          <w:rFonts w:eastAsia="Times New Roman"/>
          <w:noProof/>
          <w:szCs w:val="24"/>
        </w:rPr>
        <w:t>This Decision shall enter into force on 1 January 2021.</w:t>
      </w:r>
    </w:p>
    <w:p w:rsidR="00275BBA" w:rsidRDefault="00275BBA">
      <w:pPr>
        <w:rPr>
          <w:rFonts w:eastAsia="Times New Roman"/>
          <w:noProof/>
          <w:szCs w:val="24"/>
        </w:rPr>
      </w:pPr>
    </w:p>
    <w:p w:rsidR="00275BBA" w:rsidRDefault="001261D9">
      <w:pPr>
        <w:rPr>
          <w:rFonts w:eastAsia="Times New Roman"/>
          <w:noProof/>
          <w:szCs w:val="24"/>
        </w:rPr>
      </w:pPr>
      <w:r>
        <w:rPr>
          <w:rFonts w:eastAsia="Times New Roman"/>
          <w:noProof/>
          <w:szCs w:val="24"/>
        </w:rPr>
        <w:t>Done at …,</w:t>
      </w:r>
    </w:p>
    <w:p w:rsidR="00275BBA" w:rsidRDefault="001261D9">
      <w:pPr>
        <w:keepNext/>
        <w:keepLines/>
        <w:spacing w:before="60" w:after="60"/>
        <w:jc w:val="center"/>
        <w:rPr>
          <w:rFonts w:eastAsia="Times New Roman"/>
          <w:noProof/>
          <w:szCs w:val="24"/>
        </w:rPr>
      </w:pPr>
      <w:r>
        <w:rPr>
          <w:rFonts w:eastAsia="Times New Roman"/>
          <w:i/>
          <w:noProof/>
          <w:szCs w:val="24"/>
        </w:rPr>
        <w:t>For the Joint Committee</w:t>
      </w:r>
      <w:r>
        <w:rPr>
          <w:rFonts w:eastAsia="Times New Roman"/>
          <w:noProof/>
          <w:szCs w:val="24"/>
        </w:rPr>
        <w:t xml:space="preserve"> </w:t>
      </w:r>
    </w:p>
    <w:p w:rsidR="00275BBA" w:rsidRDefault="001261D9">
      <w:pPr>
        <w:spacing w:before="60" w:after="60"/>
        <w:jc w:val="center"/>
        <w:rPr>
          <w:noProof/>
        </w:rPr>
      </w:pPr>
      <w:r>
        <w:rPr>
          <w:rFonts w:eastAsia="Times New Roman"/>
          <w:i/>
          <w:noProof/>
          <w:szCs w:val="24"/>
        </w:rPr>
        <w:t>The Co-chairs</w:t>
      </w:r>
      <w:r>
        <w:rPr>
          <w:noProof/>
        </w:rPr>
        <w:br w:type="page"/>
      </w:r>
    </w:p>
    <w:p w:rsidR="00275BBA" w:rsidRDefault="00275BBA">
      <w:pPr>
        <w:spacing w:before="60" w:after="60"/>
        <w:jc w:val="center"/>
        <w:rPr>
          <w:rFonts w:eastAsia="Times New Roman"/>
          <w:noProof/>
          <w:szCs w:val="24"/>
        </w:rPr>
      </w:pPr>
    </w:p>
    <w:p w:rsidR="00275BBA" w:rsidRDefault="001261D9">
      <w:pPr>
        <w:spacing w:after="240"/>
        <w:jc w:val="center"/>
        <w:rPr>
          <w:rFonts w:eastAsia="Times New Roman"/>
          <w:b/>
          <w:noProof/>
          <w:szCs w:val="24"/>
        </w:rPr>
      </w:pPr>
      <w:r>
        <w:rPr>
          <w:rFonts w:eastAsia="Times New Roman"/>
          <w:b/>
          <w:noProof/>
          <w:szCs w:val="24"/>
        </w:rPr>
        <w:t>Annex</w:t>
      </w:r>
    </w:p>
    <w:p w:rsidR="00275BBA" w:rsidRDefault="001261D9">
      <w:pPr>
        <w:spacing w:after="240"/>
        <w:jc w:val="center"/>
        <w:rPr>
          <w:rFonts w:eastAsia="Times New Roman"/>
          <w:b/>
          <w:noProof/>
          <w:szCs w:val="24"/>
        </w:rPr>
      </w:pPr>
      <w:r>
        <w:rPr>
          <w:rFonts w:eastAsia="Times New Roman"/>
          <w:b/>
          <w:noProof/>
          <w:szCs w:val="24"/>
        </w:rPr>
        <w:t xml:space="preserve">Application for Authorisation to bring goods into Northern Ireland for end-consumers </w:t>
      </w:r>
    </w:p>
    <w:p w:rsidR="00275BBA" w:rsidRDefault="001261D9">
      <w:pPr>
        <w:spacing w:after="240"/>
        <w:jc w:val="center"/>
        <w:rPr>
          <w:rFonts w:eastAsia="Times New Roman"/>
          <w:noProof/>
          <w:szCs w:val="24"/>
        </w:rPr>
      </w:pPr>
      <w:r>
        <w:rPr>
          <w:rFonts w:eastAsia="Times New Roman"/>
          <w:noProof/>
          <w:szCs w:val="24"/>
        </w:rPr>
        <w:t>(referred to in Article 5 of the Decision)</w:t>
      </w:r>
    </w:p>
    <w:p w:rsidR="00275BBA" w:rsidRDefault="001261D9">
      <w:pPr>
        <w:rPr>
          <w:rFonts w:eastAsia="Times New Roman"/>
          <w:b/>
          <w:noProof/>
          <w:szCs w:val="24"/>
          <w:u w:val="single"/>
        </w:rPr>
      </w:pPr>
      <w:r>
        <w:rPr>
          <w:rFonts w:eastAsia="Times New Roman"/>
          <w:b/>
          <w:noProof/>
          <w:szCs w:val="24"/>
          <w:u w:val="single"/>
        </w:rPr>
        <w:t>Application information</w:t>
      </w:r>
    </w:p>
    <w:p w:rsidR="00275BBA" w:rsidRDefault="001261D9">
      <w:pPr>
        <w:spacing w:after="0" w:line="360" w:lineRule="auto"/>
        <w:ind w:left="720"/>
        <w:rPr>
          <w:noProof/>
        </w:rPr>
      </w:pPr>
      <w:r>
        <w:rPr>
          <w:noProof/>
        </w:rPr>
        <w:t xml:space="preserve"> </w:t>
      </w:r>
    </w:p>
    <w:p w:rsidR="00275BBA" w:rsidRDefault="001261D9">
      <w:pPr>
        <w:spacing w:after="0" w:line="360" w:lineRule="auto"/>
        <w:rPr>
          <w:rFonts w:eastAsia="Times New Roman"/>
          <w:b/>
          <w:noProof/>
          <w:szCs w:val="24"/>
        </w:rPr>
      </w:pPr>
      <w:r>
        <w:rPr>
          <w:rFonts w:eastAsia="Times New Roman"/>
          <w:b/>
          <w:noProof/>
          <w:szCs w:val="24"/>
        </w:rPr>
        <w:t>1. Supporting documents</w:t>
      </w:r>
    </w:p>
    <w:p w:rsidR="00275BBA" w:rsidRDefault="001261D9">
      <w:pPr>
        <w:spacing w:after="0" w:line="360" w:lineRule="auto"/>
        <w:rPr>
          <w:rFonts w:eastAsia="Times New Roman"/>
          <w:noProof/>
          <w:szCs w:val="24"/>
        </w:rPr>
      </w:pPr>
      <w:r>
        <w:rPr>
          <w:rFonts w:eastAsia="Times New Roman"/>
          <w:noProof/>
          <w:szCs w:val="24"/>
        </w:rPr>
        <w:t>Mandatory supporting documents and information to be provided by all applicants:</w:t>
      </w:r>
    </w:p>
    <w:p w:rsidR="00275BBA" w:rsidRDefault="001261D9">
      <w:pPr>
        <w:spacing w:after="0" w:line="360" w:lineRule="auto"/>
        <w:rPr>
          <w:rFonts w:eastAsia="Times New Roman"/>
          <w:noProof/>
          <w:szCs w:val="24"/>
        </w:rPr>
      </w:pPr>
      <w:r>
        <w:rPr>
          <w:rFonts w:eastAsia="Times New Roman"/>
          <w:noProof/>
          <w:szCs w:val="24"/>
        </w:rPr>
        <w:t>Document of establishment /proof of a permanent business establishment</w:t>
      </w:r>
    </w:p>
    <w:p w:rsidR="00275BBA" w:rsidRDefault="00275BBA">
      <w:pPr>
        <w:spacing w:after="0" w:line="360" w:lineRule="auto"/>
        <w:rPr>
          <w:rFonts w:eastAsia="Times New Roman"/>
          <w:noProof/>
          <w:szCs w:val="24"/>
        </w:rPr>
      </w:pPr>
    </w:p>
    <w:p w:rsidR="00275BBA" w:rsidRDefault="001261D9">
      <w:pPr>
        <w:spacing w:after="0" w:line="360" w:lineRule="auto"/>
        <w:rPr>
          <w:rFonts w:eastAsia="Times New Roman"/>
          <w:b/>
          <w:noProof/>
          <w:szCs w:val="24"/>
        </w:rPr>
      </w:pPr>
      <w:r>
        <w:rPr>
          <w:rFonts w:eastAsia="Times New Roman"/>
          <w:b/>
          <w:noProof/>
          <w:szCs w:val="24"/>
        </w:rPr>
        <w:t>2. Other supporting documents and information to be p</w:t>
      </w:r>
      <w:r>
        <w:rPr>
          <w:rFonts w:eastAsia="Times New Roman"/>
          <w:b/>
          <w:noProof/>
          <w:szCs w:val="24"/>
        </w:rPr>
        <w:t>rovided by the applicant:</w:t>
      </w:r>
    </w:p>
    <w:p w:rsidR="00275BBA" w:rsidRDefault="001261D9">
      <w:pPr>
        <w:spacing w:after="0" w:line="360" w:lineRule="auto"/>
        <w:rPr>
          <w:rFonts w:eastAsia="Times New Roman"/>
          <w:noProof/>
          <w:szCs w:val="24"/>
        </w:rPr>
      </w:pPr>
      <w:r>
        <w:rPr>
          <w:rFonts w:eastAsia="Times New Roman"/>
          <w:noProof/>
          <w:szCs w:val="24"/>
        </w:rPr>
        <w:t xml:space="preserve">Any other supporting document or information that is considered relevant for checking the applicant’s compliance with the conditions referred to in Articles 6 and 7 of the Decision.  </w:t>
      </w:r>
    </w:p>
    <w:p w:rsidR="00275BBA" w:rsidRDefault="001261D9">
      <w:pPr>
        <w:spacing w:after="0" w:line="360" w:lineRule="auto"/>
        <w:rPr>
          <w:rFonts w:eastAsia="Times New Roman"/>
          <w:noProof/>
          <w:szCs w:val="24"/>
        </w:rPr>
      </w:pPr>
      <w:r>
        <w:rPr>
          <w:rFonts w:eastAsia="Times New Roman"/>
          <w:noProof/>
          <w:szCs w:val="24"/>
        </w:rPr>
        <w:t>Provide information on the type and, if applic</w:t>
      </w:r>
      <w:r>
        <w:rPr>
          <w:rFonts w:eastAsia="Times New Roman"/>
          <w:noProof/>
          <w:szCs w:val="24"/>
        </w:rPr>
        <w:t>able, the identification number and/or the date of issue of the supporting document(s) attached to the application. Indicate also the total number of the documents attached.</w:t>
      </w:r>
    </w:p>
    <w:p w:rsidR="00275BBA" w:rsidRDefault="001261D9">
      <w:pPr>
        <w:spacing w:after="0" w:line="360" w:lineRule="auto"/>
        <w:rPr>
          <w:rFonts w:eastAsia="Times New Roman"/>
          <w:b/>
          <w:noProof/>
          <w:szCs w:val="24"/>
        </w:rPr>
      </w:pPr>
      <w:r>
        <w:rPr>
          <w:rFonts w:eastAsia="Times New Roman"/>
          <w:b/>
          <w:noProof/>
        </w:rPr>
        <w:t>3</w:t>
      </w:r>
      <w:r>
        <w:rPr>
          <w:rFonts w:eastAsia="Times New Roman"/>
          <w:b/>
          <w:noProof/>
          <w:szCs w:val="24"/>
        </w:rPr>
        <w:t>. Date and signature of the applicant</w:t>
      </w:r>
    </w:p>
    <w:p w:rsidR="00275BBA" w:rsidRDefault="001261D9">
      <w:pPr>
        <w:rPr>
          <w:rFonts w:eastAsia="Times New Roman"/>
          <w:noProof/>
          <w:szCs w:val="24"/>
        </w:rPr>
      </w:pPr>
      <w:r>
        <w:rPr>
          <w:rFonts w:eastAsia="Times New Roman"/>
          <w:noProof/>
          <w:szCs w:val="24"/>
        </w:rPr>
        <w:t>Applications made by using an electronic da</w:t>
      </w:r>
      <w:r>
        <w:rPr>
          <w:rFonts w:eastAsia="Times New Roman"/>
          <w:noProof/>
          <w:szCs w:val="24"/>
        </w:rPr>
        <w:t>ta processing technique shall be authenticated by the person who lodges the application.</w:t>
      </w:r>
    </w:p>
    <w:p w:rsidR="00275BBA" w:rsidRDefault="001261D9">
      <w:pPr>
        <w:rPr>
          <w:rFonts w:eastAsia="Times New Roman"/>
          <w:noProof/>
          <w:szCs w:val="24"/>
        </w:rPr>
      </w:pPr>
      <w:r>
        <w:rPr>
          <w:rFonts w:eastAsia="Times New Roman"/>
          <w:noProof/>
          <w:szCs w:val="24"/>
        </w:rPr>
        <w:t>Date on which the applicant has signed or otherwise authenticated the application.</w:t>
      </w:r>
    </w:p>
    <w:p w:rsidR="00275BBA" w:rsidRDefault="001261D9">
      <w:pPr>
        <w:rPr>
          <w:rFonts w:eastAsia="Times New Roman"/>
          <w:b/>
          <w:noProof/>
          <w:szCs w:val="24"/>
          <w:u w:val="single"/>
        </w:rPr>
      </w:pPr>
      <w:r>
        <w:rPr>
          <w:rFonts w:eastAsia="Times New Roman"/>
          <w:b/>
          <w:noProof/>
          <w:szCs w:val="24"/>
          <w:u w:val="single"/>
        </w:rPr>
        <w:t>Details of the applicant</w:t>
      </w:r>
    </w:p>
    <w:p w:rsidR="00275BBA" w:rsidRDefault="001261D9">
      <w:pPr>
        <w:spacing w:after="0" w:line="360" w:lineRule="auto"/>
        <w:rPr>
          <w:rFonts w:eastAsia="Times New Roman"/>
          <w:b/>
          <w:noProof/>
          <w:szCs w:val="24"/>
        </w:rPr>
      </w:pPr>
      <w:r>
        <w:rPr>
          <w:rFonts w:eastAsia="Times New Roman"/>
          <w:b/>
          <w:noProof/>
          <w:szCs w:val="24"/>
        </w:rPr>
        <w:t>4. Applicant</w:t>
      </w:r>
    </w:p>
    <w:p w:rsidR="00275BBA" w:rsidRDefault="001261D9">
      <w:pPr>
        <w:spacing w:after="0" w:line="360" w:lineRule="auto"/>
        <w:rPr>
          <w:rFonts w:eastAsia="Times New Roman"/>
          <w:noProof/>
          <w:szCs w:val="24"/>
        </w:rPr>
      </w:pPr>
      <w:r>
        <w:rPr>
          <w:rFonts w:eastAsia="Times New Roman"/>
          <w:noProof/>
          <w:szCs w:val="24"/>
        </w:rPr>
        <w:t>The applicant is the person who applies to the</w:t>
      </w:r>
      <w:r>
        <w:rPr>
          <w:rFonts w:eastAsia="Times New Roman"/>
          <w:noProof/>
          <w:szCs w:val="24"/>
        </w:rPr>
        <w:t xml:space="preserve"> customs authorities for a decision.</w:t>
      </w:r>
    </w:p>
    <w:p w:rsidR="00275BBA" w:rsidRDefault="001261D9">
      <w:pPr>
        <w:spacing w:after="0" w:line="360" w:lineRule="auto"/>
        <w:rPr>
          <w:rFonts w:eastAsia="Times New Roman"/>
          <w:noProof/>
          <w:szCs w:val="24"/>
        </w:rPr>
      </w:pPr>
      <w:r>
        <w:rPr>
          <w:rFonts w:eastAsia="Times New Roman"/>
          <w:noProof/>
          <w:szCs w:val="24"/>
        </w:rPr>
        <w:t>Enter the name and address of the person concerned.</w:t>
      </w:r>
    </w:p>
    <w:p w:rsidR="00275BBA" w:rsidRDefault="001261D9">
      <w:pPr>
        <w:spacing w:after="0" w:line="360" w:lineRule="auto"/>
        <w:rPr>
          <w:rFonts w:eastAsia="Times New Roman"/>
          <w:b/>
          <w:noProof/>
          <w:szCs w:val="24"/>
        </w:rPr>
      </w:pPr>
      <w:r>
        <w:rPr>
          <w:rFonts w:eastAsia="Times New Roman"/>
          <w:b/>
          <w:noProof/>
          <w:szCs w:val="24"/>
        </w:rPr>
        <w:t>5. Applicant identification number</w:t>
      </w:r>
    </w:p>
    <w:p w:rsidR="00275BBA" w:rsidRDefault="001261D9">
      <w:pPr>
        <w:spacing w:after="0" w:line="360" w:lineRule="auto"/>
        <w:rPr>
          <w:rFonts w:eastAsia="Times New Roman"/>
          <w:noProof/>
          <w:szCs w:val="24"/>
        </w:rPr>
      </w:pPr>
      <w:r>
        <w:rPr>
          <w:rFonts w:eastAsia="Times New Roman"/>
          <w:noProof/>
          <w:szCs w:val="24"/>
        </w:rPr>
        <w:t>The applicant is the person who applies to the customs authorities for a decision.</w:t>
      </w:r>
    </w:p>
    <w:p w:rsidR="00275BBA" w:rsidRDefault="001261D9">
      <w:pPr>
        <w:spacing w:after="0" w:line="360" w:lineRule="auto"/>
        <w:rPr>
          <w:rFonts w:eastAsia="Times New Roman"/>
          <w:noProof/>
          <w:szCs w:val="24"/>
        </w:rPr>
      </w:pPr>
      <w:r>
        <w:rPr>
          <w:rFonts w:eastAsia="Times New Roman"/>
          <w:noProof/>
          <w:szCs w:val="24"/>
        </w:rPr>
        <w:t>Enter the Economic Operators Registration and Ide</w:t>
      </w:r>
      <w:r>
        <w:rPr>
          <w:rFonts w:eastAsia="Times New Roman"/>
          <w:noProof/>
          <w:szCs w:val="24"/>
        </w:rPr>
        <w:t>ntification number (EORI number), of the person concerned, as provided for in Article 1(18) of Commission Delegated Regulation (EU) 2015/2446</w:t>
      </w:r>
      <w:r>
        <w:rPr>
          <w:rFonts w:eastAsia="Times New Roman"/>
          <w:noProof/>
          <w:szCs w:val="24"/>
          <w:vertAlign w:val="superscript"/>
        </w:rPr>
        <w:t>(</w:t>
      </w:r>
      <w:r>
        <w:rPr>
          <w:rStyle w:val="FootnoteReference"/>
          <w:noProof/>
        </w:rPr>
        <w:footnoteReference w:id="3"/>
      </w:r>
      <w:r>
        <w:rPr>
          <w:rFonts w:eastAsia="Times New Roman"/>
          <w:noProof/>
          <w:szCs w:val="24"/>
          <w:vertAlign w:val="superscript"/>
        </w:rPr>
        <w:t>)</w:t>
      </w:r>
      <w:r>
        <w:rPr>
          <w:rFonts w:eastAsia="Times New Roman"/>
          <w:noProof/>
          <w:szCs w:val="24"/>
        </w:rPr>
        <w:t xml:space="preserve">. </w:t>
      </w:r>
    </w:p>
    <w:p w:rsidR="00275BBA" w:rsidRDefault="001261D9">
      <w:pPr>
        <w:spacing w:after="0" w:line="360" w:lineRule="auto"/>
        <w:rPr>
          <w:rFonts w:eastAsia="Times New Roman"/>
          <w:b/>
          <w:noProof/>
          <w:szCs w:val="24"/>
        </w:rPr>
      </w:pPr>
      <w:r>
        <w:rPr>
          <w:rFonts w:eastAsia="Times New Roman"/>
          <w:b/>
          <w:noProof/>
          <w:szCs w:val="24"/>
        </w:rPr>
        <w:t>6. Legal status of the applicant</w:t>
      </w:r>
    </w:p>
    <w:p w:rsidR="00275BBA" w:rsidRDefault="001261D9">
      <w:pPr>
        <w:spacing w:after="0" w:line="360" w:lineRule="auto"/>
        <w:rPr>
          <w:rFonts w:eastAsia="Times New Roman"/>
          <w:noProof/>
          <w:szCs w:val="24"/>
        </w:rPr>
      </w:pPr>
      <w:r>
        <w:rPr>
          <w:rFonts w:eastAsia="Times New Roman"/>
          <w:noProof/>
          <w:szCs w:val="24"/>
        </w:rPr>
        <w:t>The legal status as mentioned in the document of establishment.</w:t>
      </w:r>
    </w:p>
    <w:p w:rsidR="00275BBA" w:rsidRDefault="001261D9">
      <w:pPr>
        <w:spacing w:after="0" w:line="360" w:lineRule="auto"/>
        <w:rPr>
          <w:rFonts w:eastAsia="Times New Roman"/>
          <w:b/>
          <w:noProof/>
          <w:szCs w:val="24"/>
        </w:rPr>
      </w:pPr>
      <w:r>
        <w:rPr>
          <w:rFonts w:eastAsia="Times New Roman"/>
          <w:b/>
          <w:noProof/>
          <w:szCs w:val="24"/>
        </w:rPr>
        <w:t xml:space="preserve">7. VAT </w:t>
      </w:r>
      <w:r>
        <w:rPr>
          <w:rFonts w:eastAsia="Times New Roman"/>
          <w:b/>
          <w:noProof/>
          <w:szCs w:val="24"/>
        </w:rPr>
        <w:t>identification number(s)</w:t>
      </w:r>
    </w:p>
    <w:p w:rsidR="00275BBA" w:rsidRDefault="001261D9">
      <w:pPr>
        <w:spacing w:after="0" w:line="360" w:lineRule="auto"/>
        <w:rPr>
          <w:rFonts w:eastAsia="Times New Roman"/>
          <w:noProof/>
          <w:szCs w:val="24"/>
        </w:rPr>
      </w:pPr>
      <w:r>
        <w:rPr>
          <w:rFonts w:eastAsia="Times New Roman"/>
          <w:noProof/>
          <w:szCs w:val="24"/>
        </w:rPr>
        <w:t xml:space="preserve">Where assigned, enter the VAT identification number. </w:t>
      </w:r>
    </w:p>
    <w:p w:rsidR="00275BBA" w:rsidRDefault="001261D9">
      <w:pPr>
        <w:spacing w:after="0" w:line="360" w:lineRule="auto"/>
        <w:rPr>
          <w:rFonts w:eastAsia="Times New Roman"/>
          <w:b/>
          <w:noProof/>
          <w:szCs w:val="24"/>
        </w:rPr>
      </w:pPr>
      <w:r>
        <w:rPr>
          <w:rFonts w:eastAsia="Times New Roman"/>
          <w:b/>
          <w:noProof/>
          <w:szCs w:val="24"/>
        </w:rPr>
        <w:t>8. Business activities</w:t>
      </w:r>
    </w:p>
    <w:p w:rsidR="00275BBA" w:rsidRDefault="001261D9">
      <w:pPr>
        <w:spacing w:after="0" w:line="360" w:lineRule="auto"/>
        <w:rPr>
          <w:rFonts w:eastAsia="Times New Roman"/>
          <w:noProof/>
          <w:szCs w:val="24"/>
        </w:rPr>
      </w:pPr>
      <w:r>
        <w:rPr>
          <w:rFonts w:eastAsia="Times New Roman"/>
          <w:noProof/>
          <w:szCs w:val="24"/>
        </w:rPr>
        <w:t>Enter information on the business activity of the applicant. Please describe briefly your commercial activity and state your role in the supply chain (e.g</w:t>
      </w:r>
      <w:r>
        <w:rPr>
          <w:rFonts w:eastAsia="Times New Roman"/>
          <w:noProof/>
          <w:szCs w:val="24"/>
        </w:rPr>
        <w:t>. manufacturer of goods, importer, retailer, etc.). Please describe:</w:t>
      </w:r>
    </w:p>
    <w:p w:rsidR="00275BBA" w:rsidRDefault="001261D9">
      <w:pPr>
        <w:spacing w:after="0" w:line="360" w:lineRule="auto"/>
        <w:rPr>
          <w:rFonts w:eastAsia="Times New Roman"/>
          <w:noProof/>
          <w:szCs w:val="24"/>
        </w:rPr>
      </w:pPr>
      <w:r>
        <w:rPr>
          <w:rFonts w:eastAsia="Times New Roman"/>
          <w:noProof/>
          <w:szCs w:val="24"/>
        </w:rPr>
        <w:t>- the intended use of the imported goods, including a description of the type of goods and whether they undergo any type of processing.</w:t>
      </w:r>
    </w:p>
    <w:p w:rsidR="00275BBA" w:rsidRDefault="001261D9">
      <w:pPr>
        <w:spacing w:after="0" w:line="360" w:lineRule="auto"/>
        <w:rPr>
          <w:rFonts w:eastAsia="Times New Roman"/>
          <w:noProof/>
          <w:szCs w:val="24"/>
        </w:rPr>
      </w:pPr>
      <w:r>
        <w:rPr>
          <w:rFonts w:eastAsia="Times New Roman"/>
          <w:noProof/>
          <w:szCs w:val="24"/>
        </w:rPr>
        <w:t>- an estimation on the number of customs declaratio</w:t>
      </w:r>
      <w:r>
        <w:rPr>
          <w:rFonts w:eastAsia="Times New Roman"/>
          <w:noProof/>
          <w:szCs w:val="24"/>
        </w:rPr>
        <w:t>ns for release for free circulation for the goods concerned to be made per year.</w:t>
      </w:r>
    </w:p>
    <w:p w:rsidR="00275BBA" w:rsidRDefault="001261D9">
      <w:pPr>
        <w:spacing w:after="0" w:line="360" w:lineRule="auto"/>
        <w:rPr>
          <w:rFonts w:eastAsia="Times New Roman"/>
          <w:noProof/>
          <w:szCs w:val="24"/>
        </w:rPr>
      </w:pPr>
      <w:r>
        <w:rPr>
          <w:rFonts w:eastAsia="Times New Roman"/>
          <w:noProof/>
          <w:szCs w:val="24"/>
        </w:rPr>
        <w:t>- the type of records, systems and controls put in place to support the undertaking in Article 6(b).</w:t>
      </w:r>
    </w:p>
    <w:p w:rsidR="00275BBA" w:rsidRDefault="001261D9">
      <w:pPr>
        <w:spacing w:after="0" w:line="360" w:lineRule="auto"/>
        <w:rPr>
          <w:rFonts w:eastAsia="Times New Roman"/>
          <w:b/>
          <w:noProof/>
          <w:szCs w:val="24"/>
        </w:rPr>
      </w:pPr>
      <w:r>
        <w:rPr>
          <w:rFonts w:eastAsia="Times New Roman"/>
          <w:b/>
          <w:noProof/>
          <w:szCs w:val="24"/>
        </w:rPr>
        <w:t>9. Annual turnover</w:t>
      </w:r>
    </w:p>
    <w:p w:rsidR="00275BBA" w:rsidRDefault="001261D9">
      <w:pPr>
        <w:spacing w:after="0" w:line="360" w:lineRule="auto"/>
        <w:rPr>
          <w:rFonts w:eastAsia="Times New Roman"/>
          <w:noProof/>
          <w:szCs w:val="24"/>
        </w:rPr>
      </w:pPr>
      <w:r>
        <w:rPr>
          <w:rFonts w:eastAsia="Times New Roman"/>
          <w:noProof/>
          <w:szCs w:val="24"/>
        </w:rPr>
        <w:t xml:space="preserve">For the purposes of Article 2 of the Decision, enter </w:t>
      </w:r>
      <w:r>
        <w:rPr>
          <w:rFonts w:eastAsia="Times New Roman"/>
          <w:noProof/>
          <w:szCs w:val="24"/>
        </w:rPr>
        <w:t>the annual turnover for the most recent complete financial year. If a newly established business provide such records and information as relevant to enable an assessment of anticipated turnover e.g. latest cash flow, balance sheet and profit and loss forec</w:t>
      </w:r>
      <w:r>
        <w:rPr>
          <w:rFonts w:eastAsia="Times New Roman"/>
          <w:noProof/>
          <w:szCs w:val="24"/>
        </w:rPr>
        <w:t>asts, approved by the directors/partners/sole proprietor.</w:t>
      </w:r>
    </w:p>
    <w:p w:rsidR="00275BBA" w:rsidRDefault="001261D9">
      <w:pPr>
        <w:spacing w:after="0" w:line="360" w:lineRule="auto"/>
        <w:rPr>
          <w:rFonts w:eastAsia="Times New Roman"/>
          <w:b/>
          <w:noProof/>
          <w:szCs w:val="24"/>
        </w:rPr>
      </w:pPr>
      <w:r>
        <w:rPr>
          <w:rFonts w:eastAsia="Times New Roman"/>
          <w:b/>
          <w:noProof/>
          <w:szCs w:val="24"/>
        </w:rPr>
        <w:t>10. Contact person responsible for the application</w:t>
      </w:r>
    </w:p>
    <w:p w:rsidR="00275BBA" w:rsidRDefault="001261D9">
      <w:pPr>
        <w:spacing w:after="0" w:line="360" w:lineRule="auto"/>
        <w:rPr>
          <w:rFonts w:eastAsia="Times New Roman"/>
          <w:noProof/>
          <w:szCs w:val="24"/>
        </w:rPr>
      </w:pPr>
      <w:r>
        <w:rPr>
          <w:rFonts w:eastAsia="Times New Roman"/>
          <w:noProof/>
          <w:szCs w:val="24"/>
        </w:rPr>
        <w:t>The contact person shall be responsible for keeping contact with customs as regards the application.</w:t>
      </w:r>
    </w:p>
    <w:p w:rsidR="00275BBA" w:rsidRDefault="001261D9">
      <w:pPr>
        <w:spacing w:after="0" w:line="360" w:lineRule="auto"/>
        <w:rPr>
          <w:rFonts w:eastAsia="Times New Roman"/>
          <w:noProof/>
          <w:szCs w:val="24"/>
        </w:rPr>
      </w:pPr>
      <w:r>
        <w:rPr>
          <w:rFonts w:eastAsia="Times New Roman"/>
          <w:noProof/>
          <w:szCs w:val="24"/>
        </w:rPr>
        <w:t>Enter the contact person’s name and any of the</w:t>
      </w:r>
      <w:r>
        <w:rPr>
          <w:rFonts w:eastAsia="Times New Roman"/>
          <w:noProof/>
          <w:szCs w:val="24"/>
        </w:rPr>
        <w:t xml:space="preserve"> following: telephone number, e- mail address (preferably of a functional mailbox)</w:t>
      </w:r>
    </w:p>
    <w:p w:rsidR="00275BBA" w:rsidRDefault="001261D9">
      <w:pPr>
        <w:spacing w:after="0" w:line="360" w:lineRule="auto"/>
        <w:rPr>
          <w:rFonts w:eastAsia="Times New Roman"/>
          <w:b/>
          <w:noProof/>
          <w:szCs w:val="24"/>
        </w:rPr>
      </w:pPr>
      <w:r>
        <w:rPr>
          <w:rFonts w:eastAsia="Times New Roman"/>
          <w:b/>
          <w:noProof/>
          <w:szCs w:val="24"/>
        </w:rPr>
        <w:t>11. Person in charge of the applicant company or exercising control over its management</w:t>
      </w:r>
    </w:p>
    <w:p w:rsidR="00275BBA" w:rsidRDefault="001261D9">
      <w:pPr>
        <w:spacing w:after="0" w:line="360" w:lineRule="auto"/>
        <w:rPr>
          <w:rFonts w:eastAsia="Times New Roman"/>
          <w:noProof/>
          <w:szCs w:val="24"/>
        </w:rPr>
      </w:pPr>
      <w:r>
        <w:rPr>
          <w:rFonts w:eastAsia="Times New Roman"/>
          <w:noProof/>
          <w:szCs w:val="24"/>
        </w:rPr>
        <w:t xml:space="preserve">For the purposes of Article 7(b) of the Decision, enter the name(s) and full details </w:t>
      </w:r>
      <w:r>
        <w:rPr>
          <w:rFonts w:eastAsia="Times New Roman"/>
          <w:noProof/>
          <w:szCs w:val="24"/>
        </w:rPr>
        <w:t>of the person(s) concerned according to the legal establishment/form of the applicant company, in particular: director/manager of the company and board directors if any. Details should include: full name and address, and date of birth and National Identifi</w:t>
      </w:r>
      <w:r>
        <w:rPr>
          <w:rFonts w:eastAsia="Times New Roman"/>
          <w:noProof/>
          <w:szCs w:val="24"/>
        </w:rPr>
        <w:t>cation Number.</w:t>
      </w:r>
    </w:p>
    <w:p w:rsidR="00275BBA" w:rsidRDefault="001261D9">
      <w:pPr>
        <w:spacing w:after="0" w:line="360" w:lineRule="auto"/>
        <w:rPr>
          <w:rFonts w:eastAsia="Times New Roman"/>
          <w:b/>
          <w:noProof/>
          <w:szCs w:val="24"/>
          <w:u w:val="single"/>
        </w:rPr>
      </w:pPr>
      <w:r>
        <w:rPr>
          <w:rFonts w:eastAsia="Times New Roman"/>
          <w:b/>
          <w:noProof/>
          <w:szCs w:val="24"/>
          <w:u w:val="single"/>
        </w:rPr>
        <w:t>Dates, times, periods and places</w:t>
      </w:r>
    </w:p>
    <w:p w:rsidR="00275BBA" w:rsidRDefault="001261D9">
      <w:pPr>
        <w:spacing w:after="0" w:line="360" w:lineRule="auto"/>
        <w:rPr>
          <w:rFonts w:eastAsia="Times New Roman"/>
          <w:b/>
          <w:noProof/>
          <w:szCs w:val="24"/>
        </w:rPr>
      </w:pPr>
      <w:r>
        <w:rPr>
          <w:rFonts w:eastAsia="Times New Roman"/>
          <w:b/>
          <w:noProof/>
          <w:szCs w:val="24"/>
        </w:rPr>
        <w:t>12. Date of establishment</w:t>
      </w:r>
    </w:p>
    <w:p w:rsidR="00275BBA" w:rsidRDefault="001261D9">
      <w:pPr>
        <w:spacing w:after="0" w:line="360" w:lineRule="auto"/>
        <w:rPr>
          <w:rFonts w:eastAsia="Times New Roman"/>
          <w:noProof/>
          <w:szCs w:val="24"/>
        </w:rPr>
      </w:pPr>
      <w:r>
        <w:rPr>
          <w:rFonts w:eastAsia="Times New Roman"/>
          <w:noProof/>
          <w:szCs w:val="24"/>
        </w:rPr>
        <w:t>With numbers – the day, month and year of establishment.</w:t>
      </w:r>
    </w:p>
    <w:p w:rsidR="00275BBA" w:rsidRDefault="001261D9">
      <w:pPr>
        <w:spacing w:after="0" w:line="360" w:lineRule="auto"/>
        <w:rPr>
          <w:rFonts w:eastAsia="Times New Roman"/>
          <w:b/>
          <w:noProof/>
          <w:szCs w:val="24"/>
        </w:rPr>
      </w:pPr>
      <w:r>
        <w:rPr>
          <w:rFonts w:eastAsia="Times New Roman"/>
          <w:b/>
          <w:noProof/>
          <w:szCs w:val="24"/>
        </w:rPr>
        <w:t>13. Address of establishment/</w:t>
      </w:r>
      <w:r>
        <w:rPr>
          <w:b/>
          <w:noProof/>
        </w:rPr>
        <w:t xml:space="preserve"> </w:t>
      </w:r>
      <w:r>
        <w:rPr>
          <w:rFonts w:eastAsia="Times New Roman"/>
          <w:b/>
          <w:noProof/>
          <w:szCs w:val="24"/>
        </w:rPr>
        <w:t>address of residence</w:t>
      </w:r>
    </w:p>
    <w:p w:rsidR="00275BBA" w:rsidRDefault="001261D9">
      <w:pPr>
        <w:spacing w:after="0" w:line="360" w:lineRule="auto"/>
        <w:rPr>
          <w:rFonts w:eastAsia="Times New Roman"/>
          <w:noProof/>
          <w:szCs w:val="24"/>
        </w:rPr>
      </w:pPr>
      <w:r>
        <w:rPr>
          <w:rFonts w:eastAsia="Times New Roman"/>
          <w:noProof/>
          <w:szCs w:val="24"/>
        </w:rPr>
        <w:t>The full address of the place where the person is established/resides, inc</w:t>
      </w:r>
      <w:r>
        <w:rPr>
          <w:rFonts w:eastAsia="Times New Roman"/>
          <w:noProof/>
          <w:szCs w:val="24"/>
        </w:rPr>
        <w:t>luding the identifier of the country or territory.</w:t>
      </w:r>
    </w:p>
    <w:p w:rsidR="00275BBA" w:rsidRDefault="001261D9">
      <w:pPr>
        <w:spacing w:after="0" w:line="360" w:lineRule="auto"/>
        <w:rPr>
          <w:rFonts w:eastAsia="Times New Roman"/>
          <w:b/>
          <w:noProof/>
          <w:szCs w:val="24"/>
        </w:rPr>
      </w:pPr>
      <w:r>
        <w:rPr>
          <w:rFonts w:eastAsia="Times New Roman"/>
          <w:b/>
          <w:noProof/>
          <w:szCs w:val="24"/>
        </w:rPr>
        <w:t>14. Place where records are kept</w:t>
      </w:r>
    </w:p>
    <w:p w:rsidR="00275BBA" w:rsidRDefault="001261D9">
      <w:pPr>
        <w:spacing w:after="0" w:line="360" w:lineRule="auto"/>
        <w:rPr>
          <w:rFonts w:eastAsia="Times New Roman"/>
          <w:noProof/>
          <w:szCs w:val="24"/>
        </w:rPr>
      </w:pPr>
      <w:r>
        <w:rPr>
          <w:rFonts w:eastAsia="Times New Roman"/>
          <w:noProof/>
          <w:szCs w:val="24"/>
        </w:rPr>
        <w:t>Enter full address of the location(s) where the applicant’s records are kept or intended to be kept. The UN/LOCODE may replace the address, if it provides an unambiguous id</w:t>
      </w:r>
      <w:r>
        <w:rPr>
          <w:rFonts w:eastAsia="Times New Roman"/>
          <w:noProof/>
          <w:szCs w:val="24"/>
        </w:rPr>
        <w:t>entification of the location concerned.</w:t>
      </w:r>
    </w:p>
    <w:p w:rsidR="00275BBA" w:rsidRDefault="001261D9">
      <w:pPr>
        <w:spacing w:after="0" w:line="360" w:lineRule="auto"/>
        <w:rPr>
          <w:rFonts w:eastAsia="Times New Roman"/>
          <w:b/>
          <w:noProof/>
          <w:szCs w:val="24"/>
        </w:rPr>
      </w:pPr>
      <w:r>
        <w:rPr>
          <w:rFonts w:eastAsia="Times New Roman"/>
          <w:b/>
          <w:noProof/>
          <w:szCs w:val="24"/>
        </w:rPr>
        <w:t>15. Place(s) of processing or use</w:t>
      </w:r>
    </w:p>
    <w:p w:rsidR="00275BBA" w:rsidRDefault="001261D9">
      <w:pPr>
        <w:spacing w:after="0" w:line="360" w:lineRule="auto"/>
        <w:rPr>
          <w:rFonts w:eastAsia="Times New Roman"/>
          <w:noProof/>
          <w:szCs w:val="24"/>
        </w:rPr>
      </w:pPr>
      <w:r>
        <w:rPr>
          <w:rFonts w:eastAsia="Times New Roman"/>
          <w:noProof/>
          <w:szCs w:val="24"/>
        </w:rPr>
        <w:t>Please indicate the address of the place(s) where the goods will be processed, where applicable, and sold to the end-consumers.</w:t>
      </w:r>
    </w:p>
    <w:sectPr w:rsidR="00275BBA" w:rsidSect="001261D9">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BA" w:rsidRDefault="001261D9">
      <w:pPr>
        <w:spacing w:before="0" w:after="0"/>
      </w:pPr>
      <w:r>
        <w:separator/>
      </w:r>
    </w:p>
  </w:endnote>
  <w:endnote w:type="continuationSeparator" w:id="0">
    <w:p w:rsidR="00275BBA" w:rsidRDefault="001261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BA" w:rsidRPr="001261D9" w:rsidRDefault="001261D9" w:rsidP="001261D9">
    <w:pPr>
      <w:pStyle w:val="Footer"/>
      <w:rPr>
        <w:rFonts w:ascii="Arial" w:hAnsi="Arial" w:cs="Arial"/>
        <w:b/>
        <w:sz w:val="48"/>
      </w:rPr>
    </w:pPr>
    <w:r w:rsidRPr="001261D9">
      <w:rPr>
        <w:rFonts w:ascii="Arial" w:hAnsi="Arial" w:cs="Arial"/>
        <w:b/>
        <w:sz w:val="48"/>
      </w:rPr>
      <w:t>EN</w:t>
    </w:r>
    <w:r w:rsidRPr="001261D9">
      <w:rPr>
        <w:rFonts w:ascii="Arial" w:hAnsi="Arial" w:cs="Arial"/>
        <w:b/>
        <w:sz w:val="48"/>
      </w:rPr>
      <w:tab/>
    </w:r>
    <w:r w:rsidRPr="001261D9">
      <w:rPr>
        <w:rFonts w:ascii="Arial" w:hAnsi="Arial" w:cs="Arial"/>
        <w:b/>
        <w:sz w:val="48"/>
      </w:rPr>
      <w:tab/>
    </w:r>
    <w:r w:rsidRPr="001261D9">
      <w:tab/>
    </w:r>
    <w:r w:rsidRPr="001261D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Footer"/>
      <w:rPr>
        <w:rFonts w:ascii="Arial" w:hAnsi="Arial" w:cs="Arial"/>
        <w:b/>
        <w:sz w:val="48"/>
      </w:rPr>
    </w:pPr>
    <w:r w:rsidRPr="001261D9">
      <w:rPr>
        <w:rFonts w:ascii="Arial" w:hAnsi="Arial" w:cs="Arial"/>
        <w:b/>
        <w:sz w:val="48"/>
      </w:rPr>
      <w:t>EN</w:t>
    </w:r>
    <w:r w:rsidRPr="001261D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261D9">
      <w:tab/>
    </w:r>
    <w:r w:rsidRPr="001261D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BA" w:rsidRDefault="001261D9">
      <w:pPr>
        <w:spacing w:before="0" w:after="0"/>
      </w:pPr>
      <w:r>
        <w:separator/>
      </w:r>
    </w:p>
  </w:footnote>
  <w:footnote w:type="continuationSeparator" w:id="0">
    <w:p w:rsidR="00275BBA" w:rsidRDefault="001261D9">
      <w:pPr>
        <w:spacing w:before="0" w:after="0"/>
      </w:pPr>
      <w:r>
        <w:continuationSeparator/>
      </w:r>
    </w:p>
  </w:footnote>
  <w:footnote w:id="1">
    <w:p w:rsidR="00275BBA" w:rsidRDefault="001261D9">
      <w:pPr>
        <w:spacing w:after="0"/>
        <w:rPr>
          <w:rFonts w:eastAsia="Times New Roman"/>
          <w:sz w:val="20"/>
          <w:szCs w:val="20"/>
        </w:rPr>
      </w:pPr>
      <w:r>
        <w:rPr>
          <w:rStyle w:val="FootnoteReference"/>
        </w:rPr>
        <w:footnoteRef/>
      </w:r>
      <w:r>
        <w:rPr>
          <w:sz w:val="20"/>
          <w:szCs w:val="20"/>
        </w:rPr>
        <w:tab/>
      </w:r>
      <w:r>
        <w:rPr>
          <w:rFonts w:eastAsia="Times New Roman"/>
          <w:sz w:val="20"/>
          <w:szCs w:val="20"/>
        </w:rPr>
        <w:t xml:space="preserve">Regulation </w:t>
      </w:r>
      <w:r>
        <w:rPr>
          <w:rFonts w:eastAsia="Times New Roman"/>
          <w:sz w:val="20"/>
          <w:szCs w:val="20"/>
        </w:rPr>
        <w:t>(EC) No 638/2004 of the European Parliament and of the Council of 31 March 2004 on Community statistics relating to the trading of goods between Member States and repealing Council Regulation (EEC) No 3330/91 (OJ L102, 7.4.2004, p. 1)</w:t>
      </w:r>
    </w:p>
  </w:footnote>
  <w:footnote w:id="2">
    <w:p w:rsidR="00275BBA" w:rsidRDefault="001261D9">
      <w:pPr>
        <w:spacing w:after="0"/>
        <w:rPr>
          <w:rFonts w:eastAsia="Times New Roman"/>
          <w:sz w:val="20"/>
          <w:szCs w:val="20"/>
        </w:rPr>
      </w:pPr>
      <w:r>
        <w:rPr>
          <w:rStyle w:val="FootnoteReference"/>
        </w:rPr>
        <w:footnoteRef/>
      </w:r>
      <w:r>
        <w:rPr>
          <w:sz w:val="20"/>
          <w:szCs w:val="20"/>
        </w:rPr>
        <w:tab/>
      </w:r>
      <w:r>
        <w:rPr>
          <w:rFonts w:eastAsia="Times New Roman"/>
          <w:sz w:val="20"/>
          <w:szCs w:val="20"/>
        </w:rPr>
        <w:t xml:space="preserve">Regulation (EC) No </w:t>
      </w:r>
      <w:r>
        <w:rPr>
          <w:rFonts w:eastAsia="Times New Roman"/>
          <w:sz w:val="20"/>
          <w:szCs w:val="20"/>
        </w:rPr>
        <w:t>471/2009 of the European Parliament and of the Council of 6 May 2009 on Community statistics relating to external trade with non-member countries and repealing Council Regulation (EC) No 1172/95 (OJ L 152, 16.6.2009, p. 23)</w:t>
      </w:r>
    </w:p>
  </w:footnote>
  <w:footnote w:id="3">
    <w:p w:rsidR="00275BBA" w:rsidRDefault="001261D9">
      <w:pPr>
        <w:spacing w:after="0"/>
        <w:rPr>
          <w:sz w:val="20"/>
          <w:szCs w:val="20"/>
        </w:rPr>
      </w:pPr>
      <w:r>
        <w:rPr>
          <w:rStyle w:val="FootnoteReference"/>
        </w:rPr>
        <w:footnoteRef/>
      </w:r>
      <w:r>
        <w:rPr>
          <w:sz w:val="20"/>
          <w:szCs w:val="20"/>
        </w:rPr>
        <w:tab/>
      </w:r>
      <w:r>
        <w:rPr>
          <w:rFonts w:eastAsia="Times New Roman"/>
          <w:sz w:val="21"/>
          <w:szCs w:val="21"/>
          <w:highlight w:val="white"/>
        </w:rPr>
        <w:t>Commission Delegated Regulatio</w:t>
      </w:r>
      <w:r>
        <w:rPr>
          <w:rFonts w:eastAsia="Times New Roman"/>
          <w:sz w:val="21"/>
          <w:szCs w:val="21"/>
          <w:highlight w:val="white"/>
        </w:rPr>
        <w:t>n (EU) 2015/2446 of 28 July 2015 supplementing Regulation (EU) No 952/2013 of the European Parliament and of the Council as regards detailed rules concerning certain provisions of the Union Customs Code (OJ L343, 28.12.2015,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D9" w:rsidRPr="001261D9" w:rsidRDefault="001261D9" w:rsidP="0012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FADF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84B3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B882B7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F64150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420C6F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E8601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39A13E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E3AC23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9"/>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0:46: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3"/>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COM(2020) 834 final of 10.12.2020 downgraded on 27.1.2021"/>
    <w:docVar w:name="LW_COVERPAGE_EXISTS" w:val="True"/>
    <w:docVar w:name="LW_COVERPAGE_GUID" w:val="924DD188-C094-4AF9-A11F-FB74226B56F6"/>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pursuant to Article 218 (9) TFEU on the Union position concerning the draft Joint Committee Decision on the determination of goods not at risk "/>
    <w:docVar w:name="LW_OBJETACTEPRINCIPAL.CP" w:val="pursuant to Article 218 (9) TFEU on the Union position concerning the draft Joint Committee Decision on the determination of goods not at risk "/>
    <w:docVar w:name="LW_PART_NBR" w:val="1"/>
    <w:docVar w:name="LW_PART_NBR_TOTAL" w:val="1"/>
    <w:docVar w:name="LW_REF.INST.NEW" w:val="COM"/>
    <w:docVar w:name="LW_REF.INST.NEW_ADOPTED" w:val="final/2"/>
    <w:docVar w:name="LW_REF.INST.NEW_TEXT" w:val="(2020) 8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275BBA"/>
    <w:rsid w:val="001261D9"/>
    <w:rsid w:val="0027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F45A9C6-B09A-46B6-B969-DE6F9949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rsid w:val="001261D9"/>
    <w:pPr>
      <w:tabs>
        <w:tab w:val="center" w:pos="4535"/>
        <w:tab w:val="right" w:pos="9071"/>
      </w:tabs>
      <w:spacing w:before="0"/>
    </w:pPr>
  </w:style>
  <w:style w:type="character" w:customStyle="1" w:styleId="HeaderChar">
    <w:name w:val="Header Char"/>
    <w:basedOn w:val="DefaultParagraphFont"/>
    <w:link w:val="Header"/>
    <w:uiPriority w:val="99"/>
    <w:rsid w:val="001261D9"/>
    <w:rPr>
      <w:rFonts w:ascii="Times New Roman" w:hAnsi="Times New Roman" w:cs="Times New Roman"/>
      <w:sz w:val="24"/>
      <w:lang w:val="en-GB"/>
    </w:rPr>
  </w:style>
  <w:style w:type="paragraph" w:styleId="Footer">
    <w:name w:val="footer"/>
    <w:basedOn w:val="Normal"/>
    <w:link w:val="FooterChar"/>
    <w:uiPriority w:val="99"/>
    <w:unhideWhenUsed/>
    <w:rsid w:val="001261D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261D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261D9"/>
    <w:pPr>
      <w:tabs>
        <w:tab w:val="center" w:pos="7285"/>
        <w:tab w:val="right" w:pos="14003"/>
      </w:tabs>
      <w:spacing w:before="0"/>
    </w:pPr>
  </w:style>
  <w:style w:type="paragraph" w:customStyle="1" w:styleId="FooterLandscape">
    <w:name w:val="FooterLandscape"/>
    <w:basedOn w:val="Normal"/>
    <w:rsid w:val="001261D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261D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261D9"/>
    <w:pPr>
      <w:spacing w:before="0"/>
      <w:jc w:val="right"/>
    </w:pPr>
    <w:rPr>
      <w:sz w:val="28"/>
    </w:rPr>
  </w:style>
  <w:style w:type="paragraph" w:customStyle="1" w:styleId="FooterSensitivity">
    <w:name w:val="Footer Sensitivity"/>
    <w:basedOn w:val="Normal"/>
    <w:rsid w:val="001261D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80149">
      <w:bodyDiv w:val="1"/>
      <w:marLeft w:val="0"/>
      <w:marRight w:val="0"/>
      <w:marTop w:val="0"/>
      <w:marBottom w:val="0"/>
      <w:divBdr>
        <w:top w:val="none" w:sz="0" w:space="0" w:color="auto"/>
        <w:left w:val="none" w:sz="0" w:space="0" w:color="auto"/>
        <w:bottom w:val="none" w:sz="0" w:space="0" w:color="auto"/>
        <w:right w:val="none" w:sz="0" w:space="0" w:color="auto"/>
      </w:divBdr>
    </w:div>
    <w:div w:id="19903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2B93-CA7A-4067-A522-8BCF875F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4</TotalTime>
  <Pages>2</Pages>
  <Words>2606</Words>
  <Characters>13763</Characters>
  <Application>Microsoft Office Word</Application>
  <DocSecurity>0</DocSecurity>
  <Lines>269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LAGES CARVALHO Patrick (SG)</cp:lastModifiedBy>
  <cp:revision>12</cp:revision>
  <dcterms:created xsi:type="dcterms:W3CDTF">2020-12-10T09:56:00Z</dcterms:created>
  <dcterms:modified xsi:type="dcterms:W3CDTF">2021-01-27T10:11:00Z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