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57" w:rsidRDefault="00723F75" w:rsidP="00723F75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EF3E09E3-135A-4A20-A608-604BD8BD164E" style="width:450.5pt;height:418.5pt">
            <v:imagedata r:id="rId7" o:title=""/>
          </v:shape>
        </w:pict>
      </w:r>
    </w:p>
    <w:p w:rsidR="00396157" w:rsidRDefault="00396157">
      <w:pPr>
        <w:rPr>
          <w:noProof/>
        </w:rPr>
        <w:sectPr w:rsidR="00396157" w:rsidSect="00723F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96157" w:rsidRDefault="00723F75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 w:rsidR="00396157" w:rsidRDefault="00723F75">
      <w:pPr>
        <w:pStyle w:val="ManualHeading1"/>
        <w:rPr>
          <w:rFonts w:eastAsia="Arial Unicode MS"/>
          <w:noProof/>
        </w:rPr>
      </w:pPr>
      <w:r>
        <w:rPr>
          <w:noProof/>
        </w:rPr>
        <w:t>1.</w:t>
      </w:r>
      <w:r>
        <w:rPr>
          <w:noProof/>
        </w:rPr>
        <w:tab/>
        <w:t>Предмет на предложението</w:t>
      </w:r>
    </w:p>
    <w:p w:rsidR="00396157" w:rsidRDefault="00723F75">
      <w:pPr>
        <w:rPr>
          <w:noProof/>
        </w:rPr>
      </w:pPr>
      <w:r>
        <w:rPr>
          <w:noProof/>
        </w:rPr>
        <w:t xml:space="preserve">Комисията предлага Съветът да приеме позицията, която трябва да се заеме от името на Съюза в рамките </w:t>
      </w:r>
      <w:r>
        <w:rPr>
          <w:noProof/>
        </w:rPr>
        <w:t>на Съвместния комитет, създаден със Споразумението за оттегляне на Обединеното кралство Великобритания и Северна Ирландия от Европейския съюз и Европейската общност за атомна енергия (наричано по-нататък „Споразумението за оттегляне“), във връзка с решение</w:t>
      </w:r>
      <w:r>
        <w:rPr>
          <w:noProof/>
        </w:rPr>
        <w:t xml:space="preserve"> на Съвместния комитет относно практическите работни механизми, свързани с упражняването на правата, посочени в член 12, параграф 2 от Протокола относно Ирландия/Северна Ирландия към Споразумението за оттегляне (наричан по-нататък „Протоколът“).</w:t>
      </w:r>
    </w:p>
    <w:p w:rsidR="00396157" w:rsidRDefault="00723F75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Контекс</w:t>
      </w:r>
      <w:r>
        <w:rPr>
          <w:noProof/>
        </w:rPr>
        <w:t>т на предложението</w:t>
      </w:r>
    </w:p>
    <w:p w:rsidR="00396157" w:rsidRDefault="00396157">
      <w:pPr>
        <w:rPr>
          <w:noProof/>
        </w:rPr>
      </w:pPr>
    </w:p>
    <w:p w:rsidR="00396157" w:rsidRDefault="00723F7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pacing w:val="-6"/>
        </w:rPr>
      </w:pPr>
      <w:r>
        <w:rPr>
          <w:noProof/>
          <w:spacing w:val="-6"/>
        </w:rPr>
        <w:t>Съгласно член 12 от Протокола органите на Обединеното кралство са отговорни за изпълнението и прилагането на разпоредбите на правото на Съюза, станали приложими по силата на Протокола. Съгласно член 12, параграф 2 представителите на Съю</w:t>
      </w:r>
      <w:r>
        <w:rPr>
          <w:noProof/>
          <w:spacing w:val="-6"/>
        </w:rPr>
        <w:t>за имат правото да присъстват по време на дейностите на органите на Обединеното кралство във връзка с изпълнението и прилагането на разпоредби на правото на Съюза, станали приложими по силата на този протокол, както и по време на дейностите, свързани с изп</w:t>
      </w:r>
      <w:r>
        <w:rPr>
          <w:noProof/>
          <w:spacing w:val="-6"/>
        </w:rPr>
        <w:t xml:space="preserve">ълнението и прилагането на член 5, като при поискване Обединеното кралство предоставя цялата съответна информация, свързана с такива дейности, и е задължено да съдейства на представителите на Съюза по време на тяхното присъствие, да им предоставя исканата </w:t>
      </w:r>
      <w:r>
        <w:rPr>
          <w:noProof/>
          <w:spacing w:val="-6"/>
        </w:rPr>
        <w:t>информация и да прилага изисканите от представителите на Съюза мерки за контрол.</w:t>
      </w:r>
    </w:p>
    <w:p w:rsidR="00396157" w:rsidRDefault="00723F7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 установеното с член 12 от Протокола присъствие на Съюза следва да се гарантира, че Съюзът може ефективно да наблюдава прилагането и изпълнението на правото на Съюза, приложи</w:t>
      </w:r>
      <w:r>
        <w:rPr>
          <w:noProof/>
        </w:rPr>
        <w:t>мо по отношение на Северна Ирландия, от страна на органите на Обединеното кралство. В член 12, параграф 4 от Протокола изрично се посочва, че институциите и органите на Съюза, включително по-специално Съдът на Европейския съюз, разполагат със същите правом</w:t>
      </w:r>
      <w:r>
        <w:rPr>
          <w:noProof/>
        </w:rPr>
        <w:t>ощия като тези, които са им предоставени в съответствие с предвиденото в правото на Съюза.</w:t>
      </w:r>
    </w:p>
    <w:p w:rsidR="00396157" w:rsidRDefault="00723F75">
      <w:pPr>
        <w:pStyle w:val="ManualHeading1"/>
        <w:rPr>
          <w:rFonts w:eastAsia="Arial Unicode MS"/>
          <w:noProof/>
        </w:rPr>
      </w:pPr>
      <w:r>
        <w:rPr>
          <w:noProof/>
        </w:rPr>
        <w:t>3.</w:t>
      </w:r>
      <w:r>
        <w:rPr>
          <w:noProof/>
        </w:rPr>
        <w:tab/>
        <w:t>Позиция, която трябва да се заеме от името на Съюза</w:t>
      </w:r>
    </w:p>
    <w:p w:rsidR="00396157" w:rsidRDefault="00723F75">
      <w:pPr>
        <w:pStyle w:val="ManualHeading2"/>
        <w:rPr>
          <w:noProof/>
        </w:rPr>
      </w:pPr>
      <w:r>
        <w:rPr>
          <w:noProof/>
        </w:rPr>
        <w:tab/>
        <w:t>Практически работни механизми за упражняването на правата, посочени в член 12, параграф 2 от Протокола</w:t>
      </w:r>
    </w:p>
    <w:p w:rsidR="00396157" w:rsidRDefault="00396157">
      <w:pPr>
        <w:rPr>
          <w:noProof/>
        </w:rPr>
      </w:pPr>
    </w:p>
    <w:p w:rsidR="00396157" w:rsidRDefault="00723F75">
      <w:pPr>
        <w:pStyle w:val="Text1"/>
        <w:ind w:left="0"/>
        <w:rPr>
          <w:noProof/>
        </w:rPr>
      </w:pPr>
      <w:r>
        <w:rPr>
          <w:noProof/>
        </w:rPr>
        <w:t>С цел</w:t>
      </w:r>
      <w:r>
        <w:rPr>
          <w:noProof/>
        </w:rPr>
        <w:t xml:space="preserve"> да се осигури ефективното прилагане на правилата, предоставени съгласно 12, параграф 2 от Протокола, с практическите работни механизми, изложени в решение на Съвместния комитет, се предвиждат</w:t>
      </w:r>
    </w:p>
    <w:p w:rsidR="00396157" w:rsidRDefault="00723F75">
      <w:pPr>
        <w:pStyle w:val="Tiret1"/>
        <w:numPr>
          <w:ilvl w:val="0"/>
          <w:numId w:val="12"/>
        </w:numPr>
        <w:rPr>
          <w:noProof/>
        </w:rPr>
      </w:pPr>
      <w:r>
        <w:rPr>
          <w:noProof/>
        </w:rPr>
        <w:t>привилегии и имунитети на представителите на Съюза, упражняващи</w:t>
      </w:r>
      <w:r>
        <w:rPr>
          <w:noProof/>
        </w:rPr>
        <w:t xml:space="preserve"> тези права на Съюза;</w:t>
      </w:r>
    </w:p>
    <w:p w:rsidR="00396157" w:rsidRDefault="00723F75">
      <w:pPr>
        <w:pStyle w:val="Tiret1"/>
        <w:rPr>
          <w:noProof/>
        </w:rPr>
      </w:pPr>
      <w:r>
        <w:rPr>
          <w:noProof/>
        </w:rPr>
        <w:t>ред и условия за искане на информация</w:t>
      </w:r>
    </w:p>
    <w:p w:rsidR="00396157" w:rsidRDefault="00723F75">
      <w:pPr>
        <w:pStyle w:val="Tiret1"/>
        <w:rPr>
          <w:noProof/>
        </w:rPr>
      </w:pPr>
      <w:r>
        <w:rPr>
          <w:noProof/>
        </w:rPr>
        <w:t>общ електронен достъп до информационните системи на Обединеното кралство, които са от значение за прилагането на Протокола; както и</w:t>
      </w:r>
    </w:p>
    <w:p w:rsidR="00396157" w:rsidRDefault="00723F75">
      <w:pPr>
        <w:pStyle w:val="Tiret1"/>
        <w:rPr>
          <w:noProof/>
        </w:rPr>
      </w:pPr>
      <w:r>
        <w:rPr>
          <w:noProof/>
        </w:rPr>
        <w:t>ред и условия за изискване на мерки за контрол.</w:t>
      </w:r>
    </w:p>
    <w:p w:rsidR="00396157" w:rsidRDefault="00723F75">
      <w:pPr>
        <w:pStyle w:val="Text1"/>
        <w:ind w:left="0"/>
        <w:rPr>
          <w:noProof/>
        </w:rPr>
      </w:pPr>
      <w:r>
        <w:rPr>
          <w:noProof/>
        </w:rPr>
        <w:t>Упражняването на</w:t>
      </w:r>
      <w:r>
        <w:rPr>
          <w:noProof/>
        </w:rPr>
        <w:t xml:space="preserve"> правата съгласно член 12, параграф 2 не е ограничено в частност до територията на Северна Ирландия, а се отнася до всички дейности, извършвани от органите на Обединеното кралство при прилагането на Протокола, без значение на мястото, където се извършват.</w:t>
      </w:r>
    </w:p>
    <w:p w:rsidR="00396157" w:rsidRDefault="00723F75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Правно основание</w:t>
      </w:r>
    </w:p>
    <w:p w:rsidR="00396157" w:rsidRDefault="00723F75">
      <w:pPr>
        <w:pStyle w:val="ManualHeading2"/>
        <w:rPr>
          <w:noProof/>
        </w:rPr>
      </w:pPr>
      <w:r>
        <w:rPr>
          <w:noProof/>
        </w:rPr>
        <w:t>4.1.</w:t>
      </w:r>
      <w:r>
        <w:rPr>
          <w:noProof/>
        </w:rPr>
        <w:tab/>
        <w:t>Процесуалноправно основание</w:t>
      </w:r>
    </w:p>
    <w:p w:rsidR="00396157" w:rsidRDefault="00723F75"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</w:t>
      </w:r>
      <w:r>
        <w:rPr>
          <w:noProof/>
        </w:rPr>
        <w:t xml:space="preserve">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 w:rsidR="00396157" w:rsidRDefault="00723F75">
      <w:pPr>
        <w:rPr>
          <w:noProof/>
        </w:rPr>
      </w:pPr>
      <w:r>
        <w:rPr>
          <w:noProof/>
        </w:rPr>
        <w:t>Решението, което Съвместният комитет има за задача да</w:t>
      </w:r>
      <w:r>
        <w:rPr>
          <w:noProof/>
        </w:rPr>
        <w:t xml:space="preserve"> приеме, представлява акт с правно действие. Предвиденият акт ще бъде задължителен за страните в съответствие с член 166 от Споразумението. </w:t>
      </w:r>
    </w:p>
    <w:p w:rsidR="00396157" w:rsidRDefault="00723F75"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 w:rsidR="00396157" w:rsidRDefault="00723F75">
      <w:pPr>
        <w:rPr>
          <w:noProof/>
        </w:rPr>
      </w:pPr>
      <w:r>
        <w:rPr>
          <w:noProof/>
        </w:rPr>
        <w:t>Поради това процесуалноправното</w:t>
      </w:r>
      <w:r>
        <w:rPr>
          <w:noProof/>
        </w:rPr>
        <w:t xml:space="preserve"> основание за предложеното решение е член 218, параграф 9 от ДФЕС.</w:t>
      </w:r>
    </w:p>
    <w:p w:rsidR="00396157" w:rsidRDefault="00723F75">
      <w:pPr>
        <w:rPr>
          <w:b/>
          <w:noProof/>
        </w:rPr>
      </w:pPr>
      <w:r>
        <w:rPr>
          <w:b/>
          <w:noProof/>
        </w:rPr>
        <w:t>4.2. Материалноправно основание</w:t>
      </w:r>
    </w:p>
    <w:p w:rsidR="00396157" w:rsidRDefault="00723F75">
      <w:pPr>
        <w:rPr>
          <w:noProof/>
        </w:rPr>
      </w:pPr>
      <w:r>
        <w:rPr>
          <w:noProof/>
        </w:rPr>
        <w:t>С решението относно присъствието на Съюза се установяват условията за прилагането на Споразумението за оттегляне, което беше сключено на основание на член 50</w:t>
      </w:r>
      <w:r>
        <w:rPr>
          <w:noProof/>
        </w:rPr>
        <w:t xml:space="preserve"> от ДЕС. Тъй като Протоколът относно Северна Ирландия представлява търговско споразумение между ЕС и Обединеното кралство по отношение на Северна Ирландия, правното основание е също и член 207 от ДФЕС.</w:t>
      </w:r>
    </w:p>
    <w:p w:rsidR="00396157" w:rsidRDefault="00723F75">
      <w:pPr>
        <w:rPr>
          <w:noProof/>
        </w:rPr>
      </w:pPr>
      <w:r>
        <w:rPr>
          <w:noProof/>
        </w:rPr>
        <w:t>Поради това материалноправните основания за предложено</w:t>
      </w:r>
      <w:r>
        <w:rPr>
          <w:noProof/>
        </w:rPr>
        <w:t>то решение са член 50 от ДЕС и член 207 от ДФЕС.</w:t>
      </w:r>
    </w:p>
    <w:p w:rsidR="00396157" w:rsidRDefault="00723F75">
      <w:pPr>
        <w:rPr>
          <w:b/>
          <w:noProof/>
        </w:rPr>
      </w:pPr>
      <w:r>
        <w:rPr>
          <w:b/>
          <w:noProof/>
        </w:rPr>
        <w:t xml:space="preserve">4.3. </w:t>
      </w:r>
      <w:r>
        <w:rPr>
          <w:noProof/>
        </w:rPr>
        <w:tab/>
      </w:r>
      <w:r>
        <w:rPr>
          <w:b/>
          <w:noProof/>
        </w:rPr>
        <w:t>Заключение</w:t>
      </w:r>
    </w:p>
    <w:p w:rsidR="00396157" w:rsidRDefault="00723F75">
      <w:pPr>
        <w:rPr>
          <w:noProof/>
        </w:rPr>
      </w:pPr>
      <w:r>
        <w:rPr>
          <w:noProof/>
        </w:rPr>
        <w:t>Правното основание за предложеното решение следва да бъдат член 50 от ДЕС и член 207 от ДФЕС във връзка с член 218, параграф 9 от ДФЕС.</w:t>
      </w:r>
    </w:p>
    <w:p w:rsidR="00396157" w:rsidRDefault="00396157">
      <w:pPr>
        <w:rPr>
          <w:noProof/>
        </w:rPr>
      </w:pPr>
    </w:p>
    <w:p w:rsidR="00396157" w:rsidRDefault="00723F75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Публикуване на предвидения акт</w:t>
      </w:r>
    </w:p>
    <w:p w:rsidR="00396157" w:rsidRDefault="00723F75">
      <w:pPr>
        <w:rPr>
          <w:noProof/>
        </w:rPr>
      </w:pPr>
      <w:r>
        <w:rPr>
          <w:noProof/>
        </w:rPr>
        <w:t xml:space="preserve">Тъй като решението на Съвместния комитет се отнася до прилагането на материалноправните разпоредби на Протокола, е целесъобразно след приемането му то да бъде публикувано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 w:rsidR="00396157" w:rsidRDefault="00396157">
      <w:pPr>
        <w:rPr>
          <w:noProof/>
        </w:rPr>
        <w:sectPr w:rsidR="00396157" w:rsidSect="00723F75">
          <w:footerReference w:type="default" r:id="rId14"/>
          <w:footerReference w:type="first" r:id="rId15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396157" w:rsidRDefault="00723F75" w:rsidP="00723F75">
      <w:pPr>
        <w:pStyle w:val="Rfrenceinterinstitutionnelle"/>
        <w:rPr>
          <w:noProof/>
        </w:rPr>
      </w:pPr>
      <w:r w:rsidRPr="00723F75">
        <w:t>2020/0369 (NLE)</w:t>
      </w:r>
    </w:p>
    <w:p w:rsidR="00396157" w:rsidRDefault="00723F75" w:rsidP="00723F75">
      <w:pPr>
        <w:pStyle w:val="Statut"/>
        <w:rPr>
          <w:noProof/>
        </w:rPr>
      </w:pPr>
      <w:r w:rsidRPr="00723F75">
        <w:t>Предложение за</w:t>
      </w:r>
    </w:p>
    <w:p w:rsidR="00396157" w:rsidRDefault="00723F75" w:rsidP="00723F75">
      <w:pPr>
        <w:pStyle w:val="Typedudocument"/>
        <w:rPr>
          <w:noProof/>
        </w:rPr>
      </w:pPr>
      <w:r w:rsidRPr="00723F75">
        <w:t>РЕШЕНИЕ НА СЪВЕТА</w:t>
      </w:r>
    </w:p>
    <w:p w:rsidR="00396157" w:rsidRDefault="00723F75" w:rsidP="00723F75">
      <w:pPr>
        <w:pStyle w:val="Titreobjet"/>
        <w:rPr>
          <w:noProof/>
        </w:rPr>
      </w:pPr>
      <w:r w:rsidRPr="00723F75">
        <w:t>относно позицията, която да се заеме от името на Европейския съюз в рамките на Съвместния комитет, създаден с член 164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енергия, по отношение на присъствието на Съюза</w:t>
      </w:r>
    </w:p>
    <w:p w:rsidR="00396157" w:rsidRDefault="00723F75">
      <w:pPr>
        <w:pStyle w:val="Institutionquiagit"/>
        <w:rPr>
          <w:b/>
          <w:noProof/>
        </w:rPr>
      </w:pPr>
      <w:r>
        <w:rPr>
          <w:b/>
          <w:noProof/>
        </w:rPr>
        <w:t>С</w:t>
      </w:r>
      <w:r>
        <w:rPr>
          <w:b/>
          <w:noProof/>
        </w:rPr>
        <w:t>ЪВЕТЪТ НА ЕВРОПЕЙСКИЯ СЪЮЗ,</w:t>
      </w:r>
    </w:p>
    <w:p w:rsidR="00396157" w:rsidRDefault="00723F75">
      <w:pPr>
        <w:rPr>
          <w:noProof/>
        </w:rPr>
      </w:pPr>
      <w:r>
        <w:rPr>
          <w:noProof/>
        </w:rPr>
        <w:t>като взе предвид Договора за Европейския съюз, и по-специално член 50, параграф 2 от него,</w:t>
      </w:r>
    </w:p>
    <w:p w:rsidR="00396157" w:rsidRDefault="00723F75">
      <w:pPr>
        <w:rPr>
          <w:noProof/>
        </w:rPr>
      </w:pPr>
      <w:r>
        <w:rPr>
          <w:noProof/>
        </w:rPr>
        <w:t>ка</w:t>
      </w:r>
      <w:r>
        <w:rPr>
          <w:noProof/>
        </w:rPr>
        <w:t>то взе предвид Договора за функционирането на Европейския съюз, и по-специално член 207 във връзка с член 218, параграф 9 от него,</w:t>
      </w:r>
    </w:p>
    <w:p w:rsidR="00396157" w:rsidRDefault="00723F75"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 w:rsidR="00396157" w:rsidRDefault="00723F75">
      <w:pPr>
        <w:rPr>
          <w:noProof/>
        </w:rPr>
      </w:pPr>
      <w:r>
        <w:rPr>
          <w:noProof/>
        </w:rPr>
        <w:t>като има предвид, че:</w:t>
      </w:r>
    </w:p>
    <w:p w:rsidR="00396157" w:rsidRDefault="00723F75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Споразумението за оттеглянето на Обединенот</w:t>
      </w:r>
      <w:r>
        <w:rPr>
          <w:noProof/>
        </w:rPr>
        <w:t xml:space="preserve">о кралство Великобритания и Северна Ирландия от Европейския съюз и Европейската общност за атомна енергия („Споразумението за оттегляне“) беше сключено от Съюза с Решение </w:t>
      </w:r>
      <w:r>
        <w:rPr>
          <w:noProof/>
          <w:color w:val="000000"/>
          <w:szCs w:val="24"/>
        </w:rPr>
        <w:t>(ЕС) 2020/135</w:t>
      </w:r>
      <w:r>
        <w:rPr>
          <w:rStyle w:val="FootnoteReference"/>
          <w:noProof/>
          <w:color w:val="000000"/>
          <w:spacing w:val="-4"/>
          <w:szCs w:val="24"/>
        </w:rPr>
        <w:footnoteReference w:id="1"/>
      </w:r>
      <w:r>
        <w:rPr>
          <w:rStyle w:val="FootnoteReference"/>
          <w:noProof/>
          <w:spacing w:val="-4"/>
        </w:rPr>
        <w:t xml:space="preserve"> </w:t>
      </w:r>
      <w:r>
        <w:rPr>
          <w:noProof/>
        </w:rPr>
        <w:t>на Съвета от 30 януари 2020 г. и влезе в сила на 1 февруари 2020 г.</w:t>
      </w:r>
    </w:p>
    <w:p w:rsidR="00396157" w:rsidRDefault="00723F75">
      <w:pPr>
        <w:pStyle w:val="ManualConsidrant"/>
        <w:rPr>
          <w:noProof/>
        </w:rPr>
      </w:pPr>
      <w:r>
        <w:rPr>
          <w:noProof/>
        </w:rPr>
        <w:t>(2</w:t>
      </w:r>
      <w:r>
        <w:rPr>
          <w:noProof/>
        </w:rPr>
        <w:t>)</w:t>
      </w:r>
      <w:r>
        <w:rPr>
          <w:noProof/>
        </w:rPr>
        <w:tab/>
        <w:t>С член 166 от Споразумението за оттегляне Съвместният комитет се оправомощава да приема решения по всички въпроси, които са предвидени в Споразумението за оттегляне. Протоколът за Ирландия/Северна Ирландия („Протоколът“) представлява неразделна част от С</w:t>
      </w:r>
      <w:r>
        <w:rPr>
          <w:noProof/>
        </w:rPr>
        <w:t>поразумението за оттегляне.</w:t>
      </w:r>
    </w:p>
    <w:p w:rsidR="00396157" w:rsidRDefault="00723F75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С член 12, параграф 2 от Протокола се установява правото на Съюза да присъства по време на всички дейностите на Обединеното кралство във връзка с изпълнението и прилагането на разпоредби на правото на Съюза, станали приложим</w:t>
      </w:r>
      <w:r>
        <w:rPr>
          <w:noProof/>
        </w:rPr>
        <w:t>и по силата на Протокола, както и с изпълнението и прилагането на член 5 от Протокола. По-конкретно с него се предвижда правото за искане на информация от органите на Обединеното кралство във връзка с такива дейности, както и за изискване от тези органи да</w:t>
      </w:r>
      <w:r>
        <w:rPr>
          <w:noProof/>
        </w:rPr>
        <w:t xml:space="preserve"> предприемат мерки за контрол.</w:t>
      </w:r>
    </w:p>
    <w:p w:rsidR="00396157" w:rsidRDefault="00723F75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 xml:space="preserve">С член 12, параграф 3 от Протокола се предвижда решение на Съвместния комитет за определяне на практическите работни механизми, свързани с упражняването на правата, предоставени по силата на Протокола в това отношение. С </w:t>
      </w:r>
      <w:r>
        <w:rPr>
          <w:noProof/>
        </w:rPr>
        <w:t>практическите работни механизми следва да се гарантира, че представителите на Съюза са в състояние да упражняват ефективно правата, посочени в член 12, параграф 2 от Протокола.</w:t>
      </w:r>
    </w:p>
    <w:p w:rsidR="00396157" w:rsidRDefault="00723F75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При предвиденото с Протокола присъствие на Съюза трябва да се вземат предви</w:t>
      </w:r>
      <w:r>
        <w:rPr>
          <w:noProof/>
        </w:rPr>
        <w:t>д уникалните обстоятелства на остров Ирландия, а представителите на Съюза следва да упражняват своите права, при зачитане на чуждия суверенитет, както и по-специално на Споразумението от Разпети петък ( Белфасткото споразумение) от 10 април 1998 г.</w:t>
      </w:r>
    </w:p>
    <w:p w:rsidR="00396157" w:rsidRDefault="00723F75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Пор</w:t>
      </w:r>
      <w:r>
        <w:rPr>
          <w:noProof/>
        </w:rPr>
        <w:t>ади това е целесъобразно да се определи позицията, която трябва да се заеме от името на Съюза в рамките на Съвместния комитет,</w:t>
      </w:r>
    </w:p>
    <w:p w:rsidR="00396157" w:rsidRDefault="00723F75"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 w:rsidR="00396157" w:rsidRDefault="00723F75">
      <w:pPr>
        <w:pStyle w:val="Titrearticle"/>
        <w:rPr>
          <w:noProof/>
        </w:rPr>
      </w:pPr>
      <w:r>
        <w:rPr>
          <w:noProof/>
        </w:rPr>
        <w:t>Член 1</w:t>
      </w:r>
    </w:p>
    <w:p w:rsidR="00396157" w:rsidRDefault="00723F75"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Съвместния комитет, създаден с</w:t>
      </w:r>
      <w:r>
        <w:rPr>
          <w:noProof/>
        </w:rPr>
        <w:t>ъгласно член 164 от Споразумението за оттегляне, във връзка с решение, което трябва да бъде взето в съответствие с член 12 от Протокола, се основава на проекта на решение на Съвместния комитет, приложен към настоящото решение.</w:t>
      </w:r>
    </w:p>
    <w:p w:rsidR="00396157" w:rsidRDefault="00396157">
      <w:pPr>
        <w:rPr>
          <w:noProof/>
        </w:rPr>
      </w:pPr>
    </w:p>
    <w:p w:rsidR="00396157" w:rsidRDefault="00723F75">
      <w:pPr>
        <w:pStyle w:val="Titrearticle"/>
        <w:rPr>
          <w:noProof/>
        </w:rPr>
      </w:pPr>
      <w:r>
        <w:rPr>
          <w:noProof/>
        </w:rPr>
        <w:t>Член 2</w:t>
      </w:r>
    </w:p>
    <w:p w:rsidR="00396157" w:rsidRDefault="00723F75">
      <w:pPr>
        <w:keepLines/>
        <w:rPr>
          <w:noProof/>
        </w:rPr>
      </w:pPr>
      <w:r>
        <w:rPr>
          <w:noProof/>
        </w:rPr>
        <w:t>Адресат на настоящото</w:t>
      </w:r>
      <w:r>
        <w:rPr>
          <w:noProof/>
        </w:rPr>
        <w:t xml:space="preserve"> решение е Комисията.</w:t>
      </w:r>
    </w:p>
    <w:p w:rsidR="00396157" w:rsidRDefault="00396157">
      <w:pPr>
        <w:keepNext/>
        <w:keepLines/>
        <w:rPr>
          <w:noProof/>
        </w:rPr>
      </w:pPr>
    </w:p>
    <w:p w:rsidR="00396157" w:rsidRDefault="00723F75" w:rsidP="00723F75">
      <w:pPr>
        <w:pStyle w:val="Fait"/>
        <w:rPr>
          <w:noProof/>
        </w:rPr>
      </w:pPr>
      <w:r w:rsidRPr="00723F75">
        <w:t xml:space="preserve">Съставено в Брюксел на </w:t>
      </w:r>
      <w:r w:rsidRPr="00723F75">
        <w:rPr>
          <w:rStyle w:val="Marker"/>
        </w:rPr>
        <w:t>[…]</w:t>
      </w:r>
      <w:r w:rsidRPr="00723F75">
        <w:t xml:space="preserve"> година.</w:t>
      </w:r>
    </w:p>
    <w:p w:rsidR="00396157" w:rsidRDefault="00723F75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Съвета</w:t>
      </w:r>
    </w:p>
    <w:p w:rsidR="00396157" w:rsidRDefault="00723F75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396157" w:rsidSect="00723F75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57" w:rsidRDefault="00723F75">
      <w:pPr>
        <w:spacing w:before="0" w:after="0"/>
      </w:pPr>
      <w:r>
        <w:separator/>
      </w:r>
    </w:p>
  </w:endnote>
  <w:endnote w:type="continuationSeparator" w:id="0">
    <w:p w:rsidR="00396157" w:rsidRDefault="00723F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75" w:rsidRPr="00723F75" w:rsidRDefault="00723F75" w:rsidP="00723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57" w:rsidRPr="00723F75" w:rsidRDefault="00723F75" w:rsidP="00723F75">
    <w:pPr>
      <w:pStyle w:val="Footer"/>
      <w:rPr>
        <w:rFonts w:ascii="Arial" w:hAnsi="Arial" w:cs="Arial"/>
        <w:b/>
        <w:sz w:val="48"/>
      </w:rPr>
    </w:pPr>
    <w:r w:rsidRPr="00723F75">
      <w:rPr>
        <w:rFonts w:ascii="Arial" w:hAnsi="Arial" w:cs="Arial"/>
        <w:b/>
        <w:sz w:val="48"/>
      </w:rPr>
      <w:t>BG</w:t>
    </w:r>
    <w:r w:rsidRPr="00723F75">
      <w:rPr>
        <w:rFonts w:ascii="Arial" w:hAnsi="Arial" w:cs="Arial"/>
        <w:b/>
        <w:sz w:val="48"/>
      </w:rPr>
      <w:tab/>
    </w:r>
    <w:r w:rsidRPr="00723F75">
      <w:rPr>
        <w:rFonts w:ascii="Arial" w:hAnsi="Arial" w:cs="Arial"/>
        <w:b/>
        <w:sz w:val="48"/>
      </w:rPr>
      <w:tab/>
    </w:r>
    <w:r w:rsidRPr="00723F75">
      <w:tab/>
    </w:r>
    <w:r w:rsidRPr="00723F75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75" w:rsidRPr="00723F75" w:rsidRDefault="00723F75" w:rsidP="00723F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57" w:rsidRPr="00723F75" w:rsidRDefault="00723F75" w:rsidP="00723F75">
    <w:pPr>
      <w:pStyle w:val="Footer"/>
      <w:rPr>
        <w:rFonts w:ascii="Arial" w:hAnsi="Arial" w:cs="Arial"/>
        <w:b/>
        <w:sz w:val="48"/>
      </w:rPr>
    </w:pPr>
    <w:r w:rsidRPr="00723F75">
      <w:rPr>
        <w:rFonts w:ascii="Arial" w:hAnsi="Arial" w:cs="Arial"/>
        <w:b/>
        <w:sz w:val="48"/>
      </w:rPr>
      <w:t>BG</w:t>
    </w:r>
    <w:r w:rsidRPr="00723F7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 w:rsidRPr="00723F75">
      <w:tab/>
    </w:r>
    <w:r w:rsidRPr="00723F75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75" w:rsidRPr="00723F75" w:rsidRDefault="00723F75" w:rsidP="00723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57" w:rsidRDefault="00723F75">
      <w:pPr>
        <w:spacing w:before="0" w:after="0"/>
      </w:pPr>
      <w:r>
        <w:separator/>
      </w:r>
    </w:p>
  </w:footnote>
  <w:footnote w:type="continuationSeparator" w:id="0">
    <w:p w:rsidR="00396157" w:rsidRDefault="00723F75">
      <w:pPr>
        <w:spacing w:before="0" w:after="0"/>
      </w:pPr>
      <w:r>
        <w:continuationSeparator/>
      </w:r>
    </w:p>
  </w:footnote>
  <w:footnote w:id="1">
    <w:p w:rsidR="00396157" w:rsidRDefault="00723F75">
      <w:pPr>
        <w:pStyle w:val="FootnoteText"/>
      </w:pPr>
      <w:r>
        <w:rPr>
          <w:rStyle w:val="FootnoteReference"/>
        </w:rPr>
        <w:footnoteRef/>
      </w:r>
      <w:r>
        <w:tab/>
        <w:t>OВ L 29, 31.1.2020 г., стр.1.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75" w:rsidRPr="00723F75" w:rsidRDefault="00723F75" w:rsidP="00723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75" w:rsidRPr="00723F75" w:rsidRDefault="00723F75" w:rsidP="00723F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75" w:rsidRPr="00723F75" w:rsidRDefault="00723F75" w:rsidP="00723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686C6D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CE2E74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E5632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32E47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1AC7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D0A99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118A9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412A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  <w:lvlOverride w:ilvl="0">
      <w:startOverride w:val="1"/>
    </w:lvlOverride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 w:numId="27">
    <w:abstractNumId w:val="18"/>
  </w:num>
  <w:num w:numId="28">
    <w:abstractNumId w:val="12"/>
  </w:num>
  <w:num w:numId="29">
    <w:abstractNumId w:val="20"/>
  </w:num>
  <w:num w:numId="30">
    <w:abstractNumId w:val="11"/>
  </w:num>
  <w:num w:numId="31">
    <w:abstractNumId w:val="13"/>
  </w:num>
  <w:num w:numId="32">
    <w:abstractNumId w:val="9"/>
  </w:num>
  <w:num w:numId="33">
    <w:abstractNumId w:val="19"/>
  </w:num>
  <w:num w:numId="34">
    <w:abstractNumId w:val="8"/>
  </w:num>
  <w:num w:numId="35">
    <w:abstractNumId w:val="14"/>
  </w:num>
  <w:num w:numId="36">
    <w:abstractNumId w:val="16"/>
  </w:num>
  <w:num w:numId="37">
    <w:abstractNumId w:val="17"/>
  </w:num>
  <w:num w:numId="38">
    <w:abstractNumId w:val="10"/>
  </w:num>
  <w:num w:numId="39">
    <w:abstractNumId w:val="15"/>
  </w:num>
  <w:num w:numId="40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14 10:12:2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COM(2020) 833 final of 10.12.2020 downgraded on 27.1.2021"/>
    <w:docVar w:name="LW_COVERPAGE_EXISTS" w:val="True"/>
    <w:docVar w:name="LW_COVERPAGE_GUID" w:val="EF3E09E3-135A-4A20-A608-604BD8BD164E"/>
    <w:docVar w:name="LW_COVERPAGE_TYPE" w:val="1"/>
    <w:docVar w:name="LW_CROSSREFERENCE" w:val="&lt;UNUSED&gt;"/>
    <w:docVar w:name="LW_DocType" w:val="COM"/>
    <w:docVar w:name="LW_EMISSION" w:val="27.1.2021"/>
    <w:docVar w:name="LW_EMISSION_ISODATE" w:val="2021-01-27"/>
    <w:docVar w:name="LW_EMISSION_LOCATION" w:val="BRX"/>
    <w:docVar w:name="LW_EMISSION_PREFIX" w:val="\u1041?\u1088?\u1102?\u1082?\u1089?\u1077?\u1083?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69"/>
    <w:docVar w:name="LW_REF.II.NEW.CP_YEAR" w:val="2020"/>
    <w:docVar w:name="LW_REF.INST.NEW" w:val="COM"/>
    <w:docVar w:name="LW_REF.INST.NEW_ADOPTED" w:val="final/2"/>
    <w:docVar w:name="LW_REF.INST.NEW_TEXT" w:val="(2020) 83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, \u1089?\u1098?\u1079?\u1076?\u1072?\u1076?\u1077?\u1085? \u1089? \u1095?\u1083?\u1077?\u1085? 164 \u1086?\u1090? \u1057?\u1087?\u1086?\u1088?\u1072?\u1079?\u1091?\u1084?\u1077?\u1085?\u1080?\u1077?\u1090?\u1086? \u1079?\u1072? \u1086?\u1090?\u1090?\u1077?\u1075?\u1083?\u1103?\u1085?\u1077?\u1090?\u1086? \u1085?\u1072? \u1054?\u1073?\u1077?\u1076?\u1080?\u1085?\u1077?\u1085?\u1086?\u1090?\u1086? \u1082?\u1088?\u1072?\u1083?\u1089?\u1090?\u1074?\u1086? \u1042?\u1077?\u1083?\u1080?\u1082?\u1086?\u1073?\u1088?\u1080?\u1090?\u1072?\u1085?\u1080?\u1103? \u1080? \u1057?\u1077?\u1074?\u1077?\u1088?\u1085?\u1072? \u1048?\u1088?\u1083?\u1072?\u1085?\u1076?\u1080?\u1103? \u1086?\u1090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, \u1087?\u1086? \u1086?\u1090?\u1085?\u1086?\u1096?\u1077?\u1085?\u1080?\u1077? \u1085?\u1072? \u1087?\u1088?\u1080?\u1089?\u1098?\u1089?\u1090?\u1074?\u1080?\u1077?\u1090?\u1086? \u1085?\u1072? \u1057?\u1098?\u1102?\u1079?\u1072?"/>
    <w:docVar w:name="LW_TYPE.DOC.CP" w:val="\u1056?\u1045?\u1064?\u1045?\u1053?\u1048?\u1045? \u1053?\u1040? \u1057?\u1066?\u1042?\u1045?\u1058?\u1040?"/>
  </w:docVars>
  <w:rsids>
    <w:rsidRoot w:val="00396157"/>
    <w:rsid w:val="00396157"/>
    <w:rsid w:val="0072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390A678-3B88-4B9D-A806-FF20C7BD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F7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23F75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23F7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23F75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23F7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23F7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723F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723F75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723F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13</TotalTime>
  <Pages>5</Pages>
  <Words>1173</Words>
  <Characters>6651</Characters>
  <Application>Microsoft Office Word</Application>
  <DocSecurity>0</DocSecurity>
  <Lines>138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SEILER Brigitte (SG)</cp:lastModifiedBy>
  <cp:revision>39</cp:revision>
  <dcterms:created xsi:type="dcterms:W3CDTF">2020-12-11T13:48:00Z</dcterms:created>
  <dcterms:modified xsi:type="dcterms:W3CDTF">2021-01-27T11:09:00Z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Yellow (DQC version 03)</vt:lpwstr>
  </property>
</Properties>
</file>