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33" w:rsidRDefault="000C4473" w:rsidP="000C447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073093F-BF58-43D1-92E2-F97670C3FFD2" style="width:450.5pt;height:436.5pt">
            <v:imagedata r:id="rId7" o:title=""/>
          </v:shape>
        </w:pict>
      </w:r>
    </w:p>
    <w:p w:rsidR="00107733" w:rsidRDefault="00107733">
      <w:pPr>
        <w:rPr>
          <w:noProof/>
        </w:rPr>
        <w:sectPr w:rsidR="00107733" w:rsidSect="000C4473">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107733" w:rsidRDefault="000C4473">
      <w:pPr>
        <w:pStyle w:val="Annexetitre"/>
        <w:rPr>
          <w:noProof/>
        </w:rPr>
      </w:pPr>
      <w:bookmarkStart w:id="0" w:name="_GoBack"/>
      <w:bookmarkEnd w:id="0"/>
      <w:r>
        <w:rPr>
          <w:noProof/>
        </w:rPr>
        <w:lastRenderedPageBreak/>
        <w:t xml:space="preserve">ANNEX </w:t>
      </w:r>
      <w:r>
        <w:rPr>
          <w:noProof/>
        </w:rPr>
        <w:br/>
        <w:t>Draft JC decision on Article 12(2) of the Protocol</w:t>
      </w:r>
    </w:p>
    <w:p w:rsidR="00107733" w:rsidRDefault="00107733">
      <w:pPr>
        <w:rPr>
          <w:noProof/>
          <w:color w:val="980000"/>
        </w:rPr>
      </w:pPr>
    </w:p>
    <w:p w:rsidR="00107733" w:rsidRDefault="000C4473">
      <w:pPr>
        <w:jc w:val="center"/>
        <w:rPr>
          <w:b/>
          <w:noProof/>
        </w:rPr>
      </w:pPr>
      <w:bookmarkStart w:id="1" w:name="_gjdgxs" w:colFirst="0" w:colLast="0"/>
      <w:bookmarkEnd w:id="1"/>
      <w:r>
        <w:rPr>
          <w:b/>
          <w:noProof/>
        </w:rPr>
        <w:t xml:space="preserve">DECISION No </w:t>
      </w:r>
      <w:r>
        <w:rPr>
          <w:b/>
          <w:noProof/>
          <w:shd w:val="clear" w:color="auto" w:fill="C9DAF8"/>
        </w:rPr>
        <w:t>[x]</w:t>
      </w:r>
      <w:r>
        <w:rPr>
          <w:b/>
          <w:noProof/>
        </w:rPr>
        <w:t xml:space="preserve">/2020 OF THE JOINT COMMITTEE ESTABLISHED BY THE AGREEMENT ON THE WITHDRAWAL OF THE UNITED KINGDOM OF GREAT BRITAIN AND NORTHERN IRELAND FROM THE EUROPEAN UNION AND THE EUROPEAN ATOMIC ENERGY COMMUNITY </w:t>
      </w:r>
    </w:p>
    <w:p w:rsidR="00107733" w:rsidRDefault="00107733">
      <w:pPr>
        <w:jc w:val="center"/>
        <w:rPr>
          <w:noProof/>
        </w:rPr>
      </w:pPr>
    </w:p>
    <w:p w:rsidR="00107733" w:rsidRDefault="000C4473">
      <w:pPr>
        <w:jc w:val="center"/>
        <w:rPr>
          <w:noProof/>
          <w:shd w:val="clear" w:color="auto" w:fill="C9DAF8"/>
        </w:rPr>
      </w:pPr>
      <w:r>
        <w:rPr>
          <w:noProof/>
          <w:shd w:val="clear" w:color="auto" w:fill="C9DAF8"/>
        </w:rPr>
        <w:t>[date]</w:t>
      </w:r>
    </w:p>
    <w:p w:rsidR="00107733" w:rsidRDefault="00107733">
      <w:pPr>
        <w:jc w:val="center"/>
        <w:rPr>
          <w:noProof/>
        </w:rPr>
      </w:pPr>
    </w:p>
    <w:p w:rsidR="00107733" w:rsidRDefault="000C4473">
      <w:pPr>
        <w:jc w:val="center"/>
        <w:rPr>
          <w:noProof/>
        </w:rPr>
      </w:pPr>
      <w:r>
        <w:rPr>
          <w:noProof/>
        </w:rPr>
        <w:t>providing for the practical working arrangeme</w:t>
      </w:r>
      <w:r>
        <w:rPr>
          <w:noProof/>
        </w:rPr>
        <w:t xml:space="preserve">nts relating to the exercise of the rights of Union representatives referred to in Article 12(2) of the Protocol on Ireland/Northern Ireland </w:t>
      </w:r>
    </w:p>
    <w:p w:rsidR="00107733" w:rsidRDefault="000C4473">
      <w:pPr>
        <w:pStyle w:val="article"/>
        <w:rPr>
          <w:noProof/>
        </w:rPr>
      </w:pPr>
      <w:r>
        <w:rPr>
          <w:noProof/>
        </w:rPr>
        <w:t xml:space="preserve">Article 1 </w:t>
      </w:r>
      <w:r>
        <w:rPr>
          <w:noProof/>
        </w:rPr>
        <w:br/>
        <w:t>Subject matter</w:t>
      </w:r>
    </w:p>
    <w:p w:rsidR="00107733" w:rsidRDefault="000C4473">
      <w:pPr>
        <w:pStyle w:val="NumPar1"/>
        <w:numPr>
          <w:ilvl w:val="0"/>
          <w:numId w:val="14"/>
        </w:numPr>
        <w:rPr>
          <w:noProof/>
        </w:rPr>
      </w:pPr>
      <w:r>
        <w:rPr>
          <w:noProof/>
        </w:rPr>
        <w:t>This Decision sets out the practical working arrangements relating to the exercise of th</w:t>
      </w:r>
      <w:r>
        <w:rPr>
          <w:noProof/>
        </w:rPr>
        <w:t xml:space="preserve">e rights of Union, through its representatives, referred to in Article 12(2) of the Protocol on Ireland / Northern Ireland (‘the Protocol’). </w:t>
      </w:r>
    </w:p>
    <w:p w:rsidR="00107733" w:rsidRDefault="000C4473">
      <w:pPr>
        <w:pStyle w:val="NumPar1"/>
        <w:rPr>
          <w:noProof/>
        </w:rPr>
      </w:pPr>
      <w:r>
        <w:rPr>
          <w:noProof/>
          <w:color w:val="000000"/>
        </w:rPr>
        <w:t>For the purposes of this Decision, “covered activities” means any activities of the authorities of the United King</w:t>
      </w:r>
      <w:r>
        <w:rPr>
          <w:noProof/>
          <w:color w:val="000000"/>
        </w:rPr>
        <w:t>dom related to the implementation and application of provisions of Union law made applicable by the Protocol, as well as activities related to the implementation and application of Article 5 of the Protocol, including of Joint Committee decisions adopted t</w:t>
      </w:r>
      <w:r>
        <w:rPr>
          <w:noProof/>
          <w:color w:val="000000"/>
        </w:rPr>
        <w:t xml:space="preserve">hereunder, pursuant to Article 12(2) of the Protocol. </w:t>
      </w:r>
    </w:p>
    <w:p w:rsidR="00107733" w:rsidRDefault="000C4473">
      <w:pPr>
        <w:keepNext/>
        <w:pBdr>
          <w:top w:val="nil"/>
          <w:left w:val="nil"/>
          <w:bottom w:val="nil"/>
          <w:right w:val="nil"/>
          <w:between w:val="nil"/>
        </w:pBdr>
        <w:spacing w:before="360"/>
        <w:jc w:val="center"/>
        <w:rPr>
          <w:i/>
          <w:noProof/>
          <w:color w:val="000000"/>
        </w:rPr>
      </w:pPr>
      <w:r>
        <w:rPr>
          <w:i/>
          <w:noProof/>
          <w:color w:val="000000"/>
        </w:rPr>
        <w:t>Article 2</w:t>
      </w:r>
      <w:r>
        <w:rPr>
          <w:i/>
          <w:noProof/>
          <w:color w:val="000000"/>
        </w:rPr>
        <w:br/>
        <w:t>Union representatives</w:t>
      </w:r>
    </w:p>
    <w:p w:rsidR="00107733" w:rsidRDefault="000C4473">
      <w:pPr>
        <w:pStyle w:val="NumPar1"/>
        <w:numPr>
          <w:ilvl w:val="0"/>
          <w:numId w:val="9"/>
        </w:numPr>
        <w:rPr>
          <w:noProof/>
        </w:rPr>
      </w:pPr>
      <w:r>
        <w:rPr>
          <w:noProof/>
          <w:color w:val="000000"/>
        </w:rPr>
        <w:t>The Union shall ensure that its representatives exercising the rights under Article 12(2) of the Protocol act in good faith and closely cooperate with the authorities of</w:t>
      </w:r>
      <w:r>
        <w:rPr>
          <w:noProof/>
          <w:color w:val="000000"/>
        </w:rPr>
        <w:t xml:space="preserve"> the United Kingdom carrying out covered activities, and that they keep in close communication with them.</w:t>
      </w:r>
    </w:p>
    <w:p w:rsidR="00107733" w:rsidRDefault="000C4473">
      <w:pPr>
        <w:pStyle w:val="NumPar1"/>
        <w:numPr>
          <w:ilvl w:val="0"/>
          <w:numId w:val="9"/>
        </w:numPr>
        <w:rPr>
          <w:noProof/>
        </w:rPr>
      </w:pPr>
      <w:r>
        <w:rPr>
          <w:noProof/>
          <w:color w:val="000000"/>
        </w:rPr>
        <w:t>Union representatives exercising the rights under Article 12(2) of the Protocol shall not engage in any activities which do not relate to the exercise</w:t>
      </w:r>
      <w:r>
        <w:rPr>
          <w:noProof/>
          <w:color w:val="000000"/>
        </w:rPr>
        <w:t xml:space="preserve"> of those rights. </w:t>
      </w:r>
    </w:p>
    <w:p w:rsidR="00107733" w:rsidRDefault="000C4473">
      <w:pPr>
        <w:pStyle w:val="NumPar1"/>
        <w:numPr>
          <w:ilvl w:val="0"/>
          <w:numId w:val="9"/>
        </w:numPr>
        <w:rPr>
          <w:noProof/>
        </w:rPr>
      </w:pPr>
      <w:r>
        <w:rPr>
          <w:noProof/>
          <w:color w:val="000000"/>
        </w:rPr>
        <w:t>Union representatives shall take into account the guidance communicated to them by the authorities of the United Kingdom concerning their safety and the safety of others when exercising their right to be present. They shall respect any r</w:t>
      </w:r>
      <w:r>
        <w:rPr>
          <w:noProof/>
          <w:color w:val="000000"/>
        </w:rPr>
        <w:t>equirement lawfully imposed by the authorities of the United Kingdom responsible for law enforcement, subject to Title XII and Title XIII (Articles 120 and 121) of Part Three of the Withdrawal Agreement.</w:t>
      </w:r>
    </w:p>
    <w:p w:rsidR="00107733" w:rsidRDefault="000C4473">
      <w:pPr>
        <w:pStyle w:val="NumPar1"/>
        <w:numPr>
          <w:ilvl w:val="0"/>
          <w:numId w:val="9"/>
        </w:numPr>
        <w:rPr>
          <w:noProof/>
        </w:rPr>
      </w:pPr>
      <w:r>
        <w:rPr>
          <w:noProof/>
          <w:color w:val="000000"/>
        </w:rPr>
        <w:t xml:space="preserve">The Union shall ensure that its representatives may </w:t>
      </w:r>
      <w:r>
        <w:rPr>
          <w:noProof/>
          <w:color w:val="000000"/>
        </w:rPr>
        <w:t xml:space="preserve">not disclose information of which they have knowledge by reason of exercising the rights under Article 12(2) of the Protocol other than to the institutions, bodies, offices and agencies of the Union as well as the authorities of the United Kingdom, unless </w:t>
      </w:r>
      <w:r>
        <w:rPr>
          <w:noProof/>
          <w:color w:val="000000"/>
        </w:rPr>
        <w:t>they have been authorised by the competent institution, body, office or agency of the Union.</w:t>
      </w:r>
    </w:p>
    <w:p w:rsidR="00107733" w:rsidRDefault="000C4473">
      <w:pPr>
        <w:pStyle w:val="NumPar1"/>
        <w:numPr>
          <w:ilvl w:val="0"/>
          <w:numId w:val="9"/>
        </w:numPr>
        <w:rPr>
          <w:noProof/>
        </w:rPr>
      </w:pPr>
      <w:r>
        <w:rPr>
          <w:noProof/>
          <w:color w:val="000000"/>
        </w:rPr>
        <w:lastRenderedPageBreak/>
        <w:t>Union representatives have the right to be present during covered activities in the United Kingdom, including at all places where goods or animals enter or exit No</w:t>
      </w:r>
      <w:r>
        <w:rPr>
          <w:noProof/>
          <w:color w:val="000000"/>
        </w:rPr>
        <w:t>rthern Ireland though ports or airports. Union representatives may only access facilities referred to in Article 3(1) when the representatives of the authorities of the United Kingdom are present and using them for the purpose of carrying out covered activ</w:t>
      </w:r>
      <w:r>
        <w:rPr>
          <w:noProof/>
          <w:color w:val="000000"/>
        </w:rPr>
        <w:t>ities, or when a facility is otherwise to be operational for that purpose. Union representatives may accompany any representatives of the authorities of the United Kingdom whenever the latter is carrying out any of the covered activities, including for ins</w:t>
      </w:r>
      <w:r>
        <w:rPr>
          <w:noProof/>
          <w:color w:val="000000"/>
        </w:rPr>
        <w:t>pections of sites other than those referred to in the previous sentence.</w:t>
      </w:r>
    </w:p>
    <w:p w:rsidR="00107733" w:rsidRDefault="000C4473">
      <w:pPr>
        <w:pStyle w:val="NumPar1"/>
        <w:numPr>
          <w:ilvl w:val="0"/>
          <w:numId w:val="9"/>
        </w:numPr>
        <w:rPr>
          <w:noProof/>
        </w:rPr>
      </w:pPr>
      <w:r>
        <w:rPr>
          <w:noProof/>
          <w:color w:val="000000"/>
        </w:rPr>
        <w:t xml:space="preserve">The United Kingdom shall facilitate the presence of the Union representatives exercising the rights under Article 12(2) of the Protocol and shall provide any equipment, amenities and other facilities, such as adequately equipped work stations and adequate </w:t>
      </w:r>
      <w:r>
        <w:rPr>
          <w:noProof/>
          <w:color w:val="000000"/>
        </w:rPr>
        <w:t xml:space="preserve">IT connections, necessary to carry out their tasks. </w:t>
      </w:r>
    </w:p>
    <w:p w:rsidR="00107733" w:rsidRDefault="000C4473">
      <w:pPr>
        <w:pStyle w:val="NumPar1"/>
        <w:numPr>
          <w:ilvl w:val="0"/>
          <w:numId w:val="9"/>
        </w:numPr>
        <w:rPr>
          <w:noProof/>
        </w:rPr>
      </w:pPr>
      <w:r>
        <w:rPr>
          <w:noProof/>
          <w:color w:val="000000"/>
        </w:rPr>
        <w:t xml:space="preserve">The archives of the Union concerning any information related to any covered activities shall be inviolable. </w:t>
      </w:r>
    </w:p>
    <w:p w:rsidR="00107733" w:rsidRDefault="000C4473">
      <w:pPr>
        <w:pStyle w:val="NumPar1"/>
        <w:numPr>
          <w:ilvl w:val="0"/>
          <w:numId w:val="9"/>
        </w:numPr>
        <w:rPr>
          <w:noProof/>
        </w:rPr>
      </w:pPr>
      <w:r>
        <w:rPr>
          <w:noProof/>
          <w:color w:val="000000"/>
        </w:rPr>
        <w:t>Union representatives present in the United Kingdom shall not be hindered from moving freely i</w:t>
      </w:r>
      <w:r>
        <w:rPr>
          <w:noProof/>
          <w:color w:val="000000"/>
        </w:rPr>
        <w:t xml:space="preserve">n the United Kingdom for the purpose of exercising the rights under Article 12(2) of the Protocol. </w:t>
      </w:r>
    </w:p>
    <w:p w:rsidR="00107733" w:rsidRDefault="000C4473">
      <w:pPr>
        <w:pStyle w:val="NumPar1"/>
        <w:numPr>
          <w:ilvl w:val="0"/>
          <w:numId w:val="9"/>
        </w:numPr>
        <w:rPr>
          <w:noProof/>
        </w:rPr>
      </w:pPr>
      <w:r>
        <w:rPr>
          <w:noProof/>
          <w:color w:val="000000"/>
        </w:rPr>
        <w:t xml:space="preserve">When exercising the rights under Article 12(2) of the Protocol, Union representatives shall carry a photographic identification card certifying their name, </w:t>
      </w:r>
      <w:r>
        <w:rPr>
          <w:noProof/>
          <w:color w:val="000000"/>
        </w:rPr>
        <w:t xml:space="preserve">function, and institution, body, office or agency of the Union. The Union shall issue such identification cards using a specimen which the Union shall share with the United Kingdom within one month of the entry into force of this Decision. </w:t>
      </w:r>
    </w:p>
    <w:p w:rsidR="00107733" w:rsidRDefault="000C4473">
      <w:pPr>
        <w:pStyle w:val="NumPar1"/>
        <w:numPr>
          <w:ilvl w:val="0"/>
          <w:numId w:val="9"/>
        </w:numPr>
        <w:rPr>
          <w:noProof/>
        </w:rPr>
      </w:pPr>
      <w:r>
        <w:rPr>
          <w:noProof/>
          <w:color w:val="000000"/>
        </w:rPr>
        <w:t>Upon arrival at</w:t>
      </w:r>
      <w:r>
        <w:rPr>
          <w:noProof/>
          <w:color w:val="000000"/>
        </w:rPr>
        <w:t xml:space="preserve"> the places where rights under Article 12(2) of the Protocol are exercised, the Union representative shall produce the identification card referred to in paragraph 9. Subject to paragraph 3, once duly identified, that Union representative shall immediately</w:t>
      </w:r>
      <w:r>
        <w:rPr>
          <w:noProof/>
          <w:color w:val="000000"/>
        </w:rPr>
        <w:t xml:space="preserve"> be granted access to the facility. </w:t>
      </w:r>
    </w:p>
    <w:p w:rsidR="00107733" w:rsidRDefault="000C4473">
      <w:pPr>
        <w:pStyle w:val="NumPar1"/>
        <w:numPr>
          <w:ilvl w:val="0"/>
          <w:numId w:val="9"/>
        </w:numPr>
        <w:rPr>
          <w:noProof/>
        </w:rPr>
      </w:pPr>
      <w:r>
        <w:rPr>
          <w:noProof/>
          <w:color w:val="000000"/>
        </w:rPr>
        <w:t xml:space="preserve">Union representatives shall be entitled to travel to the United Kingdom without prior notification or approval for the purpose of exercising the rights under Article 12(2) of the Protocol. They may travel to the United </w:t>
      </w:r>
      <w:r>
        <w:rPr>
          <w:noProof/>
          <w:color w:val="000000"/>
        </w:rPr>
        <w:t>Kingdom using the laissez-passer issued by the Union.</w:t>
      </w:r>
    </w:p>
    <w:p w:rsidR="00107733" w:rsidRDefault="000C4473">
      <w:pPr>
        <w:pStyle w:val="NumPar1"/>
        <w:numPr>
          <w:ilvl w:val="0"/>
          <w:numId w:val="9"/>
        </w:numPr>
        <w:rPr>
          <w:noProof/>
        </w:rPr>
      </w:pPr>
      <w:r>
        <w:rPr>
          <w:noProof/>
          <w:color w:val="000000"/>
        </w:rPr>
        <w:t>Union representatives in the United Kingdom for the purpose of exercising the rights under Article 12(2) of the Protocol shall, together with their spouses and dependent members of their families, not b</w:t>
      </w:r>
      <w:r>
        <w:rPr>
          <w:noProof/>
          <w:color w:val="000000"/>
        </w:rPr>
        <w:t xml:space="preserve">e subject to immigration restrictions or to formalities for the registration of aliens. </w:t>
      </w:r>
    </w:p>
    <w:p w:rsidR="00107733" w:rsidRDefault="000C4473">
      <w:pPr>
        <w:pStyle w:val="NumPar1"/>
        <w:numPr>
          <w:ilvl w:val="0"/>
          <w:numId w:val="9"/>
        </w:numPr>
        <w:rPr>
          <w:noProof/>
        </w:rPr>
      </w:pPr>
      <w:r>
        <w:rPr>
          <w:noProof/>
          <w:color w:val="000000"/>
        </w:rPr>
        <w:t>While in the United Kingdom for the purpose of exercising the rights under Article 12(2) of the Protocol, Union representatives shall be accorded the same facilities i</w:t>
      </w:r>
      <w:r>
        <w:rPr>
          <w:noProof/>
          <w:color w:val="000000"/>
        </w:rPr>
        <w:t>n respect of currency or exchange regulations as are customarily accorded to officials of international organisations residing in the United Kingdom and shall be exempt from national taxation on their salaries, wages and emoluments paid by the Union or the</w:t>
      </w:r>
      <w:r>
        <w:rPr>
          <w:noProof/>
          <w:color w:val="000000"/>
        </w:rPr>
        <w:t xml:space="preserve"> member states. Such privileges and immunities from taxation shall not apply to a Union representative if they are a British national (other than a British national who is also a national of a Member State of the Union and not resident in the United Kingdo</w:t>
      </w:r>
      <w:r>
        <w:rPr>
          <w:noProof/>
          <w:color w:val="000000"/>
        </w:rPr>
        <w:t xml:space="preserve">m at the time of appointment) or a permanent resident of the United Kingdom. </w:t>
      </w:r>
    </w:p>
    <w:p w:rsidR="00107733" w:rsidRDefault="000C4473">
      <w:pPr>
        <w:pStyle w:val="NumPar1"/>
        <w:numPr>
          <w:ilvl w:val="0"/>
          <w:numId w:val="9"/>
        </w:numPr>
        <w:rPr>
          <w:noProof/>
        </w:rPr>
      </w:pPr>
      <w:r>
        <w:rPr>
          <w:noProof/>
          <w:color w:val="000000"/>
        </w:rPr>
        <w:lastRenderedPageBreak/>
        <w:t>While in the United Kingdom for the purpose of exercising the rights under Article 12(2) of the Protocol, Union representatives shall enjoy the right to import and re-export free</w:t>
      </w:r>
      <w:r>
        <w:rPr>
          <w:noProof/>
          <w:color w:val="000000"/>
        </w:rPr>
        <w:t xml:space="preserve"> of duty their furniture and effects, including motor vehicles.</w:t>
      </w:r>
    </w:p>
    <w:p w:rsidR="00107733" w:rsidRDefault="000C4473">
      <w:pPr>
        <w:pStyle w:val="NumPar1"/>
        <w:numPr>
          <w:ilvl w:val="0"/>
          <w:numId w:val="9"/>
        </w:numPr>
        <w:rPr>
          <w:noProof/>
        </w:rPr>
      </w:pPr>
      <w:r>
        <w:rPr>
          <w:noProof/>
          <w:color w:val="000000"/>
        </w:rPr>
        <w:t xml:space="preserve">The activities of the Union representatives in the United Kingdom pursuant to Article 12(2) of the Protocol shall be considered, for the purposes of Title XII and Title XIII (Articles 120 and </w:t>
      </w:r>
      <w:r>
        <w:rPr>
          <w:noProof/>
          <w:color w:val="000000"/>
        </w:rPr>
        <w:t>121) of Part Three of the Withdrawal Agreement, to be activities of the Union pursuant to the Withdrawal Agreement.</w:t>
      </w:r>
    </w:p>
    <w:p w:rsidR="00107733" w:rsidRDefault="000C4473">
      <w:pPr>
        <w:keepNext/>
        <w:pBdr>
          <w:top w:val="nil"/>
          <w:left w:val="nil"/>
          <w:bottom w:val="nil"/>
          <w:right w:val="nil"/>
          <w:between w:val="nil"/>
        </w:pBdr>
        <w:spacing w:before="360"/>
        <w:jc w:val="center"/>
        <w:rPr>
          <w:i/>
          <w:noProof/>
          <w:color w:val="000000"/>
        </w:rPr>
      </w:pPr>
      <w:r>
        <w:rPr>
          <w:i/>
          <w:noProof/>
          <w:color w:val="000000"/>
        </w:rPr>
        <w:t>Article 3</w:t>
      </w:r>
      <w:r>
        <w:rPr>
          <w:i/>
          <w:noProof/>
          <w:color w:val="000000"/>
        </w:rPr>
        <w:br/>
        <w:t>Contact points</w:t>
      </w:r>
    </w:p>
    <w:p w:rsidR="00107733" w:rsidRDefault="000C4473">
      <w:pPr>
        <w:pStyle w:val="NumPar1"/>
        <w:numPr>
          <w:ilvl w:val="0"/>
          <w:numId w:val="10"/>
        </w:numPr>
        <w:rPr>
          <w:noProof/>
        </w:rPr>
      </w:pPr>
      <w:r>
        <w:rPr>
          <w:noProof/>
        </w:rPr>
        <w:t>The United Kingdom shall provide the Union with a list of authorities carrying out covered activities and their fac</w:t>
      </w:r>
      <w:r>
        <w:rPr>
          <w:noProof/>
        </w:rPr>
        <w:t>ilities.</w:t>
      </w:r>
    </w:p>
    <w:p w:rsidR="00107733" w:rsidRDefault="000C4473">
      <w:pPr>
        <w:ind w:left="850"/>
        <w:rPr>
          <w:noProof/>
        </w:rPr>
      </w:pPr>
      <w:r>
        <w:rPr>
          <w:noProof/>
        </w:rPr>
        <w:t xml:space="preserve">The United Kingdom shall designate a contact point for each of the authorities referred to in the first subparagraph, and provide the Union with relevant contact details. </w:t>
      </w:r>
    </w:p>
    <w:p w:rsidR="00107733" w:rsidRDefault="000C4473">
      <w:pPr>
        <w:pStyle w:val="NumPar1"/>
        <w:numPr>
          <w:ilvl w:val="0"/>
          <w:numId w:val="10"/>
        </w:numPr>
        <w:rPr>
          <w:noProof/>
        </w:rPr>
      </w:pPr>
      <w:r>
        <w:rPr>
          <w:noProof/>
          <w:color w:val="000000"/>
        </w:rPr>
        <w:t>The United Kingdom shall communicate any amendments to the list referred to</w:t>
      </w:r>
      <w:r>
        <w:rPr>
          <w:noProof/>
          <w:color w:val="000000"/>
        </w:rPr>
        <w:t xml:space="preserve"> in the first </w:t>
      </w:r>
      <w:r>
        <w:rPr>
          <w:noProof/>
        </w:rPr>
        <w:t>subparagraph</w:t>
      </w:r>
      <w:r>
        <w:rPr>
          <w:noProof/>
          <w:color w:val="000000"/>
        </w:rPr>
        <w:t xml:space="preserve"> of paragraph 1, or any change of contact point or details, to the Union expeditiously. </w:t>
      </w:r>
    </w:p>
    <w:p w:rsidR="00107733" w:rsidRDefault="000C4473">
      <w:pPr>
        <w:pStyle w:val="NumPar1"/>
        <w:numPr>
          <w:ilvl w:val="0"/>
          <w:numId w:val="10"/>
        </w:numPr>
        <w:rPr>
          <w:noProof/>
        </w:rPr>
      </w:pPr>
      <w:r>
        <w:rPr>
          <w:noProof/>
          <w:color w:val="000000"/>
        </w:rPr>
        <w:t xml:space="preserve">The </w:t>
      </w:r>
      <w:r>
        <w:rPr>
          <w:noProof/>
        </w:rPr>
        <w:t>Union</w:t>
      </w:r>
      <w:r>
        <w:rPr>
          <w:noProof/>
          <w:color w:val="000000"/>
        </w:rPr>
        <w:t xml:space="preserve"> shall designate a contact point for the purpose of paragraph 2. </w:t>
      </w:r>
    </w:p>
    <w:p w:rsidR="00107733" w:rsidRDefault="000C4473">
      <w:pPr>
        <w:keepNext/>
        <w:pBdr>
          <w:top w:val="nil"/>
          <w:left w:val="nil"/>
          <w:bottom w:val="nil"/>
          <w:right w:val="nil"/>
          <w:between w:val="nil"/>
        </w:pBdr>
        <w:spacing w:before="360"/>
        <w:jc w:val="center"/>
        <w:rPr>
          <w:i/>
          <w:noProof/>
          <w:color w:val="000000"/>
        </w:rPr>
      </w:pPr>
      <w:r>
        <w:rPr>
          <w:i/>
          <w:noProof/>
          <w:color w:val="000000"/>
        </w:rPr>
        <w:t>Article 4</w:t>
      </w:r>
      <w:r>
        <w:rPr>
          <w:i/>
          <w:noProof/>
          <w:color w:val="000000"/>
        </w:rPr>
        <w:br/>
        <w:t>Modalities of requesting information</w:t>
      </w:r>
    </w:p>
    <w:p w:rsidR="00107733" w:rsidRDefault="000C4473">
      <w:pPr>
        <w:pStyle w:val="NumPar1"/>
        <w:numPr>
          <w:ilvl w:val="0"/>
          <w:numId w:val="11"/>
        </w:numPr>
        <w:rPr>
          <w:noProof/>
        </w:rPr>
      </w:pPr>
      <w:r>
        <w:rPr>
          <w:noProof/>
        </w:rPr>
        <w:t xml:space="preserve">The United Kingdom representative or contact point, as the case may be, shall respond to any request for information expeditiously, thereby giving the Union representative sufficient time to assess the information for the purposes of exercising the rights </w:t>
      </w:r>
      <w:r>
        <w:rPr>
          <w:noProof/>
        </w:rPr>
        <w:t xml:space="preserve">under Article 12(2) of the Protocol. </w:t>
      </w:r>
    </w:p>
    <w:p w:rsidR="00107733" w:rsidRDefault="000C4473">
      <w:pPr>
        <w:pStyle w:val="NumPar1"/>
        <w:numPr>
          <w:ilvl w:val="0"/>
          <w:numId w:val="11"/>
        </w:numPr>
        <w:rPr>
          <w:noProof/>
        </w:rPr>
      </w:pPr>
      <w:r>
        <w:rPr>
          <w:noProof/>
          <w:color w:val="000000"/>
        </w:rPr>
        <w:t xml:space="preserve">If the authorities of the United Kingdom consider that a request for information or the </w:t>
      </w:r>
      <w:r>
        <w:rPr>
          <w:noProof/>
        </w:rPr>
        <w:t>relevance</w:t>
      </w:r>
      <w:r>
        <w:rPr>
          <w:noProof/>
          <w:color w:val="000000"/>
        </w:rPr>
        <w:t xml:space="preserve"> of such request is not clear, or that the scope of information requested would make compliance with a request excessivel</w:t>
      </w:r>
      <w:r>
        <w:rPr>
          <w:noProof/>
          <w:color w:val="000000"/>
        </w:rPr>
        <w:t>y burdensome, they may ask the Union representative who made the request to clarify or refine its scope.</w:t>
      </w:r>
    </w:p>
    <w:p w:rsidR="00107733" w:rsidRDefault="000C4473">
      <w:pPr>
        <w:pStyle w:val="NumPar1"/>
        <w:numPr>
          <w:ilvl w:val="0"/>
          <w:numId w:val="11"/>
        </w:numPr>
        <w:rPr>
          <w:noProof/>
        </w:rPr>
      </w:pPr>
      <w:r>
        <w:rPr>
          <w:noProof/>
          <w:color w:val="000000"/>
        </w:rPr>
        <w:t>When exercising the rights under Article 12(2) of the Protocol, and with due consideration of their obligations referred to in Article 2(1) of this Dec</w:t>
      </w:r>
      <w:r>
        <w:rPr>
          <w:noProof/>
          <w:color w:val="000000"/>
        </w:rPr>
        <w:t xml:space="preserve">ision, Union representatives shall have the right to examine and, where necessary, copy documents and records in the possession of the authorities of the United Kingdom which </w:t>
      </w:r>
      <w:r>
        <w:rPr>
          <w:noProof/>
        </w:rPr>
        <w:t>contain</w:t>
      </w:r>
      <w:r>
        <w:rPr>
          <w:noProof/>
          <w:color w:val="000000"/>
        </w:rPr>
        <w:t xml:space="preserve"> information relevant to the covered activities. The Union shall protect t</w:t>
      </w:r>
      <w:r>
        <w:rPr>
          <w:noProof/>
          <w:color w:val="000000"/>
        </w:rPr>
        <w:t>his information in accordance with Article 2(4).</w:t>
      </w:r>
    </w:p>
    <w:p w:rsidR="00107733" w:rsidRDefault="000C4473">
      <w:pPr>
        <w:pStyle w:val="NumPar1"/>
        <w:numPr>
          <w:ilvl w:val="0"/>
          <w:numId w:val="11"/>
        </w:numPr>
        <w:rPr>
          <w:noProof/>
        </w:rPr>
      </w:pPr>
      <w:r>
        <w:rPr>
          <w:noProof/>
          <w:color w:val="000000"/>
        </w:rPr>
        <w:t>Union representatives may request that authorities of the United Kingdom carrying out covered activities provide relevant information about those activities.</w:t>
      </w:r>
    </w:p>
    <w:p w:rsidR="00107733" w:rsidRDefault="000C4473">
      <w:pPr>
        <w:keepNext/>
        <w:pBdr>
          <w:top w:val="nil"/>
          <w:left w:val="nil"/>
          <w:bottom w:val="nil"/>
          <w:right w:val="nil"/>
          <w:between w:val="nil"/>
        </w:pBdr>
        <w:spacing w:before="360"/>
        <w:jc w:val="center"/>
        <w:rPr>
          <w:i/>
          <w:noProof/>
          <w:color w:val="000000"/>
        </w:rPr>
      </w:pPr>
      <w:r>
        <w:rPr>
          <w:i/>
          <w:noProof/>
          <w:color w:val="000000"/>
        </w:rPr>
        <w:t>Article 5</w:t>
      </w:r>
      <w:r>
        <w:rPr>
          <w:i/>
          <w:noProof/>
          <w:color w:val="000000"/>
        </w:rPr>
        <w:br/>
        <w:t>Electronic access to applicable informa</w:t>
      </w:r>
      <w:r>
        <w:rPr>
          <w:i/>
          <w:noProof/>
          <w:color w:val="000000"/>
        </w:rPr>
        <w:t>tion systems, databases and networks</w:t>
      </w:r>
    </w:p>
    <w:p w:rsidR="00107733" w:rsidRDefault="000C4473">
      <w:pPr>
        <w:pStyle w:val="NumPar1"/>
        <w:numPr>
          <w:ilvl w:val="0"/>
          <w:numId w:val="12"/>
        </w:numPr>
        <w:rPr>
          <w:noProof/>
        </w:rPr>
      </w:pPr>
      <w:r>
        <w:rPr>
          <w:noProof/>
        </w:rPr>
        <w:t>Upon request from the Union, the United Kingdom shall grant Union representatives ongoing and continuous electronic access on a real-time basis to relevant information contained in the United Kingdom networks, informati</w:t>
      </w:r>
      <w:r>
        <w:rPr>
          <w:noProof/>
        </w:rPr>
        <w:t xml:space="preserve">on systems and databases and United Kingdom national modules of Union systems (hereinafter: “IT systems”) </w:t>
      </w:r>
      <w:r>
        <w:rPr>
          <w:noProof/>
        </w:rPr>
        <w:lastRenderedPageBreak/>
        <w:t>listed in Annex 1, to the extent necessary for Union representatives there to exercise the rights under Article 12(2) of the Protocol. The Union shall</w:t>
      </w:r>
      <w:r>
        <w:rPr>
          <w:noProof/>
        </w:rPr>
        <w:t xml:space="preserve"> ensure that its representatives protect such information in accordance with paragraphs 3 and 4. </w:t>
      </w:r>
    </w:p>
    <w:p w:rsidR="00107733" w:rsidRDefault="000C4473">
      <w:pPr>
        <w:pStyle w:val="NumPar1"/>
        <w:numPr>
          <w:ilvl w:val="0"/>
          <w:numId w:val="12"/>
        </w:numPr>
        <w:rPr>
          <w:noProof/>
        </w:rPr>
      </w:pPr>
      <w:r>
        <w:rPr>
          <w:noProof/>
          <w:color w:val="000000"/>
        </w:rPr>
        <w:t xml:space="preserve">Upon request from the Union, the United Kingdom shall also grant Union representatives electronic access to relevant information contained in the IT systems </w:t>
      </w:r>
      <w:r>
        <w:rPr>
          <w:noProof/>
        </w:rPr>
        <w:t>r</w:t>
      </w:r>
      <w:r>
        <w:rPr>
          <w:noProof/>
        </w:rPr>
        <w:t>eferred</w:t>
      </w:r>
      <w:r>
        <w:rPr>
          <w:noProof/>
          <w:color w:val="000000"/>
        </w:rPr>
        <w:t xml:space="preserve"> to in Annex 2, to the extent necessary for Union representatives to exercise the rights under Article 12(2) of the Protocol. The Union shall ensure that its representatives protect such information in accordance with paragraphs 3 and 4. </w:t>
      </w:r>
    </w:p>
    <w:p w:rsidR="00107733" w:rsidRDefault="000C4473">
      <w:pPr>
        <w:pStyle w:val="NumPar1"/>
        <w:numPr>
          <w:ilvl w:val="0"/>
          <w:numId w:val="12"/>
        </w:numPr>
        <w:rPr>
          <w:noProof/>
        </w:rPr>
      </w:pPr>
      <w:r>
        <w:rPr>
          <w:noProof/>
          <w:color w:val="000000"/>
        </w:rPr>
        <w:t>The access</w:t>
      </w:r>
      <w:r>
        <w:rPr>
          <w:noProof/>
          <w:color w:val="000000"/>
        </w:rPr>
        <w:t xml:space="preserve"> granted, which can also be exercised remotely, is subject to adherence by Union representatives to the security and other user requirements of each of these IT systems. </w:t>
      </w:r>
    </w:p>
    <w:p w:rsidR="00107733" w:rsidRDefault="000C4473">
      <w:pPr>
        <w:pStyle w:val="NumPar1"/>
        <w:numPr>
          <w:ilvl w:val="0"/>
          <w:numId w:val="12"/>
        </w:numPr>
        <w:rPr>
          <w:noProof/>
        </w:rPr>
      </w:pPr>
      <w:r>
        <w:rPr>
          <w:noProof/>
          <w:color w:val="000000"/>
        </w:rPr>
        <w:t>The Union shall ensure that its representatives may use information as referred to in</w:t>
      </w:r>
      <w:r>
        <w:rPr>
          <w:noProof/>
          <w:color w:val="000000"/>
        </w:rPr>
        <w:t xml:space="preserve"> paragraphs 1 and 2 only for the purpose of exercising the rights under Article 12(2) of the Protocol. The Union shall ensure that its representatives do not disclose information accessed pursuant to paragraphs 1 and 2 other than to the institutions, bodie</w:t>
      </w:r>
      <w:r>
        <w:rPr>
          <w:noProof/>
          <w:color w:val="000000"/>
        </w:rPr>
        <w:t>s, offices and agencies of the Union as well as the authorities of the United Kingdom, unless they have been so authorised by the customs authorities of the United Kingdom and by the competent institution, body, office or agency of the Union. The customs a</w:t>
      </w:r>
      <w:r>
        <w:rPr>
          <w:noProof/>
          <w:color w:val="000000"/>
        </w:rPr>
        <w:t>uthorities of the United Kingdom may not decline to authorise such disclosure except for duly stated reasons.</w:t>
      </w:r>
    </w:p>
    <w:p w:rsidR="00107733" w:rsidRDefault="000C4473">
      <w:pPr>
        <w:pStyle w:val="NumPar1"/>
        <w:numPr>
          <w:ilvl w:val="0"/>
          <w:numId w:val="12"/>
        </w:numPr>
        <w:rPr>
          <w:noProof/>
        </w:rPr>
      </w:pPr>
      <w:r>
        <w:rPr>
          <w:noProof/>
          <w:color w:val="000000"/>
        </w:rPr>
        <w:t>The United Kingdom shall communicate any change as regards the existence, scope or operation of the IT systems listed in Annex 1 and 2 to the Unio</w:t>
      </w:r>
      <w:r>
        <w:rPr>
          <w:noProof/>
          <w:color w:val="000000"/>
        </w:rPr>
        <w:t>n, in good time before such changes become effective.</w:t>
      </w:r>
    </w:p>
    <w:p w:rsidR="00107733" w:rsidRDefault="000C4473">
      <w:pPr>
        <w:keepNext/>
        <w:pBdr>
          <w:top w:val="nil"/>
          <w:left w:val="nil"/>
          <w:bottom w:val="nil"/>
          <w:right w:val="nil"/>
          <w:between w:val="nil"/>
        </w:pBdr>
        <w:spacing w:before="360"/>
        <w:jc w:val="center"/>
        <w:rPr>
          <w:i/>
          <w:noProof/>
          <w:color w:val="000000"/>
        </w:rPr>
      </w:pPr>
      <w:r>
        <w:rPr>
          <w:i/>
          <w:noProof/>
          <w:color w:val="000000"/>
        </w:rPr>
        <w:t>Article 6</w:t>
      </w:r>
      <w:r>
        <w:rPr>
          <w:i/>
          <w:noProof/>
          <w:color w:val="000000"/>
        </w:rPr>
        <w:br/>
        <w:t>Modalities of requesting control measures</w:t>
      </w:r>
    </w:p>
    <w:p w:rsidR="00107733" w:rsidRDefault="000C4473">
      <w:pPr>
        <w:pStyle w:val="NumPar1"/>
        <w:numPr>
          <w:ilvl w:val="0"/>
          <w:numId w:val="13"/>
        </w:numPr>
        <w:rPr>
          <w:noProof/>
        </w:rPr>
      </w:pPr>
      <w:bookmarkStart w:id="2" w:name="_30j0zll" w:colFirst="0" w:colLast="0"/>
      <w:bookmarkEnd w:id="2"/>
      <w:r>
        <w:rPr>
          <w:noProof/>
        </w:rPr>
        <w:t>Union representatives may request control measures in individual cases, both orally and in writing. Such requests shall duly state the reasons for req</w:t>
      </w:r>
      <w:r>
        <w:rPr>
          <w:noProof/>
        </w:rPr>
        <w:t xml:space="preserve">uesting the specific control measure. Requests shall ordinarily be directed at the relevant United Kingdom authority’s contact person, but oral requests may also be directed at a representative of the authorities of the United Kingdom. </w:t>
      </w:r>
    </w:p>
    <w:p w:rsidR="00107733" w:rsidRDefault="000C4473">
      <w:pPr>
        <w:pStyle w:val="NumPar1"/>
        <w:numPr>
          <w:ilvl w:val="0"/>
          <w:numId w:val="13"/>
        </w:numPr>
        <w:rPr>
          <w:noProof/>
        </w:rPr>
      </w:pPr>
      <w:r>
        <w:rPr>
          <w:noProof/>
          <w:color w:val="000000"/>
        </w:rPr>
        <w:t xml:space="preserve">The </w:t>
      </w:r>
      <w:r>
        <w:rPr>
          <w:noProof/>
        </w:rPr>
        <w:t>United</w:t>
      </w:r>
      <w:r>
        <w:rPr>
          <w:noProof/>
          <w:color w:val="000000"/>
        </w:rPr>
        <w:t xml:space="preserve"> Kingdom </w:t>
      </w:r>
      <w:r>
        <w:rPr>
          <w:noProof/>
          <w:color w:val="000000"/>
        </w:rPr>
        <w:t xml:space="preserve">authorities shall carry out the requested control measure expeditiously. </w:t>
      </w:r>
    </w:p>
    <w:p w:rsidR="00107733" w:rsidRDefault="000C4473">
      <w:pPr>
        <w:pStyle w:val="NumPar1"/>
        <w:numPr>
          <w:ilvl w:val="0"/>
          <w:numId w:val="13"/>
        </w:numPr>
        <w:rPr>
          <w:noProof/>
        </w:rPr>
      </w:pPr>
      <w:r>
        <w:rPr>
          <w:noProof/>
          <w:color w:val="000000"/>
        </w:rPr>
        <w:t xml:space="preserve">If </w:t>
      </w:r>
      <w:r>
        <w:rPr>
          <w:noProof/>
        </w:rPr>
        <w:t>the</w:t>
      </w:r>
      <w:r>
        <w:rPr>
          <w:noProof/>
          <w:color w:val="000000"/>
        </w:rPr>
        <w:t xml:space="preserve"> authorities of the United Kingdom consider that the reasons given by Union representatives for their request are insufficient or unclear, the authorities of the United Kingdom</w:t>
      </w:r>
      <w:r>
        <w:rPr>
          <w:noProof/>
          <w:color w:val="000000"/>
        </w:rPr>
        <w:t xml:space="preserve"> may ask Union representatives to clarify or explain their reasons in greater detail.</w:t>
      </w:r>
    </w:p>
    <w:p w:rsidR="00107733" w:rsidRDefault="000C4473">
      <w:pPr>
        <w:keepNext/>
        <w:pBdr>
          <w:top w:val="nil"/>
          <w:left w:val="nil"/>
          <w:bottom w:val="nil"/>
          <w:right w:val="nil"/>
          <w:between w:val="nil"/>
        </w:pBdr>
        <w:spacing w:before="360"/>
        <w:jc w:val="center"/>
        <w:rPr>
          <w:i/>
          <w:noProof/>
          <w:color w:val="000000"/>
        </w:rPr>
      </w:pPr>
      <w:r>
        <w:rPr>
          <w:i/>
          <w:noProof/>
          <w:color w:val="000000"/>
        </w:rPr>
        <w:t xml:space="preserve">Article 7 </w:t>
      </w:r>
    </w:p>
    <w:p w:rsidR="00107733" w:rsidRDefault="000C4473">
      <w:pPr>
        <w:rPr>
          <w:noProof/>
        </w:rPr>
      </w:pPr>
      <w:r>
        <w:rPr>
          <w:noProof/>
        </w:rPr>
        <w:t>The Joint Committee shall review this Decision at the latest [three] years after its entry into force and following a request from the Union or the United King</w:t>
      </w:r>
      <w:r>
        <w:rPr>
          <w:noProof/>
        </w:rPr>
        <w:t xml:space="preserve">dom. </w:t>
      </w:r>
    </w:p>
    <w:p w:rsidR="00107733" w:rsidRDefault="000C4473">
      <w:pPr>
        <w:keepNext/>
        <w:pBdr>
          <w:top w:val="nil"/>
          <w:left w:val="nil"/>
          <w:bottom w:val="nil"/>
          <w:right w:val="nil"/>
          <w:between w:val="nil"/>
        </w:pBdr>
        <w:spacing w:before="360"/>
        <w:jc w:val="center"/>
        <w:rPr>
          <w:noProof/>
        </w:rPr>
      </w:pPr>
      <w:r>
        <w:rPr>
          <w:i/>
          <w:noProof/>
          <w:color w:val="000000"/>
        </w:rPr>
        <w:t>Article 8</w:t>
      </w:r>
      <w:r>
        <w:rPr>
          <w:i/>
          <w:noProof/>
          <w:color w:val="000000"/>
        </w:rPr>
        <w:br/>
        <w:t>Entry into force</w:t>
      </w:r>
    </w:p>
    <w:p w:rsidR="00107733" w:rsidRDefault="000C4473">
      <w:pPr>
        <w:rPr>
          <w:noProof/>
        </w:rPr>
      </w:pPr>
      <w:r>
        <w:rPr>
          <w:noProof/>
        </w:rPr>
        <w:t>This Decision shall enter into force on 1 January 2021.</w:t>
      </w:r>
    </w:p>
    <w:p w:rsidR="00107733" w:rsidRDefault="00107733">
      <w:pPr>
        <w:rPr>
          <w:rFonts w:eastAsia="Times New Roman"/>
          <w:noProof/>
          <w:szCs w:val="24"/>
        </w:rPr>
      </w:pPr>
    </w:p>
    <w:p w:rsidR="00107733" w:rsidRDefault="000C4473">
      <w:pPr>
        <w:rPr>
          <w:rFonts w:eastAsia="Times New Roman"/>
          <w:noProof/>
          <w:szCs w:val="24"/>
        </w:rPr>
      </w:pPr>
      <w:r>
        <w:rPr>
          <w:rFonts w:eastAsia="Times New Roman"/>
          <w:noProof/>
          <w:szCs w:val="24"/>
        </w:rPr>
        <w:t>Done at …,</w:t>
      </w:r>
    </w:p>
    <w:p w:rsidR="00107733" w:rsidRDefault="000C4473">
      <w:pPr>
        <w:keepNext/>
        <w:keepLines/>
        <w:spacing w:before="60" w:after="60"/>
        <w:jc w:val="center"/>
        <w:rPr>
          <w:rFonts w:eastAsia="Times New Roman"/>
          <w:noProof/>
          <w:szCs w:val="24"/>
        </w:rPr>
      </w:pPr>
      <w:r>
        <w:rPr>
          <w:rFonts w:eastAsia="Times New Roman"/>
          <w:i/>
          <w:noProof/>
          <w:szCs w:val="24"/>
        </w:rPr>
        <w:t>For the Joint Committee</w:t>
      </w:r>
      <w:r>
        <w:rPr>
          <w:rFonts w:eastAsia="Times New Roman"/>
          <w:noProof/>
          <w:szCs w:val="24"/>
        </w:rPr>
        <w:t xml:space="preserve"> </w:t>
      </w:r>
    </w:p>
    <w:p w:rsidR="00107733" w:rsidRDefault="000C4473">
      <w:pPr>
        <w:jc w:val="center"/>
        <w:rPr>
          <w:b/>
          <w:noProof/>
        </w:rPr>
      </w:pPr>
      <w:r>
        <w:rPr>
          <w:rFonts w:eastAsia="Times New Roman"/>
          <w:i/>
          <w:noProof/>
          <w:szCs w:val="24"/>
        </w:rPr>
        <w:t>The Co-chairs</w:t>
      </w:r>
    </w:p>
    <w:p w:rsidR="00107733" w:rsidRDefault="000C4473">
      <w:pPr>
        <w:rPr>
          <w:b/>
          <w:noProof/>
        </w:rPr>
      </w:pPr>
      <w:r>
        <w:rPr>
          <w:b/>
          <w:noProof/>
        </w:rPr>
        <w:br w:type="page"/>
      </w:r>
    </w:p>
    <w:p w:rsidR="00107733" w:rsidRDefault="000C4473">
      <w:pPr>
        <w:keepNext/>
        <w:keepLines/>
        <w:jc w:val="center"/>
        <w:rPr>
          <w:b/>
          <w:noProof/>
        </w:rPr>
      </w:pPr>
      <w:r>
        <w:rPr>
          <w:b/>
          <w:noProof/>
        </w:rPr>
        <w:lastRenderedPageBreak/>
        <w:t>Annex 1: IT systems containing information required for the implementation of Union legislation referred to in the</w:t>
      </w:r>
      <w:r>
        <w:rPr>
          <w:b/>
          <w:noProof/>
        </w:rPr>
        <w:t xml:space="preserve"> first sentence of Article 5(3) of the Protocol and of Article 5(1) and (2) of the Protocol</w:t>
      </w:r>
    </w:p>
    <w:p w:rsidR="00107733" w:rsidRDefault="00107733">
      <w:pPr>
        <w:rPr>
          <w:noProof/>
        </w:rPr>
      </w:pPr>
    </w:p>
    <w:p w:rsidR="00107733" w:rsidRDefault="000C4473">
      <w:pPr>
        <w:ind w:left="709" w:hanging="709"/>
        <w:rPr>
          <w:noProof/>
        </w:rPr>
      </w:pPr>
      <w:r>
        <w:rPr>
          <w:noProof/>
        </w:rPr>
        <w:t>●</w:t>
      </w:r>
      <w:r>
        <w:rPr>
          <w:noProof/>
        </w:rPr>
        <w:tab/>
        <w:t xml:space="preserve">Customs Declarations Service (CDS), including risk profiles and information on presentation and temporary storage of the goods where available   </w:t>
      </w:r>
    </w:p>
    <w:p w:rsidR="00107733" w:rsidRDefault="000C4473">
      <w:pPr>
        <w:rPr>
          <w:noProof/>
        </w:rPr>
      </w:pPr>
      <w:r>
        <w:rPr>
          <w:noProof/>
        </w:rPr>
        <w:t>●</w:t>
      </w:r>
      <w:r>
        <w:rPr>
          <w:noProof/>
        </w:rPr>
        <w:tab/>
        <w:t>Goods Vehicle</w:t>
      </w:r>
      <w:r>
        <w:rPr>
          <w:noProof/>
        </w:rPr>
        <w:t xml:space="preserve"> Movement Service (GVMS) </w:t>
      </w:r>
    </w:p>
    <w:p w:rsidR="00107733" w:rsidRDefault="000C4473">
      <w:pPr>
        <w:ind w:left="709" w:hanging="709"/>
        <w:rPr>
          <w:noProof/>
        </w:rPr>
      </w:pPr>
      <w:r>
        <w:rPr>
          <w:noProof/>
        </w:rPr>
        <w:t>●</w:t>
      </w:r>
      <w:r>
        <w:rPr>
          <w:noProof/>
        </w:rPr>
        <w:tab/>
        <w:t>Freight Targeting System, including information collected by alternative means in relation to the UK declaration on export declarations</w:t>
      </w:r>
    </w:p>
    <w:p w:rsidR="00107733" w:rsidRDefault="000C4473">
      <w:pPr>
        <w:ind w:left="709" w:hanging="709"/>
        <w:rPr>
          <w:noProof/>
        </w:rPr>
      </w:pPr>
      <w:r>
        <w:rPr>
          <w:noProof/>
        </w:rPr>
        <w:t>●</w:t>
      </w:r>
      <w:r>
        <w:rPr>
          <w:noProof/>
        </w:rPr>
        <w:tab/>
        <w:t>National domain of Northern Ireland Import Control System (ICS), including risk profiles</w:t>
      </w:r>
    </w:p>
    <w:p w:rsidR="00107733" w:rsidRDefault="000C4473">
      <w:pPr>
        <w:rPr>
          <w:noProof/>
        </w:rPr>
      </w:pPr>
      <w:r>
        <w:rPr>
          <w:noProof/>
        </w:rPr>
        <w:t>●</w:t>
      </w:r>
      <w:r>
        <w:rPr>
          <w:noProof/>
        </w:rPr>
        <w:tab/>
        <w:t>National domain of Northern Ireland New Computerised Transit System (NCTS)</w:t>
      </w:r>
    </w:p>
    <w:p w:rsidR="00107733" w:rsidRDefault="00107733">
      <w:pPr>
        <w:rPr>
          <w:noProof/>
        </w:rPr>
      </w:pPr>
    </w:p>
    <w:p w:rsidR="00107733" w:rsidRDefault="000C4473">
      <w:pPr>
        <w:rPr>
          <w:noProof/>
        </w:rPr>
      </w:pPr>
      <w:r>
        <w:rPr>
          <w:noProof/>
        </w:rPr>
        <w:t>Other systems used by UK authorities to implement Articles 5(2) and (4) and 6(1) of the Protocol, including information regarding authorisations (UCC and Protocol relevant authori</w:t>
      </w:r>
      <w:r>
        <w:rPr>
          <w:noProof/>
        </w:rPr>
        <w:t xml:space="preserve">sations and decisions).  </w:t>
      </w:r>
    </w:p>
    <w:p w:rsidR="00107733" w:rsidRDefault="00107733">
      <w:pPr>
        <w:rPr>
          <w:noProof/>
        </w:rPr>
      </w:pPr>
    </w:p>
    <w:p w:rsidR="00107733" w:rsidRDefault="00107733">
      <w:pPr>
        <w:rPr>
          <w:noProof/>
        </w:rPr>
      </w:pPr>
    </w:p>
    <w:p w:rsidR="00107733" w:rsidRDefault="000C4473">
      <w:pPr>
        <w:jc w:val="center"/>
        <w:rPr>
          <w:b/>
          <w:noProof/>
        </w:rPr>
      </w:pPr>
      <w:r>
        <w:rPr>
          <w:b/>
          <w:noProof/>
        </w:rPr>
        <w:t>Annex 2: Other IT systems containing information required for carrying out covered activities</w:t>
      </w:r>
    </w:p>
    <w:p w:rsidR="00107733" w:rsidRDefault="00107733">
      <w:pPr>
        <w:rPr>
          <w:noProof/>
        </w:rPr>
      </w:pPr>
    </w:p>
    <w:p w:rsidR="00107733" w:rsidRDefault="000C4473">
      <w:pPr>
        <w:rPr>
          <w:noProof/>
        </w:rPr>
      </w:pPr>
      <w:r>
        <w:rPr>
          <w:noProof/>
        </w:rPr>
        <w:t>●</w:t>
      </w:r>
      <w:r>
        <w:rPr>
          <w:noProof/>
        </w:rPr>
        <w:tab/>
        <w:t>National Domain Excise Movement and Control System (EMCS)</w:t>
      </w:r>
    </w:p>
    <w:p w:rsidR="00107733" w:rsidRDefault="000C4473">
      <w:pPr>
        <w:ind w:left="709" w:hanging="709"/>
        <w:rPr>
          <w:noProof/>
        </w:rPr>
      </w:pPr>
      <w:r>
        <w:rPr>
          <w:noProof/>
        </w:rPr>
        <w:t>●</w:t>
      </w:r>
      <w:r>
        <w:rPr>
          <w:noProof/>
        </w:rPr>
        <w:tab/>
        <w:t>National Domain VAT Information Exchange System (VIES) and any directly</w:t>
      </w:r>
      <w:r>
        <w:rPr>
          <w:noProof/>
        </w:rPr>
        <w:t xml:space="preserve"> relevant UK database, in order to consult registration data of NI traders and the information provided by NI traders to the UK Tax administration on taxable transactions in respect of intra-EU acquisitions of goods taking place in NI and that need to be d</w:t>
      </w:r>
      <w:r>
        <w:rPr>
          <w:noProof/>
        </w:rPr>
        <w:t>eclared by NI traders.</w:t>
      </w:r>
    </w:p>
    <w:p w:rsidR="00107733" w:rsidRDefault="000C4473">
      <w:pPr>
        <w:rPr>
          <w:noProof/>
        </w:rPr>
      </w:pPr>
      <w:r>
        <w:rPr>
          <w:noProof/>
        </w:rPr>
        <w:t>●</w:t>
      </w:r>
      <w:r>
        <w:rPr>
          <w:noProof/>
        </w:rPr>
        <w:tab/>
        <w:t>National Domain (Import) One Stop Shop (IOSS and OSS)</w:t>
      </w:r>
    </w:p>
    <w:p w:rsidR="00107733" w:rsidRDefault="000C4473">
      <w:pPr>
        <w:rPr>
          <w:noProof/>
        </w:rPr>
      </w:pPr>
      <w:r>
        <w:rPr>
          <w:noProof/>
        </w:rPr>
        <w:t>●</w:t>
      </w:r>
      <w:r>
        <w:rPr>
          <w:noProof/>
        </w:rPr>
        <w:tab/>
        <w:t>National Domain VAT Refund</w:t>
      </w:r>
    </w:p>
    <w:p w:rsidR="00107733" w:rsidRDefault="00107733">
      <w:pPr>
        <w:rPr>
          <w:noProof/>
        </w:rPr>
      </w:pPr>
    </w:p>
    <w:p w:rsidR="00107733" w:rsidRDefault="00107733">
      <w:pPr>
        <w:rPr>
          <w:noProof/>
        </w:rPr>
      </w:pPr>
    </w:p>
    <w:sectPr w:rsidR="00107733" w:rsidSect="000C4473">
      <w:footerReference w:type="default" r:id="rId14"/>
      <w:footerReference w:type="first" r:id="rId15"/>
      <w:pgSz w:w="11907" w:h="16839"/>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33" w:rsidRDefault="000C4473">
      <w:pPr>
        <w:spacing w:before="0" w:after="0"/>
      </w:pPr>
      <w:r>
        <w:separator/>
      </w:r>
    </w:p>
  </w:endnote>
  <w:endnote w:type="continuationSeparator" w:id="0">
    <w:p w:rsidR="00107733" w:rsidRDefault="000C44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733" w:rsidRPr="000C4473" w:rsidRDefault="000C4473" w:rsidP="000C4473">
    <w:pPr>
      <w:pStyle w:val="Footer"/>
      <w:rPr>
        <w:rFonts w:ascii="Arial" w:hAnsi="Arial" w:cs="Arial"/>
        <w:b/>
        <w:sz w:val="48"/>
      </w:rPr>
    </w:pPr>
    <w:r w:rsidRPr="000C4473">
      <w:rPr>
        <w:rFonts w:ascii="Arial" w:hAnsi="Arial" w:cs="Arial"/>
        <w:b/>
        <w:sz w:val="48"/>
      </w:rPr>
      <w:t>EN</w:t>
    </w:r>
    <w:r w:rsidRPr="000C4473">
      <w:rPr>
        <w:rFonts w:ascii="Arial" w:hAnsi="Arial" w:cs="Arial"/>
        <w:b/>
        <w:sz w:val="48"/>
      </w:rPr>
      <w:tab/>
    </w:r>
    <w:r w:rsidRPr="000C4473">
      <w:rPr>
        <w:rFonts w:ascii="Arial" w:hAnsi="Arial" w:cs="Arial"/>
        <w:b/>
        <w:sz w:val="48"/>
      </w:rPr>
      <w:tab/>
    </w:r>
    <w:r w:rsidRPr="000C4473">
      <w:tab/>
    </w:r>
    <w:r w:rsidRPr="000C447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Footer"/>
      <w:rPr>
        <w:rFonts w:ascii="Arial" w:hAnsi="Arial" w:cs="Arial"/>
        <w:b/>
        <w:sz w:val="48"/>
      </w:rPr>
    </w:pPr>
    <w:r w:rsidRPr="000C4473">
      <w:rPr>
        <w:rFonts w:ascii="Arial" w:hAnsi="Arial" w:cs="Arial"/>
        <w:b/>
        <w:sz w:val="48"/>
      </w:rPr>
      <w:t>EN</w:t>
    </w:r>
    <w:r w:rsidRPr="000C4473">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C4473">
      <w:tab/>
    </w:r>
    <w:r w:rsidRPr="000C447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33" w:rsidRDefault="000C4473">
      <w:pPr>
        <w:spacing w:before="0" w:after="0"/>
      </w:pPr>
      <w:r>
        <w:separator/>
      </w:r>
    </w:p>
  </w:footnote>
  <w:footnote w:type="continuationSeparator" w:id="0">
    <w:p w:rsidR="00107733" w:rsidRDefault="000C44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73" w:rsidRPr="000C4473" w:rsidRDefault="000C4473" w:rsidP="000C4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5E018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79E2E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B22C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8D6B6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E3A00F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3E32B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0AFF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702652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57: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COM(2020) 833 final of 10.12.2020 downgraded on 27.1.2021"/>
    <w:docVar w:name="LW_COVERPAGE_EXISTS" w:val="True"/>
    <w:docVar w:name="LW_COVERPAGE_GUID" w:val="5073093F-BF58-43D1-92E2-F97670C3FFD2"/>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Joint Committee established by Article 164 of the Agreement on the withdrawal of the United Kingdom of Great Britain and Northern Ireland from the European Union and the European Atomic Energy as regards Union presence"/>
    <w:docVar w:name="LW_OBJETACTEPRINCIPAL.CP" w:val="on the position to be taken on behalf of the European Union in the  Joint Committee established by Article 164 of the Agreement on the withdrawal of the United Kingdom of Great Britain and Northern Ireland from the European Union and the European Atomic Energy as regards Union presence"/>
    <w:docVar w:name="LW_PART_NBR" w:val="1"/>
    <w:docVar w:name="LW_PART_NBR_TOTAL" w:val="1"/>
    <w:docVar w:name="LW_REF.INST.NEW" w:val="COM"/>
    <w:docVar w:name="LW_REF.INST.NEW_ADOPTED" w:val="final/2"/>
    <w:docVar w:name="LW_REF.INST.NEW_TEXT" w:val="(2020)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107733"/>
    <w:rsid w:val="000C4473"/>
    <w:rsid w:val="0010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A039DF2-F9C2-49F5-AA25-EE4227D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article">
    <w:name w:val="article"/>
    <w:basedOn w:val="Normal"/>
    <w:pPr>
      <w:keepNext/>
      <w:pBdr>
        <w:top w:val="nil"/>
        <w:left w:val="nil"/>
        <w:bottom w:val="nil"/>
        <w:right w:val="nil"/>
        <w:between w:val="nil"/>
      </w:pBdr>
      <w:spacing w:before="360"/>
      <w:jc w:val="center"/>
    </w:pPr>
    <w:rPr>
      <w:rFonts w:eastAsia="Times New Roman"/>
      <w:i/>
      <w:color w:val="000000"/>
      <w:szCs w:val="24"/>
    </w:rPr>
  </w:style>
  <w:style w:type="paragraph" w:styleId="Header">
    <w:name w:val="header"/>
    <w:basedOn w:val="Normal"/>
    <w:link w:val="HeaderChar"/>
    <w:uiPriority w:val="99"/>
    <w:unhideWhenUsed/>
    <w:rsid w:val="000C4473"/>
    <w:pPr>
      <w:tabs>
        <w:tab w:val="center" w:pos="4535"/>
        <w:tab w:val="right" w:pos="9071"/>
      </w:tabs>
      <w:spacing w:before="0"/>
    </w:pPr>
  </w:style>
  <w:style w:type="character" w:customStyle="1" w:styleId="HeaderChar">
    <w:name w:val="Header Char"/>
    <w:basedOn w:val="DefaultParagraphFont"/>
    <w:link w:val="Header"/>
    <w:uiPriority w:val="99"/>
    <w:rsid w:val="000C4473"/>
    <w:rPr>
      <w:rFonts w:ascii="Times New Roman" w:hAnsi="Times New Roman" w:cs="Times New Roman"/>
      <w:sz w:val="24"/>
      <w:lang w:val="en-GB"/>
    </w:rPr>
  </w:style>
  <w:style w:type="paragraph" w:styleId="Footer">
    <w:name w:val="footer"/>
    <w:basedOn w:val="Normal"/>
    <w:link w:val="FooterChar"/>
    <w:uiPriority w:val="99"/>
    <w:unhideWhenUsed/>
    <w:rsid w:val="000C447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447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C4473"/>
    <w:pPr>
      <w:tabs>
        <w:tab w:val="center" w:pos="7285"/>
        <w:tab w:val="right" w:pos="14003"/>
      </w:tabs>
      <w:spacing w:before="0"/>
    </w:pPr>
  </w:style>
  <w:style w:type="paragraph" w:customStyle="1" w:styleId="FooterLandscape">
    <w:name w:val="FooterLandscape"/>
    <w:basedOn w:val="Normal"/>
    <w:rsid w:val="000C447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447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C4473"/>
    <w:pPr>
      <w:spacing w:before="0"/>
      <w:jc w:val="right"/>
    </w:pPr>
    <w:rPr>
      <w:sz w:val="28"/>
    </w:rPr>
  </w:style>
  <w:style w:type="paragraph" w:customStyle="1" w:styleId="FooterSensitivity">
    <w:name w:val="Footer Sensitivity"/>
    <w:basedOn w:val="Normal"/>
    <w:rsid w:val="000C447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6</TotalTime>
  <Pages>2</Pages>
  <Words>2044</Words>
  <Characters>10997</Characters>
  <Application>Microsoft Office Word</Application>
  <DocSecurity>0</DocSecurity>
  <Lines>207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SEILER Brigitte (SG)</cp:lastModifiedBy>
  <cp:revision>21</cp:revision>
  <dcterms:created xsi:type="dcterms:W3CDTF">2020-12-10T09:28:00Z</dcterms:created>
  <dcterms:modified xsi:type="dcterms:W3CDTF">2021-01-27T11:32:00Z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