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42" w:rsidRDefault="00EB3651" w:rsidP="00EB36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29F796-154F-4E82-88DA-A9E9CA4FA3FE" style="width:450.75pt;height:425.25pt">
            <v:imagedata r:id="rId8" o:title=""/>
          </v:shape>
        </w:pict>
      </w:r>
    </w:p>
    <w:p w:rsidR="00761942" w:rsidRDefault="00761942">
      <w:pPr>
        <w:rPr>
          <w:noProof/>
        </w:rPr>
        <w:sectPr w:rsidR="00761942" w:rsidSect="00EB365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61942" w:rsidRDefault="00EB3651">
      <w:pPr>
        <w:pStyle w:val="Annexetitre"/>
        <w:rPr>
          <w:noProof/>
        </w:rPr>
      </w:pPr>
      <w:bookmarkStart w:id="0" w:name="_GoBack"/>
      <w:bookmarkEnd w:id="0"/>
      <w:r>
        <w:rPr>
          <w:noProof/>
        </w:rPr>
        <w:lastRenderedPageBreak/>
        <w:t>ПРОЕКТ НА РЕШЕНИЕ № [.../2020] НА СЪВМЕСТНИЯ КОМИТЕТ  ЕВРОПЕЙСКИ СЪЮЗ — ОБЕДИНЕНО КРАЛСТВО</w:t>
      </w:r>
    </w:p>
    <w:p w:rsidR="00761942" w:rsidRDefault="00EB3651">
      <w:pPr>
        <w:jc w:val="center"/>
        <w:rPr>
          <w:b/>
          <w:noProof/>
          <w:szCs w:val="24"/>
        </w:rPr>
      </w:pPr>
      <w:r>
        <w:rPr>
          <w:b/>
          <w:noProof/>
          <w:szCs w:val="24"/>
        </w:rPr>
        <w:t>от […] 2020 година</w:t>
      </w:r>
    </w:p>
    <w:p w:rsidR="00761942" w:rsidRDefault="00761942">
      <w:pPr>
        <w:rPr>
          <w:b/>
          <w:noProof/>
          <w:szCs w:val="24"/>
        </w:rPr>
      </w:pPr>
    </w:p>
    <w:p w:rsidR="00761942" w:rsidRDefault="00EB3651">
      <w:pPr>
        <w:rPr>
          <w:noProof/>
          <w:szCs w:val="24"/>
        </w:rPr>
      </w:pPr>
      <w:r>
        <w:rPr>
          <w:b/>
          <w:noProof/>
          <w:szCs w:val="24"/>
        </w:rPr>
        <w:t>за определяне на първоначалното максимално общо годишно ниво на освободена помощ и първоначалния минимален процент, посочени в член 10, параграф 2 от Протокола за Ирландия/Северна Ирландия към Споразумението за оттеглянето на Обединеното кралство Великобри</w:t>
      </w:r>
      <w:r>
        <w:rPr>
          <w:b/>
          <w:noProof/>
          <w:szCs w:val="24"/>
        </w:rPr>
        <w:t xml:space="preserve">тания и Северна Ирландия от Европейския съюз и Европейската общност за атомна енергия </w:t>
      </w:r>
    </w:p>
    <w:p w:rsidR="00761942" w:rsidRDefault="00761942">
      <w:pPr>
        <w:rPr>
          <w:rFonts w:ascii="Arial" w:eastAsia="Arial" w:hAnsi="Arial" w:cs="Arial"/>
          <w:noProof/>
        </w:rPr>
      </w:pPr>
    </w:p>
    <w:p w:rsidR="00761942" w:rsidRDefault="00EB3651">
      <w:pPr>
        <w:rPr>
          <w:noProof/>
          <w:szCs w:val="24"/>
        </w:rPr>
      </w:pPr>
      <w:r>
        <w:rPr>
          <w:noProof/>
        </w:rPr>
        <w:t>СЪВМЕСТНИЯТ КОМИТЕТ</w:t>
      </w:r>
    </w:p>
    <w:p w:rsidR="00761942" w:rsidRDefault="00EB3651">
      <w:pPr>
        <w:rPr>
          <w:noProof/>
          <w:szCs w:val="24"/>
        </w:rPr>
      </w:pPr>
      <w:r>
        <w:rPr>
          <w:noProof/>
        </w:rPr>
        <w:t xml:space="preserve">като взе предвид Протокола за Ирландия/Северна Ирландия към Споразумението за оттеглянето на Обединеното кралство Великобритания и Северна Ирландия </w:t>
      </w:r>
      <w:r>
        <w:rPr>
          <w:noProof/>
        </w:rPr>
        <w:t>от Европейския съюз и Европейската общност за атомна енергия, и по-специално член 10, параграф 2 от него и приложение 6 към него,</w:t>
      </w:r>
    </w:p>
    <w:p w:rsidR="00761942" w:rsidRDefault="00761942">
      <w:pPr>
        <w:rPr>
          <w:rFonts w:ascii="Arial" w:eastAsia="Arial" w:hAnsi="Arial" w:cs="Arial"/>
          <w:noProof/>
        </w:rPr>
      </w:pPr>
    </w:p>
    <w:p w:rsidR="00761942" w:rsidRDefault="00EB3651">
      <w:pPr>
        <w:rPr>
          <w:noProof/>
          <w:szCs w:val="24"/>
        </w:rPr>
      </w:pPr>
      <w:r>
        <w:rPr>
          <w:noProof/>
        </w:rPr>
        <w:t>РЕШИ:</w:t>
      </w:r>
    </w:p>
    <w:p w:rsidR="00761942" w:rsidRDefault="00761942">
      <w:pPr>
        <w:rPr>
          <w:noProof/>
          <w:szCs w:val="24"/>
        </w:rPr>
      </w:pPr>
    </w:p>
    <w:p w:rsidR="00761942" w:rsidRDefault="00761942">
      <w:pPr>
        <w:jc w:val="center"/>
        <w:rPr>
          <w:b/>
          <w:noProof/>
          <w:szCs w:val="24"/>
        </w:rPr>
      </w:pPr>
    </w:p>
    <w:p w:rsidR="00761942" w:rsidRDefault="00EB3651">
      <w:pPr>
        <w:jc w:val="center"/>
        <w:rPr>
          <w:b/>
          <w:noProof/>
          <w:szCs w:val="24"/>
        </w:rPr>
      </w:pPr>
      <w:r>
        <w:rPr>
          <w:b/>
          <w:noProof/>
          <w:szCs w:val="24"/>
        </w:rPr>
        <w:t>Член 1</w:t>
      </w:r>
    </w:p>
    <w:p w:rsidR="00761942" w:rsidRDefault="00EB3651">
      <w:pPr>
        <w:jc w:val="center"/>
        <w:rPr>
          <w:i/>
          <w:noProof/>
          <w:szCs w:val="24"/>
        </w:rPr>
      </w:pPr>
      <w:r>
        <w:rPr>
          <w:i/>
          <w:noProof/>
          <w:szCs w:val="24"/>
        </w:rPr>
        <w:t>Общо годишно ниво на помощ за селскостопански продукти, различни от продукти от риболов и аквакултури</w:t>
      </w:r>
    </w:p>
    <w:p w:rsidR="00761942" w:rsidRDefault="00761942">
      <w:pPr>
        <w:jc w:val="center"/>
        <w:rPr>
          <w:i/>
          <w:noProof/>
          <w:szCs w:val="24"/>
        </w:rPr>
      </w:pPr>
    </w:p>
    <w:p w:rsidR="00761942" w:rsidRDefault="00EB3651">
      <w:pPr>
        <w:rPr>
          <w:noProof/>
          <w:szCs w:val="24"/>
        </w:rPr>
      </w:pPr>
      <w:r>
        <w:rPr>
          <w:noProof/>
        </w:rPr>
        <w:t xml:space="preserve">1. </w:t>
      </w:r>
      <w:r>
        <w:rPr>
          <w:noProof/>
        </w:rPr>
        <w:t>Първоначалното максимално общо годишно ниво на освободена помощ, посочено в член 10, параграф 2 от Протокола за Ирландия/Северна Ирландия, за селскостопански продукти, различни от продукти от риболов и аквакултури, се определя на 382,2 милиона британски ли</w:t>
      </w:r>
      <w:r>
        <w:rPr>
          <w:noProof/>
        </w:rPr>
        <w:t>ри</w:t>
      </w:r>
      <w:r>
        <w:rPr>
          <w:rStyle w:val="FootnoteReference"/>
          <w:noProof/>
          <w:szCs w:val="24"/>
        </w:rPr>
        <w:footnoteReference w:id="1"/>
      </w:r>
      <w:r>
        <w:rPr>
          <w:noProof/>
        </w:rPr>
        <w:t xml:space="preserve">. </w:t>
      </w:r>
    </w:p>
    <w:p w:rsidR="00761942" w:rsidRDefault="00761942">
      <w:pPr>
        <w:rPr>
          <w:noProof/>
          <w:szCs w:val="24"/>
        </w:rPr>
      </w:pPr>
    </w:p>
    <w:p w:rsidR="00761942" w:rsidRDefault="00EB3651">
      <w:pPr>
        <w:spacing w:after="0"/>
        <w:rPr>
          <w:noProof/>
          <w:color w:val="000000"/>
          <w:spacing w:val="-4"/>
          <w:szCs w:val="24"/>
        </w:rPr>
      </w:pPr>
      <w:r>
        <w:rPr>
          <w:noProof/>
          <w:spacing w:val="-4"/>
        </w:rPr>
        <w:t xml:space="preserve">2. Обединеното кралство може да увеличи максималното общо годишно ниво на освободена помощ, посочено в параграф 1, </w:t>
      </w:r>
      <w:r>
        <w:rPr>
          <w:noProof/>
          <w:color w:val="000000"/>
          <w:spacing w:val="-4"/>
          <w:szCs w:val="24"/>
        </w:rPr>
        <w:t>до допълнителна сума от 25,03 милиона британски лири</w:t>
      </w:r>
      <w:r>
        <w:rPr>
          <w:noProof/>
          <w:spacing w:val="-4"/>
        </w:rPr>
        <w:t xml:space="preserve"> за дадена година с частта от сумата на максималното общо годишно ниво на освободена помощ, която не е била изразходвана през предходната календарна година.</w:t>
      </w:r>
      <w:r>
        <w:rPr>
          <w:noProof/>
          <w:color w:val="000000"/>
          <w:spacing w:val="-4"/>
          <w:szCs w:val="24"/>
        </w:rPr>
        <w:t xml:space="preserve"> </w:t>
      </w:r>
      <w:r>
        <w:rPr>
          <w:noProof/>
          <w:spacing w:val="-4"/>
        </w:rPr>
        <w:t xml:space="preserve"> </w:t>
      </w:r>
      <w:r>
        <w:rPr>
          <w:noProof/>
          <w:spacing w:val="-4"/>
        </w:rPr>
        <w:br/>
      </w:r>
    </w:p>
    <w:p w:rsidR="00761942" w:rsidRDefault="00EB3651">
      <w:pPr>
        <w:rPr>
          <w:noProof/>
          <w:szCs w:val="24"/>
        </w:rPr>
      </w:pPr>
      <w:r>
        <w:rPr>
          <w:noProof/>
        </w:rPr>
        <w:t>3. Максималното общо годишно ниво на освободена помощ, посочено в параграф 1, се увеличава със с</w:t>
      </w:r>
      <w:r>
        <w:rPr>
          <w:noProof/>
        </w:rPr>
        <w:t>умата от 6,8 милиона британски лири за дадена година:</w:t>
      </w:r>
    </w:p>
    <w:p w:rsidR="00761942" w:rsidRDefault="00EB3651">
      <w:pPr>
        <w:rPr>
          <w:noProof/>
          <w:szCs w:val="24"/>
        </w:rPr>
      </w:pPr>
      <w:r>
        <w:rPr>
          <w:noProof/>
        </w:rPr>
        <w:lastRenderedPageBreak/>
        <w:t>а) когато през въпросната година Европейският съюз е предприел мерки, обхващащи Република Ирландия, съгласно част II, дял I, глава I или член 219, 220 или 221 от Регламент (ЕС) № 1308/2013</w:t>
      </w:r>
      <w:r>
        <w:rPr>
          <w:rStyle w:val="FootnoteReference"/>
          <w:noProof/>
        </w:rPr>
        <w:footnoteReference w:id="2"/>
      </w:r>
      <w:r>
        <w:rPr>
          <w:noProof/>
        </w:rPr>
        <w:t>; или</w:t>
      </w:r>
    </w:p>
    <w:p w:rsidR="00761942" w:rsidRDefault="00761942">
      <w:pPr>
        <w:rPr>
          <w:noProof/>
          <w:szCs w:val="24"/>
        </w:rPr>
      </w:pPr>
    </w:p>
    <w:p w:rsidR="00761942" w:rsidRDefault="00EB3651">
      <w:pPr>
        <w:rPr>
          <w:noProof/>
          <w:szCs w:val="24"/>
        </w:rPr>
      </w:pPr>
      <w:r>
        <w:rPr>
          <w:noProof/>
        </w:rPr>
        <w:t>б) въз</w:t>
      </w:r>
      <w:r>
        <w:rPr>
          <w:noProof/>
        </w:rPr>
        <w:t xml:space="preserve"> основа на:</w:t>
      </w:r>
    </w:p>
    <w:p w:rsidR="00761942" w:rsidRDefault="00EB3651">
      <w:pPr>
        <w:rPr>
          <w:noProof/>
          <w:szCs w:val="24"/>
        </w:rPr>
      </w:pPr>
      <w:r>
        <w:rPr>
          <w:noProof/>
        </w:rPr>
        <w:t xml:space="preserve">i) болест по животните, </w:t>
      </w:r>
    </w:p>
    <w:p w:rsidR="00761942" w:rsidRDefault="00EB3651">
      <w:pPr>
        <w:rPr>
          <w:noProof/>
          <w:szCs w:val="24"/>
        </w:rPr>
      </w:pPr>
      <w:r>
        <w:rPr>
          <w:noProof/>
        </w:rPr>
        <w:t xml:space="preserve">ii) събитие или обстоятелство, което значително смущава или заплашва да предизвика смущения на пазара, когато има вероятност това положение или въздействието на това положение върху пазара да продължи или да се влоши;  </w:t>
      </w:r>
    </w:p>
    <w:p w:rsidR="00761942" w:rsidRDefault="00EB3651">
      <w:pPr>
        <w:rPr>
          <w:noProof/>
          <w:szCs w:val="24"/>
        </w:rPr>
      </w:pPr>
      <w:r>
        <w:rPr>
          <w:noProof/>
        </w:rPr>
        <w:t xml:space="preserve">iii) сериозно смущение на пазара, за което се счита, че произтича пряко от загубата на потребителско доверие поради рискове за общественото здраве, здравето на животните или на растенията и риск от болести; или </w:t>
      </w:r>
    </w:p>
    <w:p w:rsidR="00761942" w:rsidRDefault="00EB3651">
      <w:pPr>
        <w:rPr>
          <w:noProof/>
          <w:szCs w:val="24"/>
        </w:rPr>
      </w:pPr>
      <w:r>
        <w:rPr>
          <w:noProof/>
        </w:rPr>
        <w:t>iv) природно бедствие, което засяга територ</w:t>
      </w:r>
      <w:r>
        <w:rPr>
          <w:noProof/>
        </w:rPr>
        <w:t>ията на Северна Ирландия и не засяга в еднаква степен целия остров Ирландия.</w:t>
      </w:r>
    </w:p>
    <w:p w:rsidR="00761942" w:rsidRDefault="00EB3651">
      <w:pPr>
        <w:rPr>
          <w:noProof/>
          <w:szCs w:val="24"/>
        </w:rPr>
      </w:pPr>
      <w:r>
        <w:rPr>
          <w:noProof/>
        </w:rPr>
        <w:t xml:space="preserve">Буква б) се прилага само когато Обединеното кралство е информирало Европейския съюз най-малко 10 дни преди да използва увеличеното общо годишно ниво на помощ.  </w:t>
      </w:r>
    </w:p>
    <w:p w:rsidR="00761942" w:rsidRDefault="00761942">
      <w:pPr>
        <w:rPr>
          <w:noProof/>
          <w:szCs w:val="24"/>
        </w:rPr>
      </w:pPr>
    </w:p>
    <w:p w:rsidR="00761942" w:rsidRDefault="00EB3651">
      <w:pPr>
        <w:jc w:val="center"/>
        <w:rPr>
          <w:b/>
          <w:noProof/>
          <w:szCs w:val="24"/>
        </w:rPr>
      </w:pPr>
      <w:r>
        <w:rPr>
          <w:b/>
          <w:noProof/>
          <w:szCs w:val="24"/>
        </w:rPr>
        <w:t>Член 2</w:t>
      </w:r>
    </w:p>
    <w:p w:rsidR="00761942" w:rsidRDefault="00EB3651">
      <w:pPr>
        <w:jc w:val="center"/>
        <w:rPr>
          <w:i/>
          <w:noProof/>
          <w:szCs w:val="24"/>
        </w:rPr>
      </w:pPr>
      <w:r>
        <w:rPr>
          <w:i/>
          <w:noProof/>
          <w:szCs w:val="24"/>
        </w:rPr>
        <w:t>Общо годиш</w:t>
      </w:r>
      <w:r>
        <w:rPr>
          <w:i/>
          <w:noProof/>
          <w:szCs w:val="24"/>
        </w:rPr>
        <w:t>но ниво на помощ за продукти от риболов и аквакултури</w:t>
      </w:r>
    </w:p>
    <w:p w:rsidR="00761942" w:rsidRDefault="00761942">
      <w:pPr>
        <w:jc w:val="center"/>
        <w:rPr>
          <w:i/>
          <w:noProof/>
          <w:szCs w:val="24"/>
        </w:rPr>
      </w:pPr>
    </w:p>
    <w:p w:rsidR="00761942" w:rsidRDefault="00EB3651">
      <w:pPr>
        <w:rPr>
          <w:noProof/>
          <w:szCs w:val="24"/>
        </w:rPr>
      </w:pPr>
      <w:r>
        <w:rPr>
          <w:noProof/>
        </w:rPr>
        <w:t>1. Първоначалното максимално общо ниво на освободена помощ, посочено в член 10, параграф 2 от Протокола за Ирландия/Северна Ирландия за продукти от риболов и аквакултури, се определя на 16,93 милиона б</w:t>
      </w:r>
      <w:r>
        <w:rPr>
          <w:noProof/>
        </w:rPr>
        <w:t>ритански лири през първите пет години след влизането в сила на настоящото решение, както и през всеки следващ петгодишен период. Въпреки това общото годишно ниво на освободена помощ за тези продукти не трябва да надвишава 4,01 милиона британски лири за дад</w:t>
      </w:r>
      <w:r>
        <w:rPr>
          <w:noProof/>
        </w:rPr>
        <w:t xml:space="preserve">ена година. </w:t>
      </w:r>
    </w:p>
    <w:p w:rsidR="00761942" w:rsidRDefault="00EB3651">
      <w:pPr>
        <w:rPr>
          <w:noProof/>
          <w:szCs w:val="24"/>
        </w:rPr>
      </w:pPr>
      <w:r>
        <w:rPr>
          <w:noProof/>
        </w:rPr>
        <w:t>2. Следните операции не са допустими за финансиране от сумите, посочени в параграф 1:</w:t>
      </w:r>
    </w:p>
    <w:p w:rsidR="00761942" w:rsidRDefault="00EB3651">
      <w:pPr>
        <w:pStyle w:val="Point0"/>
        <w:rPr>
          <w:noProof/>
        </w:rPr>
      </w:pPr>
      <w:bookmarkStart w:id="1" w:name="DQPStarAt1DQPStarAt34819252F84F4887B28F4"/>
      <w:r>
        <w:rPr>
          <w:noProof/>
        </w:rPr>
        <w:t>а)</w:t>
      </w:r>
      <w:r>
        <w:rPr>
          <w:noProof/>
        </w:rPr>
        <w:tab/>
        <w:t>операции, които водят до увеличаване на риболовния капацитет на кораб, или оборудване, което повишава способността му да намира риба;</w:t>
      </w:r>
    </w:p>
    <w:bookmarkEnd w:id="1"/>
    <w:p w:rsidR="00761942" w:rsidRDefault="00EB3651">
      <w:pPr>
        <w:pStyle w:val="Point0"/>
        <w:rPr>
          <w:noProof/>
        </w:rPr>
      </w:pPr>
      <w:r>
        <w:rPr>
          <w:noProof/>
        </w:rPr>
        <w:t>б)</w:t>
      </w:r>
      <w:r>
        <w:rPr>
          <w:noProof/>
        </w:rPr>
        <w:tab/>
        <w:t>строителство на н</w:t>
      </w:r>
      <w:r>
        <w:rPr>
          <w:noProof/>
        </w:rPr>
        <w:t xml:space="preserve">ови риболовни кораби или внос на риболовни кораби; </w:t>
      </w:r>
    </w:p>
    <w:p w:rsidR="00761942" w:rsidRDefault="00EB3651">
      <w:pPr>
        <w:pStyle w:val="Point0"/>
        <w:rPr>
          <w:noProof/>
        </w:rPr>
      </w:pPr>
      <w:r>
        <w:rPr>
          <w:noProof/>
        </w:rPr>
        <w:t>в)</w:t>
      </w:r>
      <w:r>
        <w:rPr>
          <w:noProof/>
        </w:rPr>
        <w:tab/>
        <w:t xml:space="preserve">окончателно преустановяване на риболовните дейности; </w:t>
      </w:r>
    </w:p>
    <w:p w:rsidR="00761942" w:rsidRDefault="00EB3651">
      <w:pPr>
        <w:pStyle w:val="Point0"/>
        <w:rPr>
          <w:noProof/>
        </w:rPr>
      </w:pPr>
      <w:r>
        <w:rPr>
          <w:noProof/>
        </w:rPr>
        <w:t>г)</w:t>
      </w:r>
      <w:r>
        <w:rPr>
          <w:noProof/>
        </w:rPr>
        <w:tab/>
        <w:t>временно преустановяване на риболовните дейности, освен ако не е свързано с някое от следните:</w:t>
      </w:r>
    </w:p>
    <w:p w:rsidR="00761942" w:rsidRDefault="00EB3651">
      <w:pPr>
        <w:spacing w:line="252" w:lineRule="auto"/>
        <w:ind w:left="1440" w:hanging="590"/>
        <w:rPr>
          <w:noProof/>
          <w:color w:val="FF0000"/>
          <w:szCs w:val="24"/>
        </w:rPr>
      </w:pPr>
      <w:r>
        <w:rPr>
          <w:noProof/>
          <w:color w:val="000000"/>
          <w:szCs w:val="24"/>
        </w:rPr>
        <w:t>i.</w:t>
      </w:r>
      <w:r>
        <w:rPr>
          <w:noProof/>
          <w:color w:val="000000"/>
          <w:sz w:val="14"/>
          <w:szCs w:val="14"/>
        </w:rPr>
        <w:tab/>
      </w:r>
      <w:r>
        <w:rPr>
          <w:noProof/>
          <w:color w:val="000000"/>
          <w:spacing w:val="-4"/>
          <w:szCs w:val="24"/>
        </w:rPr>
        <w:t>спешни мерки, въведени от компетентните органи</w:t>
      </w:r>
      <w:r>
        <w:rPr>
          <w:noProof/>
          <w:color w:val="000000"/>
          <w:spacing w:val="-4"/>
          <w:szCs w:val="24"/>
        </w:rPr>
        <w:t xml:space="preserve"> на Обединеното кралство или от Обединеното кралство по отношение на Северна Ирландия</w:t>
      </w:r>
      <w:r>
        <w:rPr>
          <w:noProof/>
          <w:spacing w:val="-4"/>
        </w:rPr>
        <w:t>, за максимален период от шест месеца с цел премахване на сериозна заплаха за</w:t>
      </w:r>
      <w:r>
        <w:rPr>
          <w:noProof/>
          <w:color w:val="000000"/>
          <w:spacing w:val="-4"/>
          <w:szCs w:val="24"/>
        </w:rPr>
        <w:t xml:space="preserve"> морските биологични ресурси или морската екосистема;</w:t>
      </w:r>
      <w:r>
        <w:rPr>
          <w:noProof/>
          <w:color w:val="FF0000"/>
          <w:szCs w:val="24"/>
        </w:rPr>
        <w:t xml:space="preserve"> </w:t>
      </w:r>
    </w:p>
    <w:p w:rsidR="00761942" w:rsidRDefault="00EB3651">
      <w:pPr>
        <w:spacing w:line="252" w:lineRule="auto"/>
        <w:ind w:left="1440" w:hanging="720"/>
        <w:rPr>
          <w:noProof/>
          <w:szCs w:val="24"/>
        </w:rPr>
      </w:pPr>
      <w:bookmarkStart w:id="2" w:name="_gjdgxs"/>
      <w:bookmarkEnd w:id="2"/>
      <w:r>
        <w:rPr>
          <w:noProof/>
        </w:rPr>
        <w:lastRenderedPageBreak/>
        <w:t>ii.</w:t>
      </w:r>
      <w:r>
        <w:rPr>
          <w:noProof/>
        </w:rPr>
        <w:tab/>
        <w:t xml:space="preserve">неподновяване на международно </w:t>
      </w:r>
      <w:r>
        <w:rPr>
          <w:noProof/>
        </w:rPr>
        <w:t>споразумение в областта на рибарството или на протоколи към него;</w:t>
      </w:r>
    </w:p>
    <w:p w:rsidR="00761942" w:rsidRDefault="00EB3651">
      <w:pPr>
        <w:spacing w:line="252" w:lineRule="auto"/>
        <w:ind w:left="1440" w:hanging="720"/>
        <w:rPr>
          <w:noProof/>
          <w:spacing w:val="-6"/>
        </w:rPr>
      </w:pPr>
      <w:r>
        <w:rPr>
          <w:noProof/>
          <w:color w:val="000000"/>
          <w:szCs w:val="24"/>
        </w:rPr>
        <w:t>iii.</w:t>
      </w:r>
      <w:r>
        <w:rPr>
          <w:noProof/>
          <w:color w:val="000000"/>
          <w:sz w:val="14"/>
          <w:szCs w:val="14"/>
        </w:rPr>
        <w:tab/>
      </w:r>
      <w:r>
        <w:rPr>
          <w:noProof/>
          <w:color w:val="000000"/>
          <w:spacing w:val="-6"/>
          <w:szCs w:val="24"/>
        </w:rPr>
        <w:t>план за управление на рибарството, публикуван по силата на законодателство в Обединеното кралство или от Обединеното кралство по отношение на Северна Ирландия, в който се определят политики, предназначени за възстановяване на един или повече рибни запаси д</w:t>
      </w:r>
      <w:r>
        <w:rPr>
          <w:noProof/>
          <w:color w:val="000000"/>
          <w:spacing w:val="-6"/>
          <w:szCs w:val="24"/>
        </w:rPr>
        <w:t xml:space="preserve">о устойчиви равнища или за поддържане на тези запаси на устойчиви равнища;  </w:t>
      </w:r>
    </w:p>
    <w:p w:rsidR="00761942" w:rsidRDefault="00EB3651">
      <w:pPr>
        <w:ind w:left="1440" w:hanging="720"/>
        <w:rPr>
          <w:noProof/>
          <w:szCs w:val="24"/>
        </w:rPr>
      </w:pPr>
      <w:r>
        <w:rPr>
          <w:noProof/>
        </w:rPr>
        <w:t>iv.</w:t>
      </w:r>
      <w:r>
        <w:rPr>
          <w:noProof/>
          <w:sz w:val="14"/>
          <w:szCs w:val="14"/>
        </w:rPr>
        <w:tab/>
      </w:r>
      <w:r>
        <w:rPr>
          <w:noProof/>
          <w:color w:val="000000"/>
          <w:szCs w:val="24"/>
        </w:rPr>
        <w:t>спешни мерки, въведени от компетентните органи на Обединеното кралство или от Обединеното кралство по отношение на Северна Ирландия, в отговор на извънредна ситуация в обществ</w:t>
      </w:r>
      <w:r>
        <w:rPr>
          <w:noProof/>
          <w:color w:val="000000"/>
          <w:szCs w:val="24"/>
        </w:rPr>
        <w:t>еното здраве</w:t>
      </w:r>
      <w:r>
        <w:rPr>
          <w:noProof/>
        </w:rPr>
        <w:t xml:space="preserve"> или в друга област, която има сериозно въздействие върху секторите на рибарството или аквакултурите; </w:t>
      </w:r>
    </w:p>
    <w:p w:rsidR="00761942" w:rsidRDefault="00EB3651">
      <w:pPr>
        <w:pStyle w:val="Point0"/>
        <w:rPr>
          <w:noProof/>
        </w:rPr>
      </w:pPr>
      <w:r>
        <w:rPr>
          <w:noProof/>
        </w:rPr>
        <w:t>д)</w:t>
      </w:r>
      <w:r>
        <w:rPr>
          <w:noProof/>
        </w:rPr>
        <w:tab/>
        <w:t xml:space="preserve">проучвателен риболов; </w:t>
      </w:r>
    </w:p>
    <w:p w:rsidR="00761942" w:rsidRDefault="00EB3651">
      <w:pPr>
        <w:pStyle w:val="Point0"/>
        <w:rPr>
          <w:noProof/>
        </w:rPr>
      </w:pPr>
      <w:r>
        <w:rPr>
          <w:noProof/>
        </w:rPr>
        <w:t>е)</w:t>
      </w:r>
      <w:r>
        <w:rPr>
          <w:noProof/>
        </w:rPr>
        <w:tab/>
        <w:t xml:space="preserve">прехвърляне на собствеността върху предприятие; както и </w:t>
      </w:r>
    </w:p>
    <w:p w:rsidR="00761942" w:rsidRDefault="00EB3651">
      <w:pPr>
        <w:pStyle w:val="Point0"/>
        <w:rPr>
          <w:noProof/>
        </w:rPr>
      </w:pPr>
      <w:r>
        <w:rPr>
          <w:noProof/>
        </w:rPr>
        <w:t>ж)</w:t>
      </w:r>
      <w:r>
        <w:rPr>
          <w:noProof/>
        </w:rPr>
        <w:tab/>
        <w:t xml:space="preserve">пряко зарибяване, освен ако не е предвидено в мерки </w:t>
      </w:r>
      <w:r>
        <w:rPr>
          <w:noProof/>
        </w:rPr>
        <w:t>на компетентните органи на Обединеното кралство или на Обединеното кралство по отношение на Северна Ирландия, за опазване на рибните запаси или морската екосистема, или в случай на експериментално зарибяване.</w:t>
      </w:r>
    </w:p>
    <w:p w:rsidR="00761942" w:rsidRDefault="00761942">
      <w:pPr>
        <w:spacing w:after="0"/>
        <w:rPr>
          <w:noProof/>
          <w:szCs w:val="24"/>
        </w:rPr>
      </w:pPr>
    </w:p>
    <w:p w:rsidR="00761942" w:rsidRDefault="00EB3651">
      <w:pPr>
        <w:spacing w:after="0"/>
        <w:rPr>
          <w:noProof/>
          <w:szCs w:val="24"/>
        </w:rPr>
      </w:pPr>
      <w:r>
        <w:rPr>
          <w:noProof/>
        </w:rPr>
        <w:t>Изключенията, предвидени в буква г), са обвърз</w:t>
      </w:r>
      <w:r>
        <w:rPr>
          <w:noProof/>
        </w:rPr>
        <w:t>ани с условието риболовните дейности, извършвани от риболовния кораб или от съответния рибар, да бъдат действително преустановени и финансирането да се предоставя за максимален срок от шест месеца на кораб.</w:t>
      </w:r>
    </w:p>
    <w:p w:rsidR="00761942" w:rsidRDefault="00761942">
      <w:pPr>
        <w:spacing w:before="0" w:after="0"/>
        <w:rPr>
          <w:noProof/>
          <w:szCs w:val="24"/>
        </w:rPr>
      </w:pPr>
    </w:p>
    <w:p w:rsidR="00761942" w:rsidRDefault="00EB3651">
      <w:pPr>
        <w:jc w:val="center"/>
        <w:rPr>
          <w:b/>
          <w:noProof/>
          <w:szCs w:val="24"/>
        </w:rPr>
      </w:pPr>
      <w:r>
        <w:rPr>
          <w:b/>
          <w:noProof/>
          <w:szCs w:val="24"/>
        </w:rPr>
        <w:t>Член 3</w:t>
      </w:r>
    </w:p>
    <w:p w:rsidR="00761942" w:rsidRDefault="00EB3651">
      <w:pPr>
        <w:jc w:val="center"/>
        <w:rPr>
          <w:i/>
          <w:noProof/>
          <w:szCs w:val="24"/>
        </w:rPr>
      </w:pPr>
      <w:r>
        <w:rPr>
          <w:i/>
          <w:noProof/>
          <w:szCs w:val="24"/>
        </w:rPr>
        <w:t>Минимален процент</w:t>
      </w:r>
    </w:p>
    <w:p w:rsidR="00761942" w:rsidRDefault="00761942">
      <w:pPr>
        <w:jc w:val="center"/>
        <w:rPr>
          <w:i/>
          <w:noProof/>
          <w:szCs w:val="24"/>
        </w:rPr>
      </w:pPr>
    </w:p>
    <w:p w:rsidR="00761942" w:rsidRDefault="00EB3651">
      <w:pPr>
        <w:rPr>
          <w:noProof/>
          <w:szCs w:val="24"/>
        </w:rPr>
      </w:pPr>
      <w:r>
        <w:rPr>
          <w:noProof/>
        </w:rPr>
        <w:t>Първоначалният минимал</w:t>
      </w:r>
      <w:r>
        <w:rPr>
          <w:noProof/>
        </w:rPr>
        <w:t>ен процент, посочен в член 10, параграф 2 от Протокола, се определя на 83 % и се прилага за сумите на общото годишно ниво на освободена помощ, посочено в член 1.</w:t>
      </w:r>
    </w:p>
    <w:p w:rsidR="00761942" w:rsidRDefault="00761942">
      <w:pPr>
        <w:jc w:val="center"/>
        <w:rPr>
          <w:b/>
          <w:noProof/>
          <w:szCs w:val="24"/>
        </w:rPr>
      </w:pPr>
    </w:p>
    <w:p w:rsidR="00761942" w:rsidRDefault="00EB3651">
      <w:pPr>
        <w:jc w:val="center"/>
        <w:rPr>
          <w:b/>
          <w:noProof/>
          <w:szCs w:val="24"/>
        </w:rPr>
      </w:pPr>
      <w:r>
        <w:rPr>
          <w:b/>
          <w:noProof/>
          <w:szCs w:val="24"/>
        </w:rPr>
        <w:t>Член 4</w:t>
      </w:r>
    </w:p>
    <w:p w:rsidR="00761942" w:rsidRDefault="00EB3651">
      <w:pPr>
        <w:jc w:val="center"/>
        <w:rPr>
          <w:b/>
          <w:noProof/>
          <w:szCs w:val="24"/>
        </w:rPr>
      </w:pPr>
      <w:r>
        <w:rPr>
          <w:b/>
          <w:noProof/>
          <w:szCs w:val="24"/>
        </w:rPr>
        <w:t xml:space="preserve">Преглед </w:t>
      </w:r>
    </w:p>
    <w:p w:rsidR="00761942" w:rsidRDefault="00761942">
      <w:pPr>
        <w:pBdr>
          <w:top w:val="nil"/>
          <w:left w:val="nil"/>
          <w:bottom w:val="nil"/>
          <w:right w:val="nil"/>
          <w:between w:val="nil"/>
        </w:pBdr>
        <w:spacing w:before="0" w:after="0"/>
        <w:ind w:left="720"/>
        <w:rPr>
          <w:noProof/>
          <w:color w:val="000000"/>
          <w:szCs w:val="24"/>
        </w:rPr>
      </w:pPr>
    </w:p>
    <w:p w:rsidR="00761942" w:rsidRDefault="00EB3651">
      <w:pPr>
        <w:spacing w:before="0" w:after="0"/>
        <w:ind w:left="357"/>
        <w:rPr>
          <w:noProof/>
          <w:spacing w:val="-6"/>
          <w:szCs w:val="24"/>
        </w:rPr>
      </w:pPr>
      <w:r>
        <w:rPr>
          <w:noProof/>
          <w:spacing w:val="-6"/>
        </w:rPr>
        <w:t xml:space="preserve">Съвместният комитет преразглежда редовно настоящото решение и неговото прилагане. </w:t>
      </w:r>
    </w:p>
    <w:p w:rsidR="00761942" w:rsidRDefault="00761942">
      <w:pPr>
        <w:pBdr>
          <w:top w:val="nil"/>
          <w:left w:val="nil"/>
          <w:bottom w:val="nil"/>
          <w:right w:val="nil"/>
          <w:between w:val="nil"/>
        </w:pBdr>
        <w:spacing w:before="0" w:after="0"/>
        <w:ind w:left="720"/>
        <w:rPr>
          <w:noProof/>
          <w:color w:val="000000"/>
          <w:szCs w:val="24"/>
        </w:rPr>
      </w:pPr>
    </w:p>
    <w:p w:rsidR="00761942" w:rsidRDefault="00EB3651">
      <w:pPr>
        <w:jc w:val="center"/>
        <w:rPr>
          <w:b/>
          <w:noProof/>
          <w:szCs w:val="24"/>
        </w:rPr>
      </w:pPr>
      <w:r>
        <w:rPr>
          <w:b/>
          <w:noProof/>
          <w:szCs w:val="24"/>
        </w:rPr>
        <w:t>Член 5</w:t>
      </w:r>
    </w:p>
    <w:p w:rsidR="00761942" w:rsidRDefault="00EB3651">
      <w:pPr>
        <w:jc w:val="center"/>
        <w:rPr>
          <w:i/>
          <w:noProof/>
          <w:szCs w:val="24"/>
        </w:rPr>
      </w:pPr>
      <w:r>
        <w:rPr>
          <w:i/>
          <w:noProof/>
          <w:szCs w:val="24"/>
        </w:rPr>
        <w:t xml:space="preserve">Влизане в сила </w:t>
      </w:r>
    </w:p>
    <w:p w:rsidR="00761942" w:rsidRDefault="00761942">
      <w:pPr>
        <w:jc w:val="center"/>
        <w:rPr>
          <w:i/>
          <w:noProof/>
          <w:szCs w:val="24"/>
        </w:rPr>
      </w:pPr>
    </w:p>
    <w:p w:rsidR="00761942" w:rsidRDefault="00EB3651">
      <w:pPr>
        <w:ind w:left="360"/>
        <w:rPr>
          <w:noProof/>
          <w:szCs w:val="24"/>
        </w:rPr>
      </w:pPr>
      <w:r>
        <w:rPr>
          <w:noProof/>
        </w:rPr>
        <w:t>Настоящото решение влиза в сила на 1 януари 2021 г.</w:t>
      </w:r>
    </w:p>
    <w:p w:rsidR="00761942" w:rsidRDefault="00761942">
      <w:pPr>
        <w:ind w:left="360"/>
        <w:rPr>
          <w:noProof/>
          <w:szCs w:val="24"/>
        </w:rPr>
      </w:pPr>
    </w:p>
    <w:p w:rsidR="00761942" w:rsidRDefault="00761942">
      <w:pPr>
        <w:rPr>
          <w:rFonts w:eastAsia="Times New Roman"/>
          <w:noProof/>
          <w:szCs w:val="24"/>
        </w:rPr>
      </w:pPr>
    </w:p>
    <w:p w:rsidR="00761942" w:rsidRDefault="00EB3651">
      <w:pPr>
        <w:rPr>
          <w:noProof/>
        </w:rPr>
      </w:pPr>
      <w:r>
        <w:rPr>
          <w:noProof/>
        </w:rPr>
        <w:t>Съставено в Брюксел на […] година.</w:t>
      </w:r>
    </w:p>
    <w:p w:rsidR="00761942" w:rsidRDefault="00761942">
      <w:pPr>
        <w:rPr>
          <w:noProof/>
        </w:rPr>
      </w:pPr>
    </w:p>
    <w:p w:rsidR="00761942" w:rsidRDefault="00761942">
      <w:pPr>
        <w:rPr>
          <w:rFonts w:eastAsia="Times New Roman"/>
          <w:noProof/>
          <w:szCs w:val="24"/>
        </w:rPr>
      </w:pPr>
    </w:p>
    <w:p w:rsidR="00761942" w:rsidRDefault="00EB3651">
      <w:pPr>
        <w:spacing w:before="60" w:after="60"/>
        <w:jc w:val="center"/>
        <w:rPr>
          <w:rFonts w:eastAsia="Times New Roman"/>
          <w:noProof/>
          <w:szCs w:val="24"/>
        </w:rPr>
      </w:pPr>
      <w:r>
        <w:rPr>
          <w:i/>
          <w:noProof/>
          <w:szCs w:val="24"/>
        </w:rPr>
        <w:t>За Съвместния комитет</w:t>
      </w:r>
      <w:r>
        <w:rPr>
          <w:noProof/>
        </w:rPr>
        <w:t xml:space="preserve"> </w:t>
      </w:r>
    </w:p>
    <w:p w:rsidR="00761942" w:rsidRDefault="00EB3651">
      <w:pPr>
        <w:spacing w:before="60" w:after="60"/>
        <w:jc w:val="center"/>
        <w:rPr>
          <w:noProof/>
        </w:rPr>
      </w:pPr>
      <w:r>
        <w:rPr>
          <w:i/>
          <w:noProof/>
          <w:szCs w:val="24"/>
        </w:rPr>
        <w:t>Съпредседатели</w:t>
      </w:r>
    </w:p>
    <w:sectPr w:rsidR="00761942" w:rsidSect="00EB365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42" w:rsidRDefault="00EB3651">
      <w:pPr>
        <w:spacing w:before="0" w:after="0"/>
      </w:pPr>
      <w:r>
        <w:separator/>
      </w:r>
    </w:p>
  </w:endnote>
  <w:endnote w:type="continuationSeparator" w:id="0">
    <w:p w:rsidR="00761942" w:rsidRDefault="00EB3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2" w:rsidRPr="00EB3651" w:rsidRDefault="00EB3651" w:rsidP="00EB3651">
    <w:pPr>
      <w:pStyle w:val="Footer"/>
      <w:rPr>
        <w:rFonts w:ascii="Arial" w:hAnsi="Arial" w:cs="Arial"/>
        <w:b/>
        <w:sz w:val="48"/>
      </w:rPr>
    </w:pPr>
    <w:r w:rsidRPr="00EB3651">
      <w:rPr>
        <w:rFonts w:ascii="Arial" w:hAnsi="Arial" w:cs="Arial"/>
        <w:b/>
        <w:sz w:val="48"/>
      </w:rPr>
      <w:t>BG</w:t>
    </w:r>
    <w:r w:rsidRPr="00EB3651">
      <w:rPr>
        <w:rFonts w:ascii="Arial" w:hAnsi="Arial" w:cs="Arial"/>
        <w:b/>
        <w:sz w:val="48"/>
      </w:rPr>
      <w:tab/>
    </w:r>
    <w:r w:rsidRPr="00EB3651">
      <w:rPr>
        <w:rFonts w:ascii="Arial" w:hAnsi="Arial" w:cs="Arial"/>
        <w:b/>
        <w:sz w:val="48"/>
      </w:rPr>
      <w:tab/>
    </w:r>
    <w:r w:rsidRPr="00EB3651">
      <w:tab/>
    </w:r>
    <w:r w:rsidRPr="00EB365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Footer"/>
      <w:rPr>
        <w:rFonts w:ascii="Arial" w:hAnsi="Arial" w:cs="Arial"/>
        <w:b/>
        <w:sz w:val="48"/>
      </w:rPr>
    </w:pPr>
    <w:r w:rsidRPr="00EB3651">
      <w:rPr>
        <w:rFonts w:ascii="Arial" w:hAnsi="Arial" w:cs="Arial"/>
        <w:b/>
        <w:sz w:val="48"/>
      </w:rPr>
      <w:t>BG</w:t>
    </w:r>
    <w:r w:rsidRPr="00EB365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EB3651">
      <w:tab/>
    </w:r>
    <w:r w:rsidRPr="00EB3651">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42" w:rsidRDefault="00EB3651">
      <w:pPr>
        <w:spacing w:before="0" w:after="0"/>
      </w:pPr>
      <w:r>
        <w:separator/>
      </w:r>
    </w:p>
  </w:footnote>
  <w:footnote w:type="continuationSeparator" w:id="0">
    <w:p w:rsidR="00761942" w:rsidRDefault="00EB3651">
      <w:pPr>
        <w:spacing w:before="0" w:after="0"/>
      </w:pPr>
      <w:r>
        <w:continuationSeparator/>
      </w:r>
    </w:p>
  </w:footnote>
  <w:footnote w:id="1">
    <w:p w:rsidR="00761942" w:rsidRDefault="00EB3651">
      <w:pPr>
        <w:pStyle w:val="FootnoteText"/>
      </w:pPr>
      <w:r>
        <w:rPr>
          <w:rStyle w:val="FootnoteReference"/>
        </w:rPr>
        <w:footnoteRef/>
      </w:r>
      <w:r>
        <w:tab/>
        <w:t xml:space="preserve">За целите на представянето на всички изчисления и количества, посочени в британски лири (GBP) в настоящото решение, в евро, следва да се използва обменният курс за директни плащания за 2019 г. (1 EUR = 0,89092 GBP). </w:t>
      </w:r>
    </w:p>
  </w:footnote>
  <w:footnote w:id="2">
    <w:p w:rsidR="00761942" w:rsidRDefault="00EB3651">
      <w:pPr>
        <w:pBdr>
          <w:top w:val="nil"/>
          <w:left w:val="nil"/>
          <w:bottom w:val="nil"/>
          <w:right w:val="nil"/>
          <w:between w:val="nil"/>
        </w:pBdr>
        <w:spacing w:after="0"/>
        <w:rPr>
          <w:color w:val="000000"/>
          <w:sz w:val="20"/>
          <w:szCs w:val="20"/>
        </w:rPr>
      </w:pPr>
      <w:r>
        <w:rPr>
          <w:rStyle w:val="FootnoteReference"/>
        </w:rPr>
        <w:footnoteRef/>
      </w:r>
      <w:r>
        <w:tab/>
      </w:r>
      <w:r>
        <w:rPr>
          <w:color w:val="000000"/>
          <w:sz w:val="20"/>
          <w:szCs w:val="20"/>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w:t>
      </w:r>
      <w:r>
        <w:rPr>
          <w:color w:val="000000"/>
          <w:sz w:val="20"/>
          <w:szCs w:val="20"/>
        </w:rPr>
        <w:t>7 | (ОВ L 347, 20.12.2013 г., стp. 671).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1" w:rsidRPr="00EB3651" w:rsidRDefault="00EB3651" w:rsidP="00EB3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9EE81A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5A85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77A195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9AC5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DF8FF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B04C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FC8023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F0CD11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7:13: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1"/>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COM(2020) 835 final of 10.12.2020 downgraded on 27.1.2021"/>
    <w:docVar w:name="LW_COVERPAGE_EXISTS" w:val="True"/>
    <w:docVar w:name="LW_COVERPAGE_GUID" w:val="E029F796-154F-4E82-88DA-A9E9CA4FA3FE"/>
    <w:docVar w:name="LW_COVERPAGE_TYPE" w:val="1"/>
    <w:docVar w:name="LW_CROSSREFERENCE" w:val="&lt;UNUSED&gt;"/>
    <w:docVar w:name="LW_DocType" w:val="ANNEX"/>
    <w:docVar w:name="LW_EMISSION" w:val="27.1.2021"/>
    <w:docVar w:name="LW_EMISSION_ISODATE" w:val="2021-01-27"/>
    <w:docVar w:name="LW_EMISSION_LOCATION" w:val="BRX"/>
    <w:docVar w:name="LW_EMISSION_PREFIX" w:val="\u1041?\u1088?\u1102?\u1082?\u1089?\u1077?\u1083?, "/>
    <w:docVar w:name="LW_EMISSION_SUFFIX" w:val=" \u1075?."/>
    <w:docVar w:name="LW_ID_DOCSTRUCTURE" w:val="COM/ANNEX"/>
    <w:docVar w:name="LW_ID_DOCTYPE" w:val="SG-017"/>
    <w:docVar w:name="LW_INSERT_TEXTE.ACTE" w:val="1"/>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gt;\u1074? \u1089?\u1098?\u1086?\u1090?\u1074?\u1077?\u1090?\u1089?\u1090?\u1074?\u1080?\u1077? \u1089? \u1095?\u1083?\u1077?\u1085? 218, \u1087?\u1072?\u1088?\u1072?\u1075?\u1088?\u1072?\u1092? 9 \u1086?\u1090? \u1044?\u1060?\u1045?\u1057? \u1086?\u1090?\u1085?\u1086?\u1089?\u1085?\u1086? \u1087?\u1086?\u1079?\u1080?\u1094?\u1080?\u1103?\u1090?\u1072? \u1085?\u1072? \u1057?\u1098?\u1102?\u1079?\u1072? \u1074?\u1098?\u1074? \u1074?\u1088?\u1098?\u1079?\u1082?\u1072? \u1089? \u1087?\u1088?\u1086?\u1077?\u1082?\u1090?\u1072? \u1085?\u1072? \u1087?\u1088?\u1077?\u1076?\u1083?\u1086?\u1078?\u1077?\u1085?\u1080?\u1077? \u1079?\u1072? \u1056?\u1077?\u1096?\u1077?\u1085?\u1080?\u1077? \u1085?\u1072? \u1057?\u1098?\u1074?\u1084?\u1077?\u1089?\u1090?\u1085?\u1080?\u1103? \u1082?\u1086?\u1084?\u1080?\u1090?\u1077?\u1090? \u1086?\u1090?\u1085?\u1086?\u1089?\u1085?\u1086? \u1089?\u1077?\u1083?\u1089?\u1082?\u1086?\u1089?\u1090?\u1086?\u1087?\u1072?\u1085?\u1089?\u1082?\u1080?\u1090?\u1077? \u1089?\u1091?\u1073?\u1089?\u1080?\u1076?\u1080?\u1080?&lt;/FMT&gt;"/>
    <w:docVar w:name="LW_OBJETACTEPRINCIPAL.CP" w:val="&lt;FMT:Font=Calibri&gt;\u1074? \u1089?\u1098?\u1086?\u1090?\u1074?\u1077?\u1090?\u1089?\u1090?\u1074?\u1080?\u1077? \u1089? \u1095?\u1083?\u1077?\u1085? 218, \u1087?\u1072?\u1088?\u1072?\u1075?\u1088?\u1072?\u1092? 9 \u1086?\u1090? \u1044?\u1060?\u1045?\u1057? \u1086?\u1090?\u1085?\u1086?\u1089?\u1085?\u1086? \u1087?\u1086?\u1079?\u1080?\u1094?\u1080?\u1103?\u1090?\u1072? \u1085?\u1072? \u1057?\u1098?\u1102?\u1079?\u1072? \u1074?\u1098?\u1074? \u1074?\u1088?\u1098?\u1079?\u1082?\u1072? \u1089? \u1087?\u1088?\u1086?\u1077?\u1082?\u1090?\u1072? \u1085?\u1072? \u1087?\u1088?\u1077?\u1076?\u1083?\u1086?\u1078?\u1077?\u1085?\u1080?\u1077? \u1079?\u1072? \u1056?\u1077?\u1096?\u1077?\u1085?\u1080?\u1077? \u1085?\u1072? \u1057?\u1098?\u1074?\u1084?\u1077?\u1089?\u1090?\u1085?\u1080?\u1103? \u1082?\u1086?\u1084?\u1080?\u1090?\u1077?\u1090? \u1086?\u1090?\u1085?\u1086?\u1089?\u1085?\u1086? \u1089?\u1077?\u1083?\u1089?\u1082?\u1086?\u1089?\u1090?\u1086?\u1087?\u1072?\u1085?\u1089?\u1082?\u1080?\u1090?\u1077? \u1089?\u1091?\u1073?\u1089?\u1080?\u1076?\u1080?\u1080?&lt;/FMT&gt;"/>
    <w:docVar w:name="LW_PART_NBR" w:val="1"/>
    <w:docVar w:name="LW_PART_NBR_TOTAL" w:val="1"/>
    <w:docVar w:name="LW_REF.INST.NEW" w:val="COM"/>
    <w:docVar w:name="LW_REF.INST.NEW_ADOPTED" w:val="final/2"/>
    <w:docVar w:name="LW_REF.INST.NEW_TEXT" w:val="(2020)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w:rsids>
    <w:rsidRoot w:val="00761942"/>
    <w:rsid w:val="00761942"/>
    <w:rsid w:val="00EB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75BB605-FF66-40D0-8399-AAAA6EB4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rsid w:val="00EB3651"/>
    <w:pPr>
      <w:tabs>
        <w:tab w:val="center" w:pos="4535"/>
        <w:tab w:val="right" w:pos="9071"/>
      </w:tabs>
      <w:spacing w:before="0"/>
    </w:pPr>
  </w:style>
  <w:style w:type="character" w:customStyle="1" w:styleId="HeaderChar">
    <w:name w:val="Header Char"/>
    <w:basedOn w:val="DefaultParagraphFont"/>
    <w:link w:val="Header"/>
    <w:uiPriority w:val="99"/>
    <w:rsid w:val="00EB3651"/>
    <w:rPr>
      <w:rFonts w:ascii="Times New Roman" w:hAnsi="Times New Roman" w:cs="Times New Roman"/>
      <w:sz w:val="24"/>
    </w:rPr>
  </w:style>
  <w:style w:type="paragraph" w:styleId="Footer">
    <w:name w:val="footer"/>
    <w:basedOn w:val="Normal"/>
    <w:link w:val="FooterChar"/>
    <w:uiPriority w:val="99"/>
    <w:unhideWhenUsed/>
    <w:rsid w:val="00EB36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B3651"/>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B3651"/>
    <w:pPr>
      <w:tabs>
        <w:tab w:val="center" w:pos="7285"/>
        <w:tab w:val="right" w:pos="14003"/>
      </w:tabs>
      <w:spacing w:before="0"/>
    </w:pPr>
  </w:style>
  <w:style w:type="paragraph" w:customStyle="1" w:styleId="FooterLandscape">
    <w:name w:val="FooterLandscape"/>
    <w:basedOn w:val="Normal"/>
    <w:rsid w:val="00EB36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B36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B3651"/>
    <w:pPr>
      <w:spacing w:before="0"/>
      <w:jc w:val="right"/>
    </w:pPr>
    <w:rPr>
      <w:sz w:val="28"/>
    </w:rPr>
  </w:style>
  <w:style w:type="paragraph" w:customStyle="1" w:styleId="FooterSensitivity">
    <w:name w:val="Footer Sensitivity"/>
    <w:basedOn w:val="Normal"/>
    <w:rsid w:val="00EB36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1D5D-41E4-4BD7-AD8A-FB844BF5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15</TotalTime>
  <Pages>5</Pages>
  <Words>840</Words>
  <Characters>4791</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CAMUR Stelio (SG)</dc:creator>
  <cp:keywords/>
  <dc:description/>
  <cp:lastModifiedBy>BOLDIS Oana (SG)</cp:lastModifiedBy>
  <cp:revision>22</cp:revision>
  <dcterms:created xsi:type="dcterms:W3CDTF">2020-12-11T12:42:00Z</dcterms:created>
  <dcterms:modified xsi:type="dcterms:W3CDTF">2021-01-27T12:04:00Z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