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3C" w:rsidRDefault="003F6BB0" w:rsidP="003F6BB0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C97D8678-0B9F-431B-8204-35E74928769B" style="width:450.75pt;height:404.25pt">
            <v:imagedata r:id="rId8" o:title=""/>
          </v:shape>
        </w:pict>
      </w:r>
    </w:p>
    <w:p w:rsidR="00E06F3C" w:rsidRDefault="00E06F3C">
      <w:pPr>
        <w:rPr>
          <w:noProof/>
        </w:rPr>
        <w:sectPr w:rsidR="00E06F3C" w:rsidSect="003F6B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06F3C" w:rsidRDefault="003F6BB0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E06F3C" w:rsidRDefault="003F6BB0">
      <w:pPr>
        <w:pStyle w:val="ManualHeading1"/>
        <w:rPr>
          <w:rFonts w:eastAsia="Arial Unicode MS"/>
          <w:noProof/>
        </w:rPr>
      </w:pPr>
      <w:r>
        <w:rPr>
          <w:noProof/>
        </w:rPr>
        <w:t>1.</w:t>
      </w:r>
      <w:r>
        <w:rPr>
          <w:noProof/>
        </w:rPr>
        <w:tab/>
        <w:t>Предмет на предложението</w:t>
      </w:r>
    </w:p>
    <w:p w:rsidR="00E06F3C" w:rsidRDefault="003F6BB0">
      <w:pPr>
        <w:pStyle w:val="Text1"/>
        <w:rPr>
          <w:noProof/>
          <w:spacing w:val="-6"/>
        </w:rPr>
      </w:pPr>
      <w:r>
        <w:rPr>
          <w:noProof/>
          <w:spacing w:val="-6"/>
        </w:rPr>
        <w:t xml:space="preserve">Комисията предлага Съветът да одобри позицията, която да бъде приета от името на Съюза в рамките на </w:t>
      </w:r>
      <w:r>
        <w:rPr>
          <w:noProof/>
          <w:spacing w:val="-6"/>
        </w:rPr>
        <w:t>Съвместния комитет, създаден по силата на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(„Споразумението за оттегляне“), във връзка с решение на Съвместн</w:t>
      </w:r>
      <w:r>
        <w:rPr>
          <w:noProof/>
          <w:spacing w:val="-6"/>
        </w:rPr>
        <w:t>ия комитет за освобождаване в съответствие с член 10, параграф 2 от Протокола на селскостопанските субсидии, включително мерките в подкрепа на продукти от риболов и аквакултури, от прилагането на правилата на Съюза за държавна помощ, които се прилагат спря</w:t>
      </w:r>
      <w:r>
        <w:rPr>
          <w:noProof/>
          <w:spacing w:val="-6"/>
        </w:rPr>
        <w:t>мо Обединеното кралство и в Обединеното Кралство по отношение на Северна Ирландия в съответствие с член 10, параграф 1 от Протокола за Ирландия/Северна Ирландия към Споразумението за оттегляне (по-нататък „Протокола“). Съгласно член 10, параграф 2 във връз</w:t>
      </w:r>
      <w:r>
        <w:rPr>
          <w:noProof/>
          <w:spacing w:val="-6"/>
        </w:rPr>
        <w:t>ка с приложение 6 от Протокола с настоящото решение следва да се определят поне i) максималното общо годишно ниво на помощ и ii) минималният процент освободена помощ, отговаряща на изискванията на Споразумението на СТО („зелената кутия“), както е предвиден</w:t>
      </w:r>
      <w:r>
        <w:rPr>
          <w:noProof/>
          <w:spacing w:val="-6"/>
        </w:rPr>
        <w:t>о в член 10 от Протокола за Ирландия/Северна Ирландия („Протоколът“).</w:t>
      </w:r>
    </w:p>
    <w:p w:rsidR="00E06F3C" w:rsidRDefault="003F6BB0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Контекст на предложението</w:t>
      </w:r>
    </w:p>
    <w:p w:rsidR="00E06F3C" w:rsidRDefault="003F6BB0">
      <w:pPr>
        <w:pStyle w:val="Text1"/>
        <w:rPr>
          <w:noProof/>
          <w:spacing w:val="-4"/>
        </w:rPr>
      </w:pPr>
      <w:r>
        <w:rPr>
          <w:noProof/>
          <w:spacing w:val="-4"/>
        </w:rPr>
        <w:t>Съгласно член 10 от Протокола правилата на Съюза за държавната помощ, изброени в приложение 5 към Протокола, се прилагат за всички мерки на Обединеното кралс</w:t>
      </w:r>
      <w:r>
        <w:rPr>
          <w:noProof/>
          <w:spacing w:val="-4"/>
        </w:rPr>
        <w:t>тво в подкрепа на производството и търговията със селскостопански продукти в Северна Ирландия, ако тези мерки засягат търговията между Северна Ирландия и Съюза. Същевременно в него се предвижда мерките до определено максимално общо годишно ниво на помощ да</w:t>
      </w:r>
      <w:r>
        <w:rPr>
          <w:noProof/>
          <w:spacing w:val="-4"/>
        </w:rPr>
        <w:t xml:space="preserve"> бъдат освободени от прилагането на правото на Съюза, при условие че определен минимален процент от тази освободена помощ отговаря на разпоредбите на приложение 2 към Споразумението на СТО за селското стопанство.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В съответствие с приложение 6 към Протокола</w:t>
      </w:r>
      <w:r>
        <w:rPr>
          <w:noProof/>
        </w:rPr>
        <w:t xml:space="preserve"> Съвместният комитет следва да определи първоначалното максимално общо годишно ниво на освободена помощ и първоначалния минимален процент, като взема под внимание най-актуалните налични данни.</w:t>
      </w:r>
    </w:p>
    <w:p w:rsidR="00E06F3C" w:rsidRDefault="003F6BB0">
      <w:pPr>
        <w:pStyle w:val="Text1"/>
        <w:rPr>
          <w:noProof/>
          <w:spacing w:val="-4"/>
        </w:rPr>
      </w:pPr>
      <w:r>
        <w:rPr>
          <w:noProof/>
          <w:spacing w:val="-4"/>
        </w:rPr>
        <w:t>При определяне на първоначалното максимално общо годишно ниво н</w:t>
      </w:r>
      <w:r>
        <w:rPr>
          <w:noProof/>
          <w:spacing w:val="-4"/>
        </w:rPr>
        <w:t>а освободена помощ за селскостопанския сектор в Протокола се предвижда да се вземе предвид, наред с другото, структурата на бъдещата схема на Обединеното кралство за селскостопанско подпомагане, както и годишната средна стойност на общата сума на разходите</w:t>
      </w:r>
      <w:r>
        <w:rPr>
          <w:noProof/>
          <w:spacing w:val="-4"/>
        </w:rPr>
        <w:t>, извършени в Северна Ирландия в рамките на общата селскостопанска политика по настоящата МФР за периода 2014—2020 г.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 xml:space="preserve">При определяне на първоначалния минимален процент, приложим спрямо максималното общо годишно ниво на освободена помощ за селскостопанския </w:t>
      </w:r>
      <w:r>
        <w:rPr>
          <w:noProof/>
        </w:rPr>
        <w:t>сектор, в Протокола се предвижда да се вземе предвид, наред с другото, структурата на схемата на Обединеното кралство за селскостопанско подпомагане, както и оповестеният за съответния период процент, в който общите разходи по общата селскостопанска полити</w:t>
      </w:r>
      <w:r>
        <w:rPr>
          <w:noProof/>
        </w:rPr>
        <w:t>ка в Съюза са били в съответствие с разпоредбите на приложение 2 към Споразумението на СТО за селското стопанство.</w:t>
      </w:r>
    </w:p>
    <w:p w:rsidR="00E06F3C" w:rsidRDefault="003F6BB0">
      <w:pPr>
        <w:pStyle w:val="ManualHeading1"/>
        <w:rPr>
          <w:rFonts w:eastAsia="Arial Unicode MS"/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Позиция, която трябва да се заеме от името на Съюза</w:t>
      </w:r>
    </w:p>
    <w:p w:rsidR="00E06F3C" w:rsidRDefault="003F6BB0">
      <w:pPr>
        <w:pStyle w:val="ManualHeading2"/>
        <w:rPr>
          <w:noProof/>
        </w:rPr>
      </w:pPr>
      <w:r>
        <w:rPr>
          <w:noProof/>
        </w:rPr>
        <w:tab/>
        <w:t>Определяне на максималното общо годишно ниво на помощ и на минималния процент, отгова</w:t>
      </w:r>
      <w:r>
        <w:rPr>
          <w:noProof/>
        </w:rPr>
        <w:t>рящ на разпоредбите на приложение 2 към Споразумението на СТО за селското стопанство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Максималното общо годишно ниво на помощ се определя въз основа на разпределените средства за разходи по стълб I и стълб II в рамките на общата селскостопанска политика (ОС</w:t>
      </w:r>
      <w:r>
        <w:rPr>
          <w:noProof/>
        </w:rPr>
        <w:t>П).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За стълб I (Европейски фонд за гарантиране на земеделието (ЕФГЗ) съответното равнище на разходите е изчислено въз основа на два основни елемента: разпределените от Обединеното кралство средства за разходи за директни плащания, както и разходите, свърза</w:t>
      </w:r>
      <w:r>
        <w:rPr>
          <w:noProof/>
        </w:rPr>
        <w:t>ни с мерките за подкрепа на пазара, въз основа на годишните декларации за уравняване на сметките за финансовите години 2014—2019. Последните включват разходите, направени в рамките на общата организация на пазара (ООП) от разплащателната агенция на Обедине</w:t>
      </w:r>
      <w:r>
        <w:rPr>
          <w:noProof/>
        </w:rPr>
        <w:t>ното кралство за Северна Ирландия. При липсата на данни за сметките, които вече са уравнени за финансовата 2020 година, средната годишна сума е изчислена с оглед на периода 2014—2019 г., като общата сума е разделена на 6 години.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За стълб II (Европейски зем</w:t>
      </w:r>
      <w:r>
        <w:rPr>
          <w:noProof/>
        </w:rPr>
        <w:t>еделски фонд за развитие на селските райони (ЕЗФРСР) разглежданата сума се основава на средната разпределена сума за 7 години в одобрената програма за развитие на селските райони (включително допълнително национално финансиране и допълнително финансиране и</w:t>
      </w:r>
      <w:r>
        <w:rPr>
          <w:noProof/>
        </w:rPr>
        <w:t>звън обхвата на член 42 от Договора за функционирането на Европейския съюз).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За дадена година с тежка и непредвидена криза максималното общо годишно ниво на помощ следва да се увеличи.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Максималното ниво на освободена помощ за риболова се основава също така</w:t>
      </w:r>
      <w:r>
        <w:rPr>
          <w:noProof/>
        </w:rPr>
        <w:t xml:space="preserve"> на средните разходи по многогодишната финансова рамка (2014—2020 г.) и е определено като максимално ниво на помощта за петгодишен период с годишен таван.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За да се гарантира, че количественото освобождаване на определено ниво на помощ от прилагането на пра</w:t>
      </w:r>
      <w:r>
        <w:rPr>
          <w:noProof/>
        </w:rPr>
        <w:t xml:space="preserve">вилата на Съюза за държавната помощ не подкопава изискванията по същество относно подпомагането в сектора на риболова, установени в правото на Съюза, съвместното решение отразява критериите за допустимост по отношение на вида на подпомаганите операции, </w:t>
      </w:r>
      <w:r>
        <w:rPr>
          <w:b/>
          <w:noProof/>
        </w:rPr>
        <w:t>пре</w:t>
      </w:r>
      <w:r>
        <w:rPr>
          <w:b/>
          <w:noProof/>
        </w:rPr>
        <w:t>двидени</w:t>
      </w:r>
      <w:r>
        <w:rPr>
          <w:noProof/>
        </w:rPr>
        <w:t xml:space="preserve"> в правото на Съюза, като се изключва възможността някои операции да бъдат финансирани от освободената сума.</w:t>
      </w:r>
    </w:p>
    <w:p w:rsidR="00E06F3C" w:rsidRDefault="003F6BB0">
      <w:pPr>
        <w:pStyle w:val="Text1"/>
        <w:rPr>
          <w:noProof/>
        </w:rPr>
      </w:pPr>
      <w:r>
        <w:rPr>
          <w:b/>
          <w:noProof/>
        </w:rPr>
        <w:t>Минималният</w:t>
      </w:r>
      <w:r>
        <w:rPr>
          <w:noProof/>
        </w:rPr>
        <w:t xml:space="preserve"> процент на освободена помощ, която трябва да отговаря на разпоредбите на приложение 2 към Споразумението на СТО за селското стопанство, се основава на средния процент на отговарящата на изискванията помощ от ЕС. Процентът е изчислен въз основа на уведомле</w:t>
      </w:r>
      <w:r>
        <w:rPr>
          <w:noProof/>
        </w:rPr>
        <w:t>нията на ЕС за вътрешна подкрепа до СТО за бюджетните години 2014—2018 г. — последните години в рамките на текущата МФР, за които има уведомления (средна стойност за 5 години).</w:t>
      </w:r>
    </w:p>
    <w:p w:rsidR="00E06F3C" w:rsidRDefault="003F6BB0">
      <w:pPr>
        <w:pStyle w:val="ManualHeading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  <w:t>Правно основание</w:t>
      </w:r>
    </w:p>
    <w:p w:rsidR="00E06F3C" w:rsidRDefault="003F6BB0">
      <w:pPr>
        <w:pStyle w:val="ManualHeading2"/>
        <w:rPr>
          <w:noProof/>
        </w:rPr>
      </w:pPr>
      <w:r>
        <w:rPr>
          <w:noProof/>
        </w:rPr>
        <w:t>4.1.</w:t>
      </w:r>
      <w:r>
        <w:rPr>
          <w:noProof/>
        </w:rPr>
        <w:tab/>
        <w:t>Процесуалноправно основание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 xml:space="preserve">В член 218, параграф 9 от </w:t>
      </w:r>
      <w:r>
        <w:rPr>
          <w:noProof/>
        </w:rPr>
        <w:t>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</w:t>
      </w:r>
      <w:r>
        <w:rPr>
          <w:noProof/>
        </w:rPr>
        <w:t>тове с правно действие, с изключение на актовете за допълнение или изменение на институционалната рамка на споразумението“.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Решението, което Съвместният комитет има за задача да приеме, представлява акт с правно действие. Предвиденият акт ще бъде задължите</w:t>
      </w:r>
      <w:r>
        <w:rPr>
          <w:noProof/>
        </w:rPr>
        <w:t>лен за страните в съответствие с член 166 от Споразумението.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 w:rsidR="00E06F3C" w:rsidRDefault="003F6BB0">
      <w:pPr>
        <w:pStyle w:val="ManualHeading2"/>
        <w:rPr>
          <w:noProof/>
        </w:rPr>
      </w:pPr>
      <w:r>
        <w:rPr>
          <w:noProof/>
        </w:rPr>
        <w:t>4.2.</w:t>
      </w:r>
      <w:r>
        <w:rPr>
          <w:noProof/>
        </w:rPr>
        <w:tab/>
        <w:t>Материал</w:t>
      </w:r>
      <w:r>
        <w:rPr>
          <w:noProof/>
        </w:rPr>
        <w:t>ноправно основание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 xml:space="preserve">В решението относно „селскостопанските субсидии“ се определят условията за изпълнение на Споразумението за оттегляне, което беше сключено въз основа на член 50. Тъй като Протоколът за Северна Ирландия е търговско споразумение между ЕС и </w:t>
      </w:r>
      <w:r>
        <w:rPr>
          <w:noProof/>
        </w:rPr>
        <w:t>Обединеното кралство по отношение на Северна Ирландия, правното основание е също и член 207 от ДФЕС.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50 от ДЕС и член 207 от ДФЕС.</w:t>
      </w:r>
    </w:p>
    <w:p w:rsidR="00E06F3C" w:rsidRDefault="003F6BB0">
      <w:pPr>
        <w:pStyle w:val="ManualHeading2"/>
        <w:rPr>
          <w:noProof/>
        </w:rPr>
      </w:pPr>
      <w:r>
        <w:rPr>
          <w:noProof/>
        </w:rPr>
        <w:t>4.3.</w:t>
      </w:r>
      <w:r>
        <w:rPr>
          <w:noProof/>
        </w:rPr>
        <w:tab/>
        <w:t>Заключение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 xml:space="preserve">Правното основание за предложеното </w:t>
      </w:r>
      <w:r>
        <w:rPr>
          <w:noProof/>
        </w:rPr>
        <w:t>решение следва да бъдат член 50 от ДЕС и член 207 от ДФЕС във връзка с член 218, параграф 9 от ДФЕС.</w:t>
      </w:r>
    </w:p>
    <w:p w:rsidR="00E06F3C" w:rsidRDefault="003F6BB0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Публикуване на предвидения акт</w:t>
      </w:r>
    </w:p>
    <w:p w:rsidR="00E06F3C" w:rsidRDefault="003F6BB0">
      <w:pPr>
        <w:pStyle w:val="Text1"/>
        <w:rPr>
          <w:noProof/>
        </w:rPr>
      </w:pPr>
      <w:r>
        <w:rPr>
          <w:noProof/>
        </w:rPr>
        <w:t>Тъй като с решението на Съвместния комитет се прилагат някои разпоредби на Споразумението за оттегляне, е целесъобразно с</w:t>
      </w:r>
      <w:r>
        <w:rPr>
          <w:noProof/>
        </w:rPr>
        <w:t xml:space="preserve">лед приемането му то да бъде публикувано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 w:rsidR="00E06F3C" w:rsidRDefault="00E06F3C">
      <w:pPr>
        <w:rPr>
          <w:noProof/>
        </w:rPr>
        <w:sectPr w:rsidR="00E06F3C" w:rsidSect="003F6BB0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E06F3C" w:rsidRDefault="003F6BB0" w:rsidP="003F6BB0">
      <w:pPr>
        <w:pStyle w:val="Statut"/>
        <w:rPr>
          <w:noProof/>
        </w:rPr>
      </w:pPr>
      <w:r w:rsidRPr="003F6BB0">
        <w:lastRenderedPageBreak/>
        <w:t>Предложение за</w:t>
      </w:r>
    </w:p>
    <w:p w:rsidR="00E06F3C" w:rsidRDefault="003F6BB0" w:rsidP="003F6BB0">
      <w:pPr>
        <w:pStyle w:val="Typedudocument"/>
        <w:rPr>
          <w:noProof/>
        </w:rPr>
      </w:pPr>
      <w:r w:rsidRPr="003F6BB0">
        <w:t>РЕШЕНИЕ НА СЪВЕТА</w:t>
      </w:r>
    </w:p>
    <w:p w:rsidR="00E06F3C" w:rsidRDefault="003F6BB0" w:rsidP="003F6BB0">
      <w:pPr>
        <w:pStyle w:val="Titreobjet"/>
        <w:rPr>
          <w:noProof/>
        </w:rPr>
      </w:pPr>
      <w:r w:rsidRPr="003F6BB0">
        <w:t>съгласно член 218, параграф 9 от ДФЕС относно позицията, която трябва да се заеме от името на Европейския съюз в рамките на Съвместния комитет, създаден по силата на член 164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енергия, по отношение на селскостопанските субсидии</w:t>
      </w:r>
    </w:p>
    <w:p w:rsidR="00E06F3C" w:rsidRDefault="003F6BB0">
      <w:pPr>
        <w:pStyle w:val="Institutionquiagit"/>
        <w:rPr>
          <w:noProof/>
        </w:rPr>
      </w:pPr>
      <w:r>
        <w:rPr>
          <w:noProof/>
        </w:rPr>
        <w:t>С</w:t>
      </w:r>
      <w:r>
        <w:rPr>
          <w:noProof/>
        </w:rPr>
        <w:t>ЪВЕТЪТ НА ЕВРОПЕЙСКИЯ СЪЮЗ,</w:t>
      </w:r>
    </w:p>
    <w:p w:rsidR="00E06F3C" w:rsidRDefault="003F6BB0"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 50, параграф 2 от него,</w:t>
      </w:r>
    </w:p>
    <w:p w:rsidR="00E06F3C" w:rsidRDefault="003F6BB0">
      <w:pPr>
        <w:rPr>
          <w:i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във връзка с чл</w:t>
      </w:r>
      <w:r>
        <w:rPr>
          <w:noProof/>
        </w:rPr>
        <w:t>ен 218, параграф 9 от него,</w:t>
      </w:r>
    </w:p>
    <w:p w:rsidR="00E06F3C" w:rsidRDefault="003F6BB0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E06F3C" w:rsidRDefault="003F6BB0">
      <w:pPr>
        <w:rPr>
          <w:noProof/>
        </w:rPr>
      </w:pPr>
      <w:r>
        <w:rPr>
          <w:noProof/>
        </w:rPr>
        <w:t>като има предвид, че: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Споразумението за оттеглянето на Обединеното кралство Великобритания и Северна Ирландия от Европейския съюз и Европейската общност за атомна енерг</w:t>
      </w:r>
      <w:r>
        <w:rPr>
          <w:noProof/>
        </w:rPr>
        <w:t xml:space="preserve">ия („Споразумението за оттегляне“) беше сключено от Съюза с Решение </w:t>
      </w:r>
      <w:r>
        <w:rPr>
          <w:noProof/>
          <w:color w:val="000000"/>
          <w:szCs w:val="24"/>
        </w:rPr>
        <w:t>(ЕС) 2020/135 на Съвета</w:t>
      </w:r>
      <w:r>
        <w:rPr>
          <w:rStyle w:val="FootnoteReference"/>
          <w:noProof/>
          <w:color w:val="000000"/>
          <w:szCs w:val="24"/>
        </w:rPr>
        <w:footnoteReference w:id="1"/>
      </w:r>
      <w:r>
        <w:rPr>
          <w:noProof/>
        </w:rPr>
        <w:t xml:space="preserve"> от 30 януари 2020 г. и влезе в сила на 1 февруари 2020 г.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С член 166 от Споразумението за оттегляне Съвместният комитет се оправомощава да приема решения по вс</w:t>
      </w:r>
      <w:r>
        <w:rPr>
          <w:noProof/>
        </w:rPr>
        <w:t>ички въпроси, предвидени в Споразумението. Протоколът за Ирландия/Северна Ирландия към Споразумението за оттегляне (наричан по-нататък „Протоколът“) е неразделна част от това споразумение.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Съгласно член 10, параграф 1 от Протокола за Ирландия/Северна </w:t>
      </w:r>
      <w:r>
        <w:rPr>
          <w:noProof/>
        </w:rPr>
        <w:t xml:space="preserve">Ирландия мерките, предприети от Обединеното кралство в подкрепа на производството и търговията със селскостопански продукти в Северна Ирландия, включително подкрепата за продукти от риболов и аквакултури,, се подчиняват на правилата на Съюза за държавната </w:t>
      </w:r>
      <w:r>
        <w:rPr>
          <w:noProof/>
        </w:rPr>
        <w:t>помощ, изброени в приложение 5 към Протокола, когато тези мерки засягат търговията между Северна Ирландия и Съюза. Същевременно в член 10, параграф 2 се предвижда мерките до определено максимално общо годишно ниво на помощ да бъдат освободени от прилаганет</w:t>
      </w:r>
      <w:r>
        <w:rPr>
          <w:noProof/>
        </w:rPr>
        <w:t>о на правото на Съюза, при условие че определен минимален процент от освободената помощ отговаря на разпоредбите на приложение 2 към Споразумението на СТО за селското стопанство.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Максималното общо годишно ниво на помощ и минималният процент следва да с</w:t>
      </w:r>
      <w:r>
        <w:rPr>
          <w:noProof/>
        </w:rPr>
        <w:t>е определят, като се вземат предвид съображенията, изложени в приложение 6 към Протокола.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lastRenderedPageBreak/>
        <w:t>(5)</w:t>
      </w:r>
      <w:r>
        <w:rPr>
          <w:noProof/>
        </w:rPr>
        <w:tab/>
        <w:t>За целите на изчисляването на максималното общо годишно ниво на помощ за селскостопански продукти, различни от продукти от риболов и аквакултури, са взети предвид</w:t>
      </w:r>
      <w:r>
        <w:rPr>
          <w:noProof/>
        </w:rPr>
        <w:t xml:space="preserve"> средните разходи, направени и предвидени в Северна Ирландия по общата селскостопанска политика (ОСП) в рамките на настоящата МФР за периода 2014—2020 г.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 xml:space="preserve">За целите на определянето на минималния процент е взет предвид средният процент на помощта от ЕС, </w:t>
      </w:r>
      <w:r>
        <w:rPr>
          <w:noProof/>
        </w:rPr>
        <w:t>която отговаря на разпоредбите на приложение 2 към Споразумението на СТО за селското стопанство, съгласно уведомленията на ЕС за общата подкрепа до СТО за последните пет години в рамките на настоящата МФР.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Следователно максималното общо годишно ниво на</w:t>
      </w:r>
      <w:r>
        <w:rPr>
          <w:noProof/>
        </w:rPr>
        <w:t xml:space="preserve"> помощ следва да бъде определено на 429 милиона евро за субсидии в селскостопанския сектор.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За продуктите от риболов и аквакултури максималното ниво на помощ, основано на средните разходи по многогодишната финансова рамка на ЕС (2014—2020 г.), следва д</w:t>
      </w:r>
      <w:r>
        <w:rPr>
          <w:noProof/>
        </w:rPr>
        <w:t>а бъде определено на 19,5 милиона евро за период от пет години, с таван от 4,5 милиона евро за дадена година.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(9)</w:t>
      </w:r>
      <w:r>
        <w:rPr>
          <w:noProof/>
        </w:rPr>
        <w:tab/>
        <w:t>За да се избегне използването на освободената помощ за финансиране на операции, които иначе не отговарят на условията за подпомагане в сектора</w:t>
      </w:r>
      <w:r>
        <w:rPr>
          <w:noProof/>
        </w:rPr>
        <w:t xml:space="preserve"> на рибарството, решението на Съвместния комитет следва да отразява недопустимостта на някои операции, както са предвидени в правото на Съюза.</w:t>
      </w:r>
    </w:p>
    <w:p w:rsidR="00E06F3C" w:rsidRDefault="003F6BB0"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Поради това е целесъобразно да се определи позицията, която трябва да се заеме от името на Съюза в рамките н</w:t>
      </w:r>
      <w:r>
        <w:rPr>
          <w:noProof/>
        </w:rPr>
        <w:t>а Съвместния комитет,</w:t>
      </w:r>
    </w:p>
    <w:p w:rsidR="00E06F3C" w:rsidRDefault="003F6BB0"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 w:rsidR="00E06F3C" w:rsidRDefault="003F6BB0">
      <w:pPr>
        <w:pStyle w:val="Titrearticle"/>
        <w:rPr>
          <w:noProof/>
        </w:rPr>
      </w:pPr>
      <w:r>
        <w:rPr>
          <w:noProof/>
        </w:rPr>
        <w:t>Член 1</w:t>
      </w:r>
    </w:p>
    <w:p w:rsidR="00E06F3C" w:rsidRDefault="003F6BB0"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Съвместния комитет, създаден съгласно член 164 от Споразумението за оттегляне, във връзка с решение, което трябва да бъде взето в съотв</w:t>
      </w:r>
      <w:r>
        <w:rPr>
          <w:noProof/>
        </w:rPr>
        <w:t>етствие с член 10 от Протокола, се основава на проекта на решение на Съвместния комитет, приложен към настоящото решение.</w:t>
      </w:r>
    </w:p>
    <w:p w:rsidR="00E06F3C" w:rsidRDefault="003F6BB0">
      <w:pPr>
        <w:pStyle w:val="Titrearticle"/>
        <w:rPr>
          <w:noProof/>
        </w:rPr>
      </w:pPr>
      <w:r>
        <w:rPr>
          <w:noProof/>
        </w:rPr>
        <w:t>Член 2</w:t>
      </w:r>
    </w:p>
    <w:p w:rsidR="00E06F3C" w:rsidRDefault="003F6BB0">
      <w:pPr>
        <w:keepLines/>
        <w:rPr>
          <w:noProof/>
        </w:rPr>
      </w:pPr>
      <w:r>
        <w:rPr>
          <w:noProof/>
        </w:rPr>
        <w:t>Адресат на настоящото решение е Комисията.</w:t>
      </w:r>
    </w:p>
    <w:p w:rsidR="00E06F3C" w:rsidRDefault="003F6BB0" w:rsidP="003F6BB0">
      <w:pPr>
        <w:pStyle w:val="Fait"/>
        <w:rPr>
          <w:noProof/>
        </w:rPr>
      </w:pPr>
      <w:r w:rsidRPr="003F6BB0">
        <w:t xml:space="preserve">Съставено в Брюксел на </w:t>
      </w:r>
      <w:r w:rsidRPr="003F6BB0">
        <w:rPr>
          <w:rStyle w:val="Marker"/>
        </w:rPr>
        <w:t>[…]</w:t>
      </w:r>
      <w:r w:rsidRPr="003F6BB0">
        <w:t xml:space="preserve"> година.</w:t>
      </w:r>
    </w:p>
    <w:p w:rsidR="00E06F3C" w:rsidRDefault="003F6BB0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Съвета</w:t>
      </w:r>
    </w:p>
    <w:p w:rsidR="00E06F3C" w:rsidRDefault="003F6BB0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E06F3C" w:rsidSect="003F6BB0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3C" w:rsidRDefault="003F6BB0">
      <w:pPr>
        <w:spacing w:before="0" w:after="0"/>
      </w:pPr>
      <w:r>
        <w:separator/>
      </w:r>
    </w:p>
  </w:endnote>
  <w:endnote w:type="continuationSeparator" w:id="0">
    <w:p w:rsidR="00E06F3C" w:rsidRDefault="003F6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B0" w:rsidRPr="003F6BB0" w:rsidRDefault="003F6BB0" w:rsidP="003F6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3C" w:rsidRPr="003F6BB0" w:rsidRDefault="003F6BB0" w:rsidP="003F6BB0">
    <w:pPr>
      <w:pStyle w:val="Footer"/>
      <w:rPr>
        <w:rFonts w:ascii="Arial" w:hAnsi="Arial" w:cs="Arial"/>
        <w:b/>
        <w:sz w:val="48"/>
      </w:rPr>
    </w:pPr>
    <w:r w:rsidRPr="003F6BB0">
      <w:rPr>
        <w:rFonts w:ascii="Arial" w:hAnsi="Arial" w:cs="Arial"/>
        <w:b/>
        <w:sz w:val="48"/>
      </w:rPr>
      <w:t>BG</w:t>
    </w:r>
    <w:r w:rsidRPr="003F6BB0">
      <w:rPr>
        <w:rFonts w:ascii="Arial" w:hAnsi="Arial" w:cs="Arial"/>
        <w:b/>
        <w:sz w:val="48"/>
      </w:rPr>
      <w:tab/>
    </w:r>
    <w:r w:rsidRPr="003F6BB0">
      <w:rPr>
        <w:rFonts w:ascii="Arial" w:hAnsi="Arial" w:cs="Arial"/>
        <w:b/>
        <w:sz w:val="48"/>
      </w:rPr>
      <w:tab/>
    </w:r>
    <w:r w:rsidRPr="003F6BB0">
      <w:tab/>
    </w:r>
    <w:r w:rsidRPr="003F6BB0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B0" w:rsidRPr="003F6BB0" w:rsidRDefault="003F6BB0" w:rsidP="003F6B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3C" w:rsidRPr="003F6BB0" w:rsidRDefault="003F6BB0" w:rsidP="003F6BB0">
    <w:pPr>
      <w:pStyle w:val="Footer"/>
      <w:rPr>
        <w:rFonts w:ascii="Arial" w:hAnsi="Arial" w:cs="Arial"/>
        <w:b/>
        <w:sz w:val="48"/>
      </w:rPr>
    </w:pPr>
    <w:r w:rsidRPr="003F6BB0">
      <w:rPr>
        <w:rFonts w:ascii="Arial" w:hAnsi="Arial" w:cs="Arial"/>
        <w:b/>
        <w:sz w:val="48"/>
      </w:rPr>
      <w:t>BG</w:t>
    </w:r>
    <w:r w:rsidRPr="003F6BB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3F6BB0">
      <w:tab/>
    </w:r>
    <w:r w:rsidRPr="003F6BB0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B0" w:rsidRPr="003F6BB0" w:rsidRDefault="003F6BB0" w:rsidP="003F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3C" w:rsidRDefault="003F6BB0">
      <w:pPr>
        <w:spacing w:before="0" w:after="0"/>
      </w:pPr>
      <w:r>
        <w:separator/>
      </w:r>
    </w:p>
  </w:footnote>
  <w:footnote w:type="continuationSeparator" w:id="0">
    <w:p w:rsidR="00E06F3C" w:rsidRDefault="003F6BB0">
      <w:pPr>
        <w:spacing w:before="0" w:after="0"/>
      </w:pPr>
      <w:r>
        <w:continuationSeparator/>
      </w:r>
    </w:p>
  </w:footnote>
  <w:footnote w:id="1">
    <w:p w:rsidR="00E06F3C" w:rsidRDefault="003F6BB0">
      <w:pPr>
        <w:pStyle w:val="FootnoteText"/>
      </w:pPr>
      <w:r>
        <w:rPr>
          <w:rStyle w:val="FootnoteReference"/>
        </w:rPr>
        <w:footnoteRef/>
      </w:r>
      <w:r>
        <w:tab/>
        <w:t xml:space="preserve">ОВ L 29, 31.1.2020 </w:t>
      </w:r>
      <w:r>
        <w:t>г., стр.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B0" w:rsidRPr="003F6BB0" w:rsidRDefault="003F6BB0" w:rsidP="003F6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B0" w:rsidRPr="003F6BB0" w:rsidRDefault="003F6BB0" w:rsidP="003F6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B0" w:rsidRPr="003F6BB0" w:rsidRDefault="003F6BB0" w:rsidP="003F6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3ECAA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BB09F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F1E31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693461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CC653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12CF3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7EC34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62874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14 13:51:0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COM(2020) 835 final of 10.12.2020 downgraded on 27.1.2021"/>
    <w:docVar w:name="LW_COVERPAGE_EXISTS" w:val="True"/>
    <w:docVar w:name="LW_COVERPAGE_GUID" w:val="C97D8678-0B9F-431B-8204-35E74928769B"/>
    <w:docVar w:name="LW_COVERPAGE_TYPE" w:val="1"/>
    <w:docVar w:name="LW_CROSSREFERENCE" w:val="&lt;UNUSED&gt;"/>
    <w:docVar w:name="LW_DocType" w:val="COM"/>
    <w:docVar w:name="LW_EMISSION" w:val="27.1.2021"/>
    <w:docVar w:name="LW_EMISSION_ISODATE" w:val="2021-01-27"/>
    <w:docVar w:name="LW_EMISSION_LOCATION" w:val="BRX"/>
    <w:docVar w:name="LW_EMISSION_PREFIX" w:val="\u1041?\u1088?\u1102?\u1082?\u1089?\u1077?\u1083?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/2"/>
    <w:docVar w:name="LW_REF.INST.NEW_TEXT" w:val="(2020) 835 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9?\u1098?\u1075?\u1083?\u1072?\u1089?\u1085?\u1086? \u1095?\u1083?\u1077?\u1085? 218, \u1087?\u1072?\u1088?\u1072?\u1075?\u1088?\u1072?\u1092? 9 \u1086?\u1090? \u1044?\u1060?\u1045?\u1057? 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, \u1089?\u1098?\u1079?\u1076?\u1072?\u1076?\u1077?\u1085? \u1087?\u1086? \u1089?\u1080?\u1083?\u1072?\u1090?\u1072? \u1085?\u1072? \u1095?\u1083?\u1077?\u1085? 164 \u1086?\u1090? \u1057?\u1087?\u1086?\u1088?\u1072?\u1079?\u1091?\u1084?\u1077?\u1085?\u1080?\u1077?\u1090?\u1086? \u1079?\u1072? \u1086?\u1090?\u1090?\u1077?\u1075?\u1083?\u1103?\u1085?\u1077?\u1090?\u1086? \u1085?\u1072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6?\u1090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, \u1087?\u1086? \u1086?\u1090?\u1085?\u1086?\u1096?\u1077?\u1085?\u1080?\u1077? \u1085?\u1072? \u1089?\u1077?\u1083?\u1089?\u1082?\u1086?\u1089?\u1090?\u1086?\u1087?\u1072?\u1085?\u1089?\u1082?\u1080?\u1090?\u1077? \u1089?\u1091?\u1073?\u1089?\u1080?\u1076?\u1080?\u1080?"/>
    <w:docVar w:name="LW_TYPE.DOC.CP" w:val="\u1056?\u1045?\u1064?\u1045?\u1053?\u1048?\u1045? \u1053?\u1040? \u1057?\u1066?\u1042?\u1045?\u1058?\u1040?"/>
  </w:docVars>
  <w:rsids>
    <w:rsidRoot w:val="00E06F3C"/>
    <w:rsid w:val="003F6BB0"/>
    <w:rsid w:val="00E0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AA73FB3A-38CD-4C2C-B494-FEA38B3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6BB0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F6BB0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F6BB0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F6BB0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F6BB0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3F6BB0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F6B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3F6BB0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3F6B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F1C400-7D88-4305-9F78-A1ED4DAC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6</TotalTime>
  <Pages>6</Pages>
  <Words>1743</Words>
  <Characters>9975</Characters>
  <Application>Microsoft Office Word</Application>
  <DocSecurity>0</DocSecurity>
  <Lines>195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BOLDIS Oana (SG)</cp:lastModifiedBy>
  <cp:revision>37</cp:revision>
  <dcterms:created xsi:type="dcterms:W3CDTF">2020-12-12T08:33:00Z</dcterms:created>
  <dcterms:modified xsi:type="dcterms:W3CDTF">2021-01-27T12:02:00Z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Yellow (DQC version 03)</vt:lpwstr>
  </property>
</Properties>
</file>