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8B8263F-4FFC-45F7-B0BA-F5A90D9EE8B8" style="width:450.75pt;height:320.25pt">
            <v:imagedata r:id="rId8" o:title=""/>
          </v:shape>
        </w:pict>
      </w:r>
    </w:p>
    <w:bookmarkEnd w:id="0"/>
    <w:p>
      <w:pPr>
        <w:rPr>
          <w:noProof/>
          <w:lang w:val="en-GB"/>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line="240" w:lineRule="auto"/>
        <w:jc w:val="both"/>
        <w:rPr>
          <w:rFonts w:ascii="Times New Roman" w:hAnsi="Times New Roman" w:cs="Times New Roman"/>
          <w:noProof/>
          <w:sz w:val="24"/>
          <w:szCs w:val="24"/>
        </w:rPr>
      </w:pPr>
      <w:bookmarkStart w:id="1" w:name="_GoBack"/>
      <w:bookmarkEnd w:id="1"/>
      <w:r>
        <w:rPr>
          <w:rFonts w:ascii="Times New Roman" w:hAnsi="Times New Roman"/>
          <w:noProof/>
          <w:sz w:val="24"/>
          <w:szCs w:val="24"/>
        </w:rPr>
        <w:lastRenderedPageBreak/>
        <w:t>През май 2014 г. Европейският парламент и Съветът приеха</w:t>
      </w:r>
      <w:r>
        <w:rPr>
          <w:rStyle w:val="FootnoteReference"/>
          <w:rFonts w:ascii="Times New Roman" w:hAnsi="Times New Roman" w:cs="Times New Roman"/>
          <w:noProof/>
          <w:sz w:val="24"/>
          <w:szCs w:val="24"/>
          <w:lang w:val="en-US"/>
        </w:rPr>
        <w:footnoteReference w:id="1"/>
      </w:r>
      <w:r>
        <w:rPr>
          <w:rFonts w:ascii="Times New Roman" w:hAnsi="Times New Roman"/>
          <w:noProof/>
          <w:sz w:val="24"/>
          <w:szCs w:val="24"/>
        </w:rPr>
        <w:t xml:space="preserve"> операция за МФП в размер на 300 милиона евро в подкрепа на Тунис за справяне с кризата с платежния баланс (ПБ), която се влоши след Жасминовата революция през 2011 г. и последвалия политически и икономически преход. Помощта беше изплатена в пълен размер на три транша между май 2015 г. и юли 2017 г.</w:t>
      </w:r>
    </w:p>
    <w:p>
      <w:pPr>
        <w:pStyle w:val="Default"/>
        <w:jc w:val="both"/>
        <w:rPr>
          <w:noProof/>
          <w:color w:val="auto"/>
        </w:rPr>
      </w:pPr>
      <w:r>
        <w:rPr>
          <w:bCs/>
          <w:noProof/>
          <w:color w:val="auto"/>
        </w:rPr>
        <w:t>ICF, в сътрудничество с Cambridge Econometrics, беше избран за външен изпълнител, който да извърши последващата оценка на МФП–I в Тунис, на която се основава настоящият съпътстващ работен документ на службите на Комисията (SWD). Целта на външната оценка беше да прецени целесъобразността, ефикасността, ефективността, съгласуваността и добавената стойност за ЕС на операцията за МФП</w:t>
      </w:r>
      <w:r>
        <w:rPr>
          <w:noProof/>
          <w:color w:val="auto"/>
        </w:rPr>
        <w:t>. Социалното въздействие на програмата и нейният ефект върху устойчивостта на държавния дълг на Тунис също бяха проучени. Въпросната оценка се основава на доказателства, събрани чрез различни количествени и качествени изследователски техники, включително консултации с основните заинтересовани страни. Бяха установени редица методологични ограничения; те обаче не оказват въздействие върху общата надеждност на анализа на оценката. Установените рискове и ограничения бяха намалени чрез използване на широк спектър от източници, различни техники за оценка, алтернативни сценарии и множество отзиви.</w:t>
      </w:r>
    </w:p>
    <w:p>
      <w:pPr>
        <w:pStyle w:val="Default"/>
        <w:jc w:val="both"/>
        <w:rPr>
          <w:noProof/>
          <w:color w:val="auto"/>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Външната оценка и работният документ на службите на Комисията имат за цел (1) да предоставят информация за бъдещото използване на инструмента за МФП; и (2) да гарантират прозрачност и отчетност в съответствие с Финансовия регламент</w:t>
      </w:r>
      <w:r>
        <w:rPr>
          <w:rStyle w:val="FootnoteReference"/>
          <w:rFonts w:ascii="Times New Roman" w:hAnsi="Times New Roman" w:cs="Times New Roman"/>
          <w:noProof/>
          <w:sz w:val="24"/>
          <w:szCs w:val="24"/>
          <w:lang w:val="en-US"/>
        </w:rPr>
        <w:footnoteReference w:id="2"/>
      </w:r>
      <w:r>
        <w:rPr>
          <w:rFonts w:ascii="Times New Roman" w:hAnsi="Times New Roman"/>
          <w:noProof/>
          <w:sz w:val="24"/>
          <w:szCs w:val="24"/>
        </w:rPr>
        <w:t xml:space="preserve"> и решението за МФП за Тунис.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Оценката установи, че МФП-I е </w:t>
      </w:r>
      <w:r>
        <w:rPr>
          <w:rFonts w:ascii="Times New Roman" w:hAnsi="Times New Roman"/>
          <w:b/>
          <w:noProof/>
          <w:sz w:val="24"/>
          <w:szCs w:val="24"/>
        </w:rPr>
        <w:t>значима</w:t>
      </w:r>
      <w:r>
        <w:rPr>
          <w:rFonts w:ascii="Times New Roman" w:hAnsi="Times New Roman"/>
          <w:noProof/>
          <w:sz w:val="24"/>
          <w:szCs w:val="24"/>
        </w:rPr>
        <w:t xml:space="preserve"> от гледна точка на нейните цели, финансов пакет и структурни условия. Условията, с които е обвързана МФП обхванаха най-важните предизвикателства пред реформите в Тунис, а именно: данъчното облагане; управлението на публичните финанси; мрежата за социална закрила (МЗС); финансовия сектор; публичната статистическа система; търговията. Въпреки че страната успешно изпълни всички договорени условия за реформи, възникнаха трудности в областта на МЗС и търговските реформи. Външната оценка стигна до заключението, че увеличаването на капацитета на съответните тунизийски институции би допринесло за по-голям напредък по тези действия предвид предизвикателствата, пред които са изправени все още младите тунизийски институции по отношение на административните възможности и ангажираност в контекста на политическа нестабилност. Тази констатация също така подчерта нуждата от планирането на реформи по начин, който да осигури постижими цели, вземайки предвид нестабилния институционален контекст и фрагментирания политически пейзаж, които биха могли да забавят изпълнението на програмата за реформи, както бе наблюдавано в периода 2015–2017 г. Фактът, че много условия по МФП-I (в областта на данъчното облагане, управлението на публичните финанси, мрежата за социална закрила и финансовия сектор) впоследствие бяха доразвити като част от МФП-II, подчертава общото намерение на ЕС и правителството на Тунис да съсредоточат усилията си за постигане на стабилен напредък в тези ключови области на реформи.</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МФП-I </w:t>
      </w:r>
      <w:r>
        <w:rPr>
          <w:rFonts w:ascii="Times New Roman" w:hAnsi="Times New Roman"/>
          <w:b/>
          <w:noProof/>
          <w:sz w:val="24"/>
          <w:szCs w:val="24"/>
        </w:rPr>
        <w:t>ефективно</w:t>
      </w:r>
      <w:r>
        <w:rPr>
          <w:rFonts w:ascii="Times New Roman" w:hAnsi="Times New Roman"/>
          <w:noProof/>
          <w:sz w:val="24"/>
          <w:szCs w:val="24"/>
        </w:rPr>
        <w:t xml:space="preserve"> допринесе за подобряването на ПБ на Тунис и подпомогна фискалната консолидация чрез силно облекчени финансови и политически условия. МФП покри около 11,3 % от остатъчния недостиг на финансиране за периода 2015–2016 г. и повиши доверието в икономиката на Тунис (като намали разходите за финансиране от пазара и подпомогна стабилизирането на националната валута).</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МФП-I беше разработена и изпълнена </w:t>
      </w:r>
      <w:r>
        <w:rPr>
          <w:rFonts w:ascii="Times New Roman" w:hAnsi="Times New Roman"/>
          <w:b/>
          <w:bCs/>
          <w:noProof/>
          <w:sz w:val="24"/>
          <w:szCs w:val="24"/>
        </w:rPr>
        <w:t xml:space="preserve">ефективно </w:t>
      </w:r>
      <w:r>
        <w:rPr>
          <w:rFonts w:ascii="Times New Roman" w:hAnsi="Times New Roman"/>
          <w:bCs/>
          <w:noProof/>
          <w:sz w:val="24"/>
          <w:szCs w:val="24"/>
        </w:rPr>
        <w:t>и беше</w:t>
      </w:r>
      <w:r>
        <w:rPr>
          <w:rFonts w:ascii="Times New Roman" w:hAnsi="Times New Roman"/>
          <w:noProof/>
          <w:sz w:val="24"/>
          <w:szCs w:val="24"/>
        </w:rPr>
        <w:t xml:space="preserve"> </w:t>
      </w:r>
      <w:r>
        <w:rPr>
          <w:rFonts w:ascii="Times New Roman" w:hAnsi="Times New Roman"/>
          <w:b/>
          <w:noProof/>
          <w:sz w:val="24"/>
          <w:szCs w:val="24"/>
        </w:rPr>
        <w:t>съгласувана</w:t>
      </w:r>
      <w:r>
        <w:rPr>
          <w:rFonts w:ascii="Times New Roman" w:hAnsi="Times New Roman"/>
          <w:noProof/>
          <w:sz w:val="24"/>
          <w:szCs w:val="24"/>
        </w:rPr>
        <w:t xml:space="preserve"> с широката политическа рамка, ръководеща отношенията между ЕС и Тунис. Налице е също така висока степен на външна съгласуваност с намесите от други международни донори. МФП не само допринесе за „споделяне на тежестта“ с Международния валутен фонд (МВФ) и други донори във финансово отношение, но също така засили реформите, насърчавани от МВФ и Световната банка (СБ) чрез използването на кръстосана условност и допълнителни условия. Независимо от първоначалното намерение за намаляване на кръстосаната условност, оценката потвърди, че изборът усилията да бъдат концентрирани върху ключови области на реформи, макар че беше разгледан другаде, е успешен. Подобни съображения се насърчават при бъдещи намеси. </w:t>
      </w:r>
    </w:p>
    <w:p>
      <w:pPr>
        <w:pStyle w:val="Bullet1Space"/>
        <w:tabs>
          <w:tab w:val="clear" w:pos="283"/>
        </w:tabs>
        <w:ind w:left="0" w:firstLine="0"/>
        <w:jc w:val="both"/>
        <w:rPr>
          <w:rFonts w:ascii="Times New Roman" w:hAnsi="Times New Roman" w:cs="Times New Roman"/>
          <w:noProof/>
          <w:color w:val="auto"/>
          <w:sz w:val="24"/>
          <w:szCs w:val="24"/>
          <w:bdr w:val="none" w:sz="0" w:space="0" w:color="auto" w:frame="1"/>
        </w:rPr>
      </w:pPr>
      <w:r>
        <w:rPr>
          <w:rFonts w:ascii="Times New Roman" w:hAnsi="Times New Roman"/>
          <w:b/>
          <w:noProof/>
          <w:color w:val="auto"/>
          <w:sz w:val="24"/>
          <w:szCs w:val="24"/>
        </w:rPr>
        <w:t>Добавената стойност на ЕС</w:t>
      </w:r>
      <w:r>
        <w:rPr>
          <w:rFonts w:ascii="Times New Roman" w:hAnsi="Times New Roman"/>
          <w:noProof/>
          <w:color w:val="auto"/>
          <w:sz w:val="24"/>
          <w:szCs w:val="24"/>
        </w:rPr>
        <w:t xml:space="preserve"> се отнасяше главно до финансовите ползи за тунизийската икономика, като изключително облекчените условия на заемите по линия на МФП позволиха бюджетни икономии и постепенно коригиране на първичния публичен дефицит. </w:t>
      </w:r>
      <w:r>
        <w:rPr>
          <w:rFonts w:ascii="Times New Roman" w:hAnsi="Times New Roman"/>
          <w:noProof/>
          <w:color w:val="auto"/>
          <w:sz w:val="24"/>
          <w:szCs w:val="24"/>
          <w:bdr w:val="none" w:sz="0" w:space="0" w:color="auto" w:frame="1"/>
        </w:rPr>
        <w:t xml:space="preserve">В някои области на реформи МФП даде допълнителни гаранции за реформите, ръководени от МВФ (т.е. финансовия сектор) и Световната банка (т.е. реформите на МЗС), </w:t>
      </w:r>
      <w:r>
        <w:rPr>
          <w:rFonts w:ascii="Times New Roman" w:hAnsi="Times New Roman"/>
          <w:noProof/>
          <w:color w:val="auto"/>
          <w:sz w:val="24"/>
          <w:szCs w:val="24"/>
        </w:rPr>
        <w:t xml:space="preserve">като допринесе за трайната мобилизация на местните власти около тези проблеми. </w:t>
      </w:r>
      <w:r>
        <w:rPr>
          <w:rFonts w:ascii="Times New Roman" w:hAnsi="Times New Roman"/>
          <w:noProof/>
          <w:color w:val="auto"/>
          <w:sz w:val="24"/>
          <w:szCs w:val="24"/>
          <w:bdr w:val="none" w:sz="0" w:space="0" w:color="auto" w:frame="1"/>
        </w:rPr>
        <w:t xml:space="preserve">Освен това МФП-I беше единственият инструмент за подобряване на </w:t>
      </w:r>
      <w:r>
        <w:rPr>
          <w:rFonts w:ascii="Times New Roman" w:hAnsi="Times New Roman"/>
          <w:noProof/>
          <w:color w:val="auto"/>
          <w:sz w:val="24"/>
          <w:szCs w:val="24"/>
        </w:rPr>
        <w:t>опростената система за деклариране на данъка върху доходите</w:t>
      </w:r>
      <w:r>
        <w:rPr>
          <w:rFonts w:ascii="Times New Roman" w:hAnsi="Times New Roman"/>
          <w:noProof/>
          <w:color w:val="auto"/>
          <w:sz w:val="24"/>
          <w:szCs w:val="24"/>
          <w:bdr w:val="none" w:sz="0" w:space="0" w:color="auto" w:frame="1"/>
        </w:rPr>
        <w:t xml:space="preserve"> (</w:t>
      </w:r>
      <w:r>
        <w:rPr>
          <w:rFonts w:ascii="Times New Roman" w:hAnsi="Times New Roman"/>
          <w:i/>
          <w:noProof/>
          <w:color w:val="auto"/>
          <w:sz w:val="24"/>
          <w:szCs w:val="24"/>
          <w:bdr w:val="none" w:sz="0" w:space="0" w:color="auto" w:frame="1"/>
        </w:rPr>
        <w:t>regime forfaitaire</w:t>
      </w:r>
      <w:r>
        <w:rPr>
          <w:rFonts w:ascii="Times New Roman" w:hAnsi="Times New Roman"/>
          <w:noProof/>
          <w:color w:val="auto"/>
          <w:sz w:val="24"/>
          <w:szCs w:val="24"/>
          <w:bdr w:val="none" w:sz="0" w:space="0" w:color="auto" w:frame="1"/>
        </w:rPr>
        <w:t xml:space="preserve">). </w:t>
      </w:r>
    </w:p>
    <w:p>
      <w:pPr>
        <w:spacing w:after="120" w:line="240" w:lineRule="auto"/>
        <w:jc w:val="both"/>
        <w:rPr>
          <w:rFonts w:ascii="Times New Roman" w:hAnsi="Times New Roman" w:cs="Times New Roman"/>
          <w:noProof/>
          <w:sz w:val="24"/>
          <w:szCs w:val="24"/>
          <w:highlight w:val="yellow"/>
        </w:rPr>
      </w:pPr>
      <w:r>
        <w:rPr>
          <w:rFonts w:ascii="Times New Roman" w:hAnsi="Times New Roman"/>
          <w:noProof/>
          <w:sz w:val="24"/>
          <w:szCs w:val="24"/>
        </w:rPr>
        <w:t xml:space="preserve">Съпоставителен анализ на </w:t>
      </w:r>
      <w:r>
        <w:rPr>
          <w:rFonts w:ascii="Times New Roman" w:hAnsi="Times New Roman"/>
          <w:b/>
          <w:noProof/>
          <w:sz w:val="24"/>
          <w:szCs w:val="24"/>
        </w:rPr>
        <w:t xml:space="preserve">социалното въздействие </w:t>
      </w:r>
      <w:r>
        <w:rPr>
          <w:rFonts w:ascii="Times New Roman" w:hAnsi="Times New Roman"/>
          <w:noProof/>
          <w:sz w:val="24"/>
          <w:szCs w:val="24"/>
        </w:rPr>
        <w:t xml:space="preserve">на МФП показа, че ако не бе предоставена МФП, а подкрепата от МВФ бе продължила, косвените ефекти върху социалната ситуация в Тунис щяха да бъдат ограничени. МФП оказа по-силно въздействие чрез </w:t>
      </w:r>
      <w:r>
        <w:rPr>
          <w:rFonts w:ascii="Times New Roman" w:hAnsi="Times New Roman"/>
          <w:i/>
          <w:noProof/>
          <w:sz w:val="24"/>
          <w:szCs w:val="24"/>
        </w:rPr>
        <w:t>преки канали</w:t>
      </w:r>
      <w:r>
        <w:rPr>
          <w:rFonts w:ascii="Times New Roman" w:hAnsi="Times New Roman"/>
          <w:noProof/>
          <w:sz w:val="24"/>
          <w:szCs w:val="24"/>
        </w:rPr>
        <w:t>, а именно условията в Меморандума за разбирателство, свързани с реформите на мрежата за социална закрила.</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Накрая оценката установи, че МФП-I е оказала положителен ефект върху </w:t>
      </w:r>
      <w:r>
        <w:rPr>
          <w:rFonts w:ascii="Times New Roman" w:hAnsi="Times New Roman"/>
          <w:b/>
          <w:noProof/>
          <w:sz w:val="24"/>
          <w:szCs w:val="24"/>
        </w:rPr>
        <w:t xml:space="preserve">устойчивостта на държавния дълг на Тунис. </w:t>
      </w:r>
      <w:r>
        <w:rPr>
          <w:rFonts w:ascii="Times New Roman" w:hAnsi="Times New Roman"/>
          <w:noProof/>
          <w:sz w:val="24"/>
          <w:szCs w:val="24"/>
        </w:rPr>
        <w:t>Помощта даде възможност за бюджетни икономии в резултат на много благоприятните финансови условия на операцията и подпомогна плана за корекции на Тунис, като създаде фискално пространство за други реформи и за поддържането на социалните разходи. Но имайки предвид относително ограничения ѝ размер, едва ли липсата на МФП-I щеше да окаже значително въздействие върху устойчивостта на държавния дълг на Тунис.</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В заключение МФП-I беше важна за подпомагането на икономическото възстановяване на Тунис след Жасминовата революция през 2011 г. и последвалия политически преход, осигурявайки бюджетни икономии и финансови ползи, както и повишаване на доверието в частния сектор. Пакетът от условия за МФП беше изцяло съобразен със съответната програма на МВФ и имаше укрепващо политическо въздействие, което допринесе за мобилизирането на местните власти около ключови реформи, дори в области, които не са обхванати от други международни донорски програми. В работния документ на службите на Комисията, на който се основава настоящият доклад, се съдържа подробна и изчерпателна оценка на намесата чрез МФП. </w:t>
      </w: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26892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Решение № 534/2014/ЕС на Европейския парламент и на Съвета от 15 май 2014 г. за предоставяне на макрофинансова помощ на Република Тунис. Може да бъде намерено на следния адрес: </w:t>
      </w:r>
      <w:hyperlink r:id="rId1" w:history="1">
        <w:r>
          <w:rPr>
            <w:rStyle w:val="Hyperlink"/>
            <w:rFonts w:ascii="Times New Roman" w:hAnsi="Times New Roman"/>
            <w:color w:val="auto"/>
          </w:rPr>
          <w:t>https://eur-lex.europa.eu/legal-content/BG/TXT/HTML/?uri=CELEX:32014D0534&amp;from=EN</w:t>
        </w:r>
      </w:hyperlink>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color w:val="auto"/>
          </w:rPr>
          <w:t>https://eur-lex.europa.eu/legal-content/BG/TXT/?uri=CELEX%3A32018R1046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8B8263F-4FFC-45F7-B0BA-F5A90D9EE8B8"/>
    <w:docVar w:name="LW_COVERPAGE_TYPE" w:val="1"/>
    <w:docVar w:name="LW_CROSSREFERENCE" w:val="{SWD(2021) 8 final}"/>
    <w:docVar w:name="LW_DocType" w:val="NORMAL"/>
    <w:docVar w:name="LW_EMISSION" w:val="29.1.2021"/>
    <w:docVar w:name="LW_EMISSION_ISODATE" w:val="2021-01-29"/>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yr&gt;\u1054?\u1094?\u1077?\u1085?\u1082?\u1072? \u1085?\u1072? \u1088?\u1077?\u1096?\u1077?\u1085?\u1080?\u1077? \u8470? 534/2014/EC \u1085?\u1072? \u1045?\u1074?\u1088?\u1086?\u1087?\u1077?\u1081?\u1089?\u1082?\u1080?\u1103? \u1087?\u1072?\u1088?\u1083?\u1072?\u1084?\u1077?\u1085?\u1090? \u1080? \u1085?\u1072? \u1057?\u1098?\u1074?\u1077?\u1090?\u1072? \u1086?\u1090? 15 \u1084?\u1072?\u1081? 2014 \u1075?. \u1079?\u1072? \u1087?\u1088?\u1077?\u1076?\u1086?\u1089?\u1090?\u1072?\u1074?\u1103?\u1085?\u1077? \u1085?\u1072? \u1084?\u1072?\u1082?\u1088?\u1086?\u1092?\u1080?\u1085?\u1072?\u1085?\u1089?\u1086?\u1074?\u1072? \u1087?\u1086?\u1084?\u1086?\u1097? \u1085?\u1072? \u1058?\u1091?\u1085?\u1080?\u1089?&lt;/FMT&gt;"/>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Footnote Text Char Char Char Char,Footnote Text Char Char,Footnote Text Char Char Char Char Char,Footnote Text Char Char Char,Char,o"/>
    <w:basedOn w:val="Normal"/>
    <w:link w:val="FootnoteTextChar"/>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Footnote Text Char Char Char Char Char1,Footnote Text Char Char Char1,Char Char,o Char"/>
    <w:basedOn w:val="DefaultParagraphFont"/>
    <w:link w:val="FootnoteText"/>
    <w:rPr>
      <w:sz w:val="20"/>
      <w:szCs w:val="20"/>
      <w:lang w:val="bg-BG"/>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nhideWhenUsed/>
    <w:qFormat/>
    <w:rPr>
      <w:sz w:val="20"/>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BodyText">
    <w:name w:val="Body Text"/>
    <w:aliases w:val="Document,Doc,Body Text2,doc,Standard paragraph,BodyText,(Norm),Body Text 12,bt,gl,uvlaka 2,heading3,Body Text - Level 2,1body,BodText,body text,Body Txt,Body Text-10,Body Text Char2,Text Char1,Text,Τίτλος Μελέτης,- TF,b,F4 Main Text,-"/>
    <w:basedOn w:val="Normal"/>
    <w:link w:val="BodyTextChar"/>
    <w:uiPriority w:val="1"/>
    <w:qFormat/>
    <w:pPr>
      <w:spacing w:before="120" w:after="120" w:line="260" w:lineRule="atLeast"/>
      <w:ind w:left="851"/>
    </w:pPr>
    <w:rPr>
      <w:rFonts w:ascii="Arial" w:hAnsi="Arial" w:cs="Times New Roman"/>
      <w:szCs w:val="24"/>
    </w:r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1"/>
    <w:rPr>
      <w:rFonts w:ascii="Arial" w:hAnsi="Arial" w:cs="Times New Roman"/>
      <w:szCs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pPr>
      <w:spacing w:before="60" w:after="160" w:line="240" w:lineRule="exact"/>
    </w:pPr>
    <w:rPr>
      <w:sz w:val="20"/>
      <w:vertAlign w:val="superscript"/>
    </w:rPr>
  </w:style>
  <w:style w:type="paragraph" w:styleId="CommentSubject">
    <w:name w:val="annotation subject"/>
    <w:basedOn w:val="CommentText"/>
    <w:next w:val="CommentText"/>
    <w:link w:val="CommentSubjectChar"/>
    <w:uiPriority w:val="99"/>
    <w:semiHidden/>
    <w:unhideWhenUsed/>
    <w:rPr>
      <w:rFonts w:asciiTheme="minorHAnsi" w:hAnsiTheme="minorHAnsi"/>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bg-BG"/>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DefaultText">
    <w:name w:val="Default Text"/>
    <w:basedOn w:val="Normal"/>
    <w:link w:val="DefaultTextChar"/>
    <w:qFormat/>
    <w:pPr>
      <w:spacing w:after="0" w:line="280" w:lineRule="atLeast"/>
    </w:pPr>
    <w:rPr>
      <w:rFonts w:ascii="Arial" w:eastAsia="Times New Roman" w:hAnsi="Arial" w:cs="Times New Roman"/>
      <w:sz w:val="18"/>
      <w:szCs w:val="24"/>
      <w:lang w:eastAsia="nl-NL"/>
    </w:rPr>
  </w:style>
  <w:style w:type="character" w:customStyle="1" w:styleId="DefaultTextChar">
    <w:name w:val="Default Text Char"/>
    <w:basedOn w:val="DefaultParagraphFont"/>
    <w:link w:val="DefaultText"/>
    <w:rPr>
      <w:rFonts w:ascii="Arial" w:eastAsia="Times New Roman" w:hAnsi="Arial" w:cs="Times New Roman"/>
      <w:sz w:val="18"/>
      <w:szCs w:val="24"/>
      <w:lang w:eastAsia="nl-NL"/>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pPr>
      <w:spacing w:before="30" w:after="160" w:line="240" w:lineRule="exact"/>
      <w:jc w:val="both"/>
    </w:pPr>
    <w:rPr>
      <w:sz w:val="20"/>
      <w:vertAlign w:val="superscript"/>
    </w:rPr>
  </w:style>
  <w:style w:type="paragraph" w:customStyle="1" w:styleId="Bullet1Space">
    <w:name w:val="Bullet 1 Space"/>
    <w:aliases w:val="Bullet1Last,BTBullet1Last"/>
    <w:basedOn w:val="Normal"/>
    <w:link w:val="BTBullet1LastChar"/>
    <w:uiPriority w:val="6"/>
    <w:qFormat/>
    <w:pPr>
      <w:tabs>
        <w:tab w:val="num" w:pos="283"/>
      </w:tabs>
      <w:spacing w:before="120" w:after="120" w:line="240" w:lineRule="auto"/>
      <w:ind w:left="283" w:hanging="283"/>
    </w:pPr>
    <w:rPr>
      <w:rFonts w:ascii="Verdana" w:hAnsi="Verdana"/>
      <w:color w:val="000000" w:themeColor="text1"/>
      <w:sz w:val="20"/>
    </w:rPr>
  </w:style>
  <w:style w:type="character" w:customStyle="1" w:styleId="BTBullet1LastChar">
    <w:name w:val="BTBullet1Last Char"/>
    <w:link w:val="Bullet1Space"/>
    <w:uiPriority w:val="6"/>
    <w:locked/>
    <w:rPr>
      <w:rFonts w:ascii="Verdana" w:hAnsi="Verdana"/>
      <w:color w:val="000000" w:themeColor="text1"/>
      <w:sz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Footnote Text Char Char Char Char,Footnote Text Char Char,Footnote Text Char Char Char Char Char,Footnote Text Char Char Char,Char,o"/>
    <w:basedOn w:val="Normal"/>
    <w:link w:val="FootnoteTextChar"/>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Footnote Text Char Char Char Char Char1,Footnote Text Char Char Char1,Char Char,o Char"/>
    <w:basedOn w:val="DefaultParagraphFont"/>
    <w:link w:val="FootnoteText"/>
    <w:rPr>
      <w:sz w:val="20"/>
      <w:szCs w:val="20"/>
      <w:lang w:val="bg-BG"/>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nhideWhenUsed/>
    <w:qFormat/>
    <w:rPr>
      <w:sz w:val="20"/>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BodyText">
    <w:name w:val="Body Text"/>
    <w:aliases w:val="Document,Doc,Body Text2,doc,Standard paragraph,BodyText,(Norm),Body Text 12,bt,gl,uvlaka 2,heading3,Body Text - Level 2,1body,BodText,body text,Body Txt,Body Text-10,Body Text Char2,Text Char1,Text,Τίτλος Μελέτης,- TF,b,F4 Main Text,-"/>
    <w:basedOn w:val="Normal"/>
    <w:link w:val="BodyTextChar"/>
    <w:uiPriority w:val="1"/>
    <w:qFormat/>
    <w:pPr>
      <w:spacing w:before="120" w:after="120" w:line="260" w:lineRule="atLeast"/>
      <w:ind w:left="851"/>
    </w:pPr>
    <w:rPr>
      <w:rFonts w:ascii="Arial" w:hAnsi="Arial" w:cs="Times New Roman"/>
      <w:szCs w:val="24"/>
    </w:r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1"/>
    <w:rPr>
      <w:rFonts w:ascii="Arial" w:hAnsi="Arial" w:cs="Times New Roman"/>
      <w:szCs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pPr>
      <w:spacing w:before="60" w:after="160" w:line="240" w:lineRule="exact"/>
    </w:pPr>
    <w:rPr>
      <w:sz w:val="20"/>
      <w:vertAlign w:val="superscript"/>
    </w:rPr>
  </w:style>
  <w:style w:type="paragraph" w:styleId="CommentSubject">
    <w:name w:val="annotation subject"/>
    <w:basedOn w:val="CommentText"/>
    <w:next w:val="CommentText"/>
    <w:link w:val="CommentSubjectChar"/>
    <w:uiPriority w:val="99"/>
    <w:semiHidden/>
    <w:unhideWhenUsed/>
    <w:rPr>
      <w:rFonts w:asciiTheme="minorHAnsi" w:hAnsiTheme="minorHAnsi"/>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bg-BG"/>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DefaultText">
    <w:name w:val="Default Text"/>
    <w:basedOn w:val="Normal"/>
    <w:link w:val="DefaultTextChar"/>
    <w:qFormat/>
    <w:pPr>
      <w:spacing w:after="0" w:line="280" w:lineRule="atLeast"/>
    </w:pPr>
    <w:rPr>
      <w:rFonts w:ascii="Arial" w:eastAsia="Times New Roman" w:hAnsi="Arial" w:cs="Times New Roman"/>
      <w:sz w:val="18"/>
      <w:szCs w:val="24"/>
      <w:lang w:eastAsia="nl-NL"/>
    </w:rPr>
  </w:style>
  <w:style w:type="character" w:customStyle="1" w:styleId="DefaultTextChar">
    <w:name w:val="Default Text Char"/>
    <w:basedOn w:val="DefaultParagraphFont"/>
    <w:link w:val="DefaultText"/>
    <w:rPr>
      <w:rFonts w:ascii="Arial" w:eastAsia="Times New Roman" w:hAnsi="Arial" w:cs="Times New Roman"/>
      <w:sz w:val="18"/>
      <w:szCs w:val="24"/>
      <w:lang w:eastAsia="nl-NL"/>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pPr>
      <w:spacing w:before="30" w:after="160" w:line="240" w:lineRule="exact"/>
      <w:jc w:val="both"/>
    </w:pPr>
    <w:rPr>
      <w:sz w:val="20"/>
      <w:vertAlign w:val="superscript"/>
    </w:rPr>
  </w:style>
  <w:style w:type="paragraph" w:customStyle="1" w:styleId="Bullet1Space">
    <w:name w:val="Bullet 1 Space"/>
    <w:aliases w:val="Bullet1Last,BTBullet1Last"/>
    <w:basedOn w:val="Normal"/>
    <w:link w:val="BTBullet1LastChar"/>
    <w:uiPriority w:val="6"/>
    <w:qFormat/>
    <w:pPr>
      <w:tabs>
        <w:tab w:val="num" w:pos="283"/>
      </w:tabs>
      <w:spacing w:before="120" w:after="120" w:line="240" w:lineRule="auto"/>
      <w:ind w:left="283" w:hanging="283"/>
    </w:pPr>
    <w:rPr>
      <w:rFonts w:ascii="Verdana" w:hAnsi="Verdana"/>
      <w:color w:val="000000" w:themeColor="text1"/>
      <w:sz w:val="20"/>
    </w:rPr>
  </w:style>
  <w:style w:type="character" w:customStyle="1" w:styleId="BTBullet1LastChar">
    <w:name w:val="BTBullet1Last Char"/>
    <w:link w:val="Bullet1Space"/>
    <w:uiPriority w:val="6"/>
    <w:locked/>
    <w:rPr>
      <w:rFonts w:ascii="Verdana" w:hAnsi="Verdana"/>
      <w:color w:val="000000" w:themeColor="text1"/>
      <w:sz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5553">
      <w:bodyDiv w:val="1"/>
      <w:marLeft w:val="0"/>
      <w:marRight w:val="0"/>
      <w:marTop w:val="0"/>
      <w:marBottom w:val="0"/>
      <w:divBdr>
        <w:top w:val="none" w:sz="0" w:space="0" w:color="auto"/>
        <w:left w:val="none" w:sz="0" w:space="0" w:color="auto"/>
        <w:bottom w:val="none" w:sz="0" w:space="0" w:color="auto"/>
        <w:right w:val="none" w:sz="0" w:space="0" w:color="auto"/>
      </w:divBdr>
    </w:div>
    <w:div w:id="145301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BG/TXT/?uri=CELEX%3A32018R1046" TargetMode="External"/><Relationship Id="rId1" Type="http://schemas.openxmlformats.org/officeDocument/2006/relationships/hyperlink" Target="https://eur-lex.europa.eu/legal-content/BG/TXT/HTML/?uri=CELEX:32014D0534&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DDBCC21-20EF-4D85-8590-C154810B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922</Words>
  <Characters>5569</Characters>
  <Application>Microsoft Office Word</Application>
  <DocSecurity>0</DocSecurity>
  <Lines>91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17</cp:revision>
  <dcterms:created xsi:type="dcterms:W3CDTF">2021-01-21T09:46:00Z</dcterms:created>
  <dcterms:modified xsi:type="dcterms:W3CDTF">2021-01-26T06:35:00Z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 Build 20190717</vt:lpwstr>
  </property>
</Properties>
</file>