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0AD94E-71F4-4B60-A073-165375110632" style="width:450.55pt;height:422.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От десетилетия Евростат съставя европейската статистика за селското стопанство в ЕС. Днес тя обхваща следните аспекти: структурата на земеделските стопанства, икономическите сметки за селското стопанство, животновъдството и растениевъдството, биологичното земеделие, селскостопанските цени, пестицидите, хранителните вещества и други агроекологични аспекти. Основната цел е да се наблюдава и оценява общата селскостопанска политика (ОСП) и други важни политики на ЕС, както и да се подпомага процесът на създаване на политики.</w:t>
      </w:r>
    </w:p>
    <w:p>
      <w:pPr>
        <w:pBdr>
          <w:top w:val="nil"/>
          <w:left w:val="nil"/>
          <w:bottom w:val="nil"/>
          <w:right w:val="nil"/>
          <w:between w:val="nil"/>
          <w:bar w:val="nil"/>
        </w:pBdr>
        <w:spacing w:before="0" w:after="240"/>
        <w:rPr>
          <w:rFonts w:eastAsia="Arial Unicode MS"/>
          <w:noProof/>
        </w:rPr>
      </w:pPr>
      <w:r>
        <w:rPr>
          <w:noProof/>
        </w:rPr>
        <w:t>Събирането на тези данни беше оценено през 2016 г.</w:t>
      </w:r>
      <w:r>
        <w:rPr>
          <w:rStyle w:val="FootnoteReference"/>
          <w:noProof/>
        </w:rPr>
        <w:footnoteReference w:id="1"/>
      </w:r>
      <w:r>
        <w:rPr>
          <w:noProof/>
        </w:rPr>
        <w:t xml:space="preserve"> и се установи нужда от актуализация, за да се вземат предвид промените в селското стопанство, ОСП и други свързани политики на ЕС. „Стратегията за статистиката за селското стопанство за 2020 г. и след това“</w:t>
      </w:r>
      <w:r>
        <w:rPr>
          <w:rStyle w:val="FootnoteReference"/>
          <w:noProof/>
        </w:rPr>
        <w:footnoteReference w:id="2"/>
      </w:r>
      <w:r>
        <w:rPr>
          <w:noProof/>
        </w:rPr>
        <w:t xml:space="preserve"> е основна програма за модернизиране на статистиката за селското стопанство на Европейския съюз, предприето от Европейската комисия в тясно сътрудничество с държавите членки. С подкрепата на Комитета на Европейската статистическа система стратегията е част от Програмата за пригодност и резултатност на регулаторната рамка (REFIT) и има за цел да рационализира и подобри европейската система за статистика за селското стопанство (ЕСССС). Стратегията също така следва международни препоръки, като например насоките за докладване на емисиите на парникови газове на Междуправителствения комитет по изменение на климата и стандартите на Организацията на ООН за прехрана и земеделие, и с нея също така се изпълнява Глобалната стратегия на ООН за подобряване на статистиката за селското стопанство и селските райони.</w:t>
      </w:r>
    </w:p>
    <w:p>
      <w:pPr>
        <w:pBdr>
          <w:top w:val="nil"/>
          <w:left w:val="nil"/>
          <w:bottom w:val="nil"/>
          <w:right w:val="nil"/>
          <w:between w:val="nil"/>
          <w:bar w:val="nil"/>
        </w:pBdr>
        <w:spacing w:before="0" w:after="240"/>
        <w:rPr>
          <w:rFonts w:eastAsia="Arial Unicode MS"/>
          <w:noProof/>
        </w:rPr>
      </w:pPr>
      <w:r>
        <w:rPr>
          <w:noProof/>
        </w:rPr>
        <w:t xml:space="preserve">От икономическа гледна точка селското стопанство е относително малък сектор, но обхваща почти половината от сухоземната територия на ЕС и осигурява по-голямата част от храните, консумирани от гражданите му, като гарантира както безопасността на храните, така и продоволствената сигурност. То оказва голямо въздействие върху изменението на климата и околната среда и много селски общности зависят от този отрасъл. ЕС се нуждае от възможно най-точна информация за селското стопанство, която да му позволява да създава политики от полза за всички граждани на Европейския съюз и да разпределя значителния бюджет на ОСП и свързаните мерки по най-ефикасния и най-ефективния начин в множество направления. Освен това селското стопанство е в основата на Европейския зелен пакт, по-специално на неговата стратегия „От фермата до трапезата“. </w:t>
      </w:r>
    </w:p>
    <w:p>
      <w:pPr>
        <w:pBdr>
          <w:top w:val="nil"/>
          <w:left w:val="nil"/>
          <w:bottom w:val="nil"/>
          <w:right w:val="nil"/>
          <w:between w:val="nil"/>
          <w:bar w:val="nil"/>
        </w:pBdr>
        <w:spacing w:before="0" w:after="240"/>
        <w:rPr>
          <w:rFonts w:eastAsia="Arial Unicode MS"/>
          <w:noProof/>
        </w:rPr>
      </w:pPr>
      <w:r>
        <w:rPr>
          <w:noProof/>
        </w:rPr>
        <w:t xml:space="preserve">От първостепенно значение е да се гарантира, че гражданите на ЕС имат сигурен достъп до достатъчно храна с високо качество по всяко време. Това означава, че трябва да има събирани редовно статистически данни за площите и производството на различни култури, както и за животните и производните продукти. Селското стопанство също така оказва въздействие върху околната среда. Това не може да се оцени без информация за употребата на хранителни вещества и продукти за растителна </w:t>
      </w:r>
      <w:r>
        <w:rPr>
          <w:noProof/>
        </w:rPr>
        <w:lastRenderedPageBreak/>
        <w:t xml:space="preserve">защита. Резултатите на селскостопанския сектор като цяло могат да бъдат оценени чрез статистически данни за цените на селскостопанските влагани ресурси и продукция. Селското стопанство спомага за съхранение на селските райони и ландшафта в ЕС и за поддържане на жизнеспособността на икономиката в тези райони чрез създаване на работни места в предприятия, предоставящи стоки и услуги за отрасъла, хранително-вкусовата промишленост и свързаните сектори. Поради това статистиката за селското стопанство трябва да обхваща икономическото, екологичното и социалното измерение на този сектор. </w:t>
      </w:r>
    </w:p>
    <w:p>
      <w:pPr>
        <w:pBdr>
          <w:top w:val="nil"/>
          <w:left w:val="nil"/>
          <w:bottom w:val="nil"/>
          <w:right w:val="nil"/>
          <w:between w:val="nil"/>
          <w:bar w:val="nil"/>
        </w:pBdr>
        <w:spacing w:before="0" w:after="240"/>
        <w:rPr>
          <w:rFonts w:eastAsia="Arial Unicode MS"/>
          <w:noProof/>
        </w:rPr>
      </w:pPr>
      <w:r>
        <w:rPr>
          <w:noProof/>
        </w:rPr>
        <w:t xml:space="preserve">Евростат предоставя статистически данни за растениевъдството и животновъдството от 50-те на ХХ в. и впоследствие добави статистическите данни за селскостопанските цени, за структурата на земеделските стопанства, за хранителните вещества и за продуктите за растителна защита. Тези статистически данни са регламентирани в често актуализираното европейско законодателство или чрез неформални споразумения и споразумения в рамките на Европейската статистическа система (ЕСС). В оценката на настоящата система за статистиката за селското стопанство настоятелно се препоръчва да се възприеме систематичен подход за цялата система. </w:t>
      </w:r>
    </w:p>
    <w:p>
      <w:pPr>
        <w:pBdr>
          <w:top w:val="nil"/>
          <w:left w:val="nil"/>
          <w:bottom w:val="nil"/>
          <w:right w:val="nil"/>
          <w:between w:val="nil"/>
          <w:bar w:val="nil"/>
        </w:pBdr>
        <w:spacing w:before="0" w:after="240"/>
        <w:rPr>
          <w:rFonts w:eastAsia="Arial Unicode MS"/>
          <w:noProof/>
        </w:rPr>
      </w:pPr>
      <w:r>
        <w:rPr>
          <w:noProof/>
        </w:rPr>
        <w:t>Най-осъществимите варианти, анализирани в оценката на въздействието и впоследствие предложени за изпълнение, бяха обхващането на всички статистически данни за селското стопанство от три регламента на Европейския парламент и на Съвета относно:</w:t>
      </w:r>
    </w:p>
    <w:p>
      <w:pPr>
        <w:pStyle w:val="Bullet0"/>
        <w:numPr>
          <w:ilvl w:val="0"/>
          <w:numId w:val="18"/>
        </w:numPr>
        <w:rPr>
          <w:noProof/>
        </w:rPr>
      </w:pPr>
      <w:r>
        <w:rPr>
          <w:noProof/>
        </w:rPr>
        <w:t xml:space="preserve">данните на равнището на земеделското стопанство с предаване на микроданни, базирани на модулен подход с основни променливи, модули и свързани аспекти; </w:t>
      </w:r>
    </w:p>
    <w:p>
      <w:pPr>
        <w:pStyle w:val="Bullet0"/>
        <w:rPr>
          <w:noProof/>
        </w:rPr>
      </w:pPr>
      <w:r>
        <w:rPr>
          <w:noProof/>
        </w:rPr>
        <w:t xml:space="preserve">икономическите сметки за селското стопанство и </w:t>
      </w:r>
    </w:p>
    <w:p>
      <w:pPr>
        <w:pStyle w:val="Bullet0"/>
        <w:rPr>
          <w:noProof/>
        </w:rPr>
      </w:pPr>
      <w:r>
        <w:rPr>
          <w:noProof/>
        </w:rPr>
        <w:t>агрегираните статистически данни за селскостопанските влагани ресурси и продукция в табличен вид.</w:t>
      </w:r>
    </w:p>
    <w:p>
      <w:pPr>
        <w:pBdr>
          <w:top w:val="nil"/>
          <w:left w:val="nil"/>
          <w:bottom w:val="nil"/>
          <w:right w:val="nil"/>
          <w:between w:val="nil"/>
          <w:bar w:val="nil"/>
        </w:pBdr>
        <w:spacing w:before="0" w:after="240"/>
        <w:rPr>
          <w:rFonts w:eastAsia="Arial Unicode MS"/>
          <w:noProof/>
        </w:rPr>
      </w:pPr>
      <w:r>
        <w:rPr>
          <w:noProof/>
        </w:rPr>
        <w:t>Първият регламент — Регламентът относно интегрираната статистика на земеделските стопанства (ИСЗС) — беше приет през 2018 г.</w:t>
      </w:r>
      <w:r>
        <w:rPr>
          <w:rStyle w:val="FootnoteReference"/>
          <w:rFonts w:eastAsia="Arial Unicode MS"/>
          <w:noProof/>
        </w:rPr>
        <w:footnoteReference w:id="3"/>
      </w:r>
      <w:r>
        <w:rPr>
          <w:noProof/>
        </w:rPr>
        <w:t>, а вторият — Регламентът относно икономическите сметки за селското стопанство (ИССС)</w:t>
      </w:r>
      <w:r>
        <w:rPr>
          <w:rStyle w:val="FootnoteReference"/>
          <w:noProof/>
        </w:rPr>
        <w:footnoteReference w:id="4"/>
      </w:r>
      <w:r>
        <w:rPr>
          <w:noProof/>
        </w:rPr>
        <w:t xml:space="preserve">, понастоящем е в процес на модернизиране. </w:t>
      </w:r>
    </w:p>
    <w:p>
      <w:pPr>
        <w:pBdr>
          <w:top w:val="nil"/>
          <w:left w:val="nil"/>
          <w:bottom w:val="nil"/>
          <w:right w:val="nil"/>
          <w:between w:val="nil"/>
          <w:bar w:val="nil"/>
        </w:pBdr>
        <w:spacing w:before="0" w:after="240"/>
        <w:rPr>
          <w:rFonts w:eastAsia="Arial Unicode MS"/>
          <w:noProof/>
        </w:rPr>
      </w:pPr>
      <w:r>
        <w:rPr>
          <w:noProof/>
        </w:rPr>
        <w:t xml:space="preserve">Третият регламент е настоящото законодателно предложение относно статистиката за селскостопанските влагани ресурси и продукция (ССВРП). </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Необходимо е статистиката да бъде надеждна и с високо качество, за да могат отговорните политически фактори, предприятията и широката общественост да вземат целесъобразни решения въз основата на факти.</w:t>
      </w:r>
    </w:p>
    <w:p>
      <w:pPr>
        <w:pBdr>
          <w:top w:val="nil"/>
          <w:left w:val="nil"/>
          <w:bottom w:val="nil"/>
          <w:right w:val="nil"/>
          <w:between w:val="nil"/>
          <w:bar w:val="nil"/>
        </w:pBdr>
        <w:spacing w:before="0" w:after="240"/>
        <w:rPr>
          <w:noProof/>
        </w:rPr>
      </w:pPr>
      <w:r>
        <w:rPr>
          <w:noProof/>
        </w:rPr>
        <w:lastRenderedPageBreak/>
        <w:t>Посочената по-горе стратегия за статистиката за селското стопанство за 2020 г. и след това включва следните основни цели:</w:t>
      </w:r>
    </w:p>
    <w:p>
      <w:pPr>
        <w:pStyle w:val="Bullet0"/>
        <w:rPr>
          <w:noProof/>
        </w:rPr>
      </w:pPr>
      <w:r>
        <w:rPr>
          <w:noProof/>
        </w:rPr>
        <w:t>изготвянето на висококачествена статистика, която да отговаря на нуждите на ползвателите по ефикасен и ефективен начин, и</w:t>
      </w:r>
    </w:p>
    <w:p>
      <w:pPr>
        <w:pStyle w:val="Bullet0"/>
        <w:rPr>
          <w:noProof/>
        </w:rPr>
      </w:pPr>
      <w:r>
        <w:rPr>
          <w:noProof/>
        </w:rPr>
        <w:t>подобрението на хармонизацията и съгласуваността на европейската статистика за селското стопанство.</w:t>
      </w:r>
    </w:p>
    <w:p>
      <w:pPr>
        <w:pBdr>
          <w:top w:val="nil"/>
          <w:left w:val="nil"/>
          <w:bottom w:val="nil"/>
          <w:right w:val="nil"/>
          <w:between w:val="nil"/>
          <w:bar w:val="nil"/>
        </w:pBdr>
        <w:spacing w:before="0" w:after="240"/>
        <w:rPr>
          <w:noProof/>
        </w:rPr>
      </w:pPr>
      <w:r>
        <w:rPr>
          <w:noProof/>
        </w:rPr>
        <w:t>Настоящото предложение е пряко насочено към изпълнението на тези цели.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Предоставянето на качествени статистически данни в подкрепа на европейските политики е основната движеща сила на Европейската статистическа програма за периода 2013 г.—2017 г.</w:t>
      </w:r>
      <w:r>
        <w:rPr>
          <w:rStyle w:val="FootnoteReference"/>
          <w:noProof/>
        </w:rPr>
        <w:footnoteReference w:id="5"/>
      </w:r>
      <w:r>
        <w:rPr>
          <w:noProof/>
        </w:rPr>
        <w:t xml:space="preserve"> (удължена за периода 2018 г.—2020 г.</w:t>
      </w:r>
      <w:r>
        <w:rPr>
          <w:rStyle w:val="FootnoteReference"/>
          <w:noProof/>
        </w:rPr>
        <w:footnoteReference w:id="6"/>
      </w:r>
      <w:r>
        <w:rPr>
          <w:noProof/>
        </w:rPr>
        <w:t>). Статистиката в областта на околната среда и селското стопанство е един от трите стълба при изготвянето на статистически данни съгласно тази програма. Сред относимите цели на програмата са „преглед и опростяване на начините за събиране на данни за селското стопанство в съответствие с прегледа на ОСП за периода след 2013 г. и реорганизация на процесите за събиране на данни за селското стопанство с цел подобряване на качеството и актуалността на данните“. Настоящата инициатива е в изпълнение на тази цел.</w:t>
      </w:r>
    </w:p>
    <w:p>
      <w:pPr>
        <w:pBdr>
          <w:top w:val="nil"/>
          <w:left w:val="nil"/>
          <w:bottom w:val="nil"/>
          <w:right w:val="nil"/>
          <w:between w:val="nil"/>
          <w:bar w:val="nil"/>
        </w:pBdr>
        <w:spacing w:before="0" w:after="240"/>
        <w:rPr>
          <w:noProof/>
        </w:rPr>
      </w:pPr>
      <w:r>
        <w:rPr>
          <w:noProof/>
        </w:rPr>
        <w:t xml:space="preserve">Като предоставя по-добри данни за оценка на устойчивостта на сектора по отношение на околната среда, хората, регионите и икономиката, европейската система за статистика за селското стопанство също ще допринесе за поне два от шестте приоритета на Комисията Фон дер Лайен, а именно: </w:t>
      </w:r>
    </w:p>
    <w:p>
      <w:pPr>
        <w:pStyle w:val="Bullet0"/>
        <w:rPr>
          <w:noProof/>
        </w:rPr>
      </w:pPr>
      <w:r>
        <w:rPr>
          <w:noProof/>
        </w:rPr>
        <w:t>Европейския зелен пакт с основните стратегии „От фермата до трапезата“ и за биологичното разнообразие;</w:t>
      </w:r>
    </w:p>
    <w:p>
      <w:pPr>
        <w:pStyle w:val="Bullet0"/>
        <w:rPr>
          <w:noProof/>
        </w:rPr>
      </w:pPr>
      <w:r>
        <w:rPr>
          <w:noProof/>
        </w:rPr>
        <w:t>икономика в интерес на хората.</w:t>
      </w:r>
    </w:p>
    <w:p>
      <w:pPr>
        <w:pBdr>
          <w:top w:val="nil"/>
          <w:left w:val="nil"/>
          <w:bottom w:val="nil"/>
          <w:right w:val="nil"/>
          <w:between w:val="nil"/>
          <w:bar w:val="nil"/>
        </w:pBdr>
        <w:spacing w:before="0" w:after="240"/>
        <w:rPr>
          <w:noProof/>
        </w:rPr>
      </w:pPr>
      <w:r>
        <w:rPr>
          <w:noProof/>
        </w:rPr>
        <w:t xml:space="preserve">Статистиката за селското стопанство е също така от полза за други приоритети на Съюза или държавите членки, които оказват въздействие или самите те са повлияни от селското стопанство и развитието на селските райони. </w:t>
      </w:r>
    </w:p>
    <w:p>
      <w:pPr>
        <w:pBdr>
          <w:top w:val="nil"/>
          <w:left w:val="nil"/>
          <w:bottom w:val="nil"/>
          <w:right w:val="nil"/>
          <w:between w:val="nil"/>
          <w:bar w:val="nil"/>
        </w:pBdr>
        <w:spacing w:before="0" w:after="240"/>
        <w:rPr>
          <w:noProof/>
        </w:rPr>
      </w:pPr>
      <w:r>
        <w:rPr>
          <w:noProof/>
        </w:rPr>
        <w:t>Освен това предложението за програма „Единен пазар“</w:t>
      </w:r>
      <w:r>
        <w:rPr>
          <w:rStyle w:val="FootnoteReference"/>
          <w:noProof/>
        </w:rPr>
        <w:footnoteReference w:id="7"/>
      </w:r>
      <w:r>
        <w:rPr>
          <w:noProof/>
        </w:rPr>
        <w:t xml:space="preserve">, което понастоящем е в процес на междуинституционално обсъждане, осигурява рамка за финансиране на разработването, изготвянето и разпространението на европейската статистика. За изпълнение на политиките на Съюза е необходима висококачествена, съпоставима и надеждна статистическа информация за икономическото, социалното, териториалното и екологичното положение в Съюза. Освен това европейската статистика дава възможност на европейските граждани да разбират демократичния процес и да участват в него, както и в обсъждането на настоящето и бъдещето на Съюза. Що се отнася до статистиката за селското стопанство, акцентът е поставен върху </w:t>
      </w:r>
      <w:r>
        <w:rPr>
          <w:noProof/>
        </w:rPr>
        <w:lastRenderedPageBreak/>
        <w:t>предоставянето на актуални и относими данни за нуждите на общата селскостопанска политика, общата политика в областта на рибарството и политиките, свързани с околната среда, продоволствената сигурност и хуманното отношение към животните.</w:t>
      </w:r>
    </w:p>
    <w:p>
      <w:pPr>
        <w:pBdr>
          <w:top w:val="nil"/>
          <w:left w:val="nil"/>
          <w:bottom w:val="nil"/>
          <w:right w:val="nil"/>
          <w:between w:val="nil"/>
          <w:bar w:val="nil"/>
        </w:pBdr>
        <w:spacing w:before="0" w:after="240"/>
        <w:rPr>
          <w:noProof/>
        </w:rPr>
      </w:pPr>
      <w:r>
        <w:rPr>
          <w:noProof/>
        </w:rPr>
        <w:t>Статистиката за селското стопанство осигурява висококачествени данни за изпълнение и мониторинг на ОСП, която е важен двигател за създаване на работни места и за интелигентен, устойчив и приобщаващ растеж в Съюза. Освен социални цели, политиката за развитие на селските райони, която е неразделна част от ОСП, има за цел да се подобри конкурентоспособността и устойчивостта на селскостопанското производство. ОСП представлява над 37 % от общия бюджет на Съюза в контекста на Многогодишната финансова рамка (МФР) за периода 2014 г.— 2020 г.</w:t>
      </w:r>
    </w:p>
    <w:p>
      <w:pPr>
        <w:pBdr>
          <w:top w:val="nil"/>
          <w:left w:val="nil"/>
          <w:bottom w:val="nil"/>
          <w:right w:val="nil"/>
          <w:between w:val="nil"/>
          <w:bar w:val="nil"/>
        </w:pBdr>
        <w:spacing w:before="0" w:after="240"/>
        <w:rPr>
          <w:noProof/>
        </w:rPr>
      </w:pPr>
      <w:r>
        <w:rPr>
          <w:noProof/>
        </w:rPr>
        <w:t>Освен това други основни политики на Съюза, като Европейския зелен пакт, политиките в областта на околната среда и изменението на климата, търговската политика, социалната политика, регионалната политика и др., се нуждаят все повече от статистиката за селското стопанство.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Член 338 от Договора за функционирането на Европейския съюз (ДФЕС) представлява правното основание за европейската статистика. Европейският парламент и Съветът, като действат в съответствие с обикновената законодателна процедура, приемат мерки за изготвянето на статистически данни, когато това е необходимо за изпълнението на дейността на Съюза. В член 338 се определят изискванията към изготвянето на европейската статистика, а именно безпристрастност, надеждност, обективност, научна независимост, рентабилност и поверителност на статистическата информация.</w:t>
      </w:r>
      <w:r>
        <w:rPr>
          <w:noProof/>
        </w:rPr>
        <w:tab/>
      </w:r>
    </w:p>
    <w:p>
      <w:pPr>
        <w:pBdr>
          <w:top w:val="nil"/>
          <w:left w:val="nil"/>
          <w:bottom w:val="nil"/>
          <w:right w:val="nil"/>
          <w:between w:val="nil"/>
          <w:bar w:val="nil"/>
        </w:pBdr>
        <w:spacing w:before="0" w:after="240"/>
        <w:rPr>
          <w:noProof/>
        </w:rPr>
      </w:pPr>
      <w:r>
        <w:rPr>
          <w:noProof/>
        </w:rPr>
        <w:t>Правното основание за докладите за качеството е член 12 от Регламент (ЕО) № 223/2009 на Европейския парламент и на Съвета</w:t>
      </w:r>
      <w:r>
        <w:rPr>
          <w:rStyle w:val="FootnoteReference"/>
          <w:noProof/>
        </w:rPr>
        <w:footnoteReference w:id="8"/>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tabs>
          <w:tab w:val="left" w:pos="720"/>
        </w:tabs>
        <w:spacing w:before="0" w:after="240"/>
        <w:rPr>
          <w:rFonts w:eastAsia="Arial Unicode MS"/>
          <w:noProof/>
        </w:rPr>
      </w:pPr>
      <w:r>
        <w:rPr>
          <w:noProof/>
        </w:rPr>
        <w:t>Принципът на субсидиарност се прилага, ако предложението не попада в изключителната компетентност на Съюза. ЕСС осигурява инфраструктура за статистическата информация. Системата е структурирана така, че да удовлетворява нуждите на множество ползватели с оглед на вземането на решения в демократичните общества. Предложението за този регламент е изготвено с цел да се защитят основните дейности на партньорите от ЕСС, като същевременно се гарантира в по-голяма степен качеството и съпоставимостта на статистиката за селското стопанство.</w:t>
      </w:r>
    </w:p>
    <w:p>
      <w:pPr>
        <w:pBdr>
          <w:top w:val="nil"/>
          <w:left w:val="nil"/>
          <w:bottom w:val="nil"/>
          <w:right w:val="nil"/>
          <w:between w:val="nil"/>
          <w:bar w:val="nil"/>
        </w:pBdr>
        <w:tabs>
          <w:tab w:val="left" w:pos="720"/>
        </w:tabs>
        <w:spacing w:before="0" w:after="240"/>
        <w:rPr>
          <w:rFonts w:eastAsia="Arial Unicode MS"/>
          <w:noProof/>
        </w:rPr>
      </w:pPr>
      <w:r>
        <w:rPr>
          <w:noProof/>
        </w:rPr>
        <w:t xml:space="preserve">Един от основните критерии, на които трябва да отговарят статистическите данни, е да бъдат последователни и съпоставими. Държавите членки не могат да постигнат необходимата последователност и съпоставимост без ясна европейска рамка, т.е. законодателство на Съюза, което да регламентира общите статистически понятия, форматите за докладване и изискванията към качеството. </w:t>
      </w:r>
    </w:p>
    <w:p>
      <w:pPr>
        <w:pBdr>
          <w:top w:val="nil"/>
          <w:left w:val="nil"/>
          <w:bottom w:val="nil"/>
          <w:right w:val="nil"/>
          <w:between w:val="nil"/>
          <w:bar w:val="nil"/>
        </w:pBdr>
        <w:tabs>
          <w:tab w:val="left" w:pos="720"/>
        </w:tabs>
        <w:spacing w:before="0" w:after="240"/>
        <w:rPr>
          <w:rFonts w:eastAsia="Arial Unicode MS"/>
          <w:noProof/>
        </w:rPr>
      </w:pPr>
      <w:r>
        <w:rPr>
          <w:noProof/>
        </w:rPr>
        <w:lastRenderedPageBreak/>
        <w:t>Изискването за съпоставимост е много важно за статистиката за селското стопанство поради ОСП. Целта на предложеното действие не може да бъде постигната по задоволителен начин чрез самостоятелни действия на държавите членки. Може да бъде предприето по-ефективно действие на равнището на Съюза въз основа на правен акт на Съюза, който гарантира съпоставимостта на статистическата информация в статистическите области, обхванати от предложения акт. Междувременно самото събиране на данните може да се извършва от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tabs>
          <w:tab w:val="left" w:pos="720"/>
        </w:tabs>
        <w:rPr>
          <w:rFonts w:eastAsia="Calibri"/>
          <w:noProof/>
          <w:szCs w:val="24"/>
        </w:rPr>
      </w:pPr>
      <w:r>
        <w:rPr>
          <w:noProof/>
        </w:rPr>
        <w:t>Предложението спазва принципа на пропорционалност предвид следното:</w:t>
      </w:r>
    </w:p>
    <w:p>
      <w:pPr>
        <w:tabs>
          <w:tab w:val="left" w:pos="720"/>
        </w:tabs>
        <w:rPr>
          <w:rFonts w:eastAsia="Arial Unicode MS"/>
          <w:noProof/>
        </w:rPr>
      </w:pPr>
      <w:r>
        <w:rPr>
          <w:noProof/>
        </w:rPr>
        <w:t>То ще гарантира качеството и съпоставимостта на събираните и съставяните европейски статистически данни за селското стопанство, като се прилагат едни и същи принципи във всички държави членки. По същия начин предложението ще гарантира, че европейската статистика за селското стопанство остава относима и бива адаптирана, за да отговори на нуждите на ползвателите. Регламентът ще подобри разходната ефективност при изготвяне на статистиката, като едновременно с това се зачитат особеностите на системите на държавите членки.</w:t>
      </w:r>
    </w:p>
    <w:p>
      <w:pPr>
        <w:tabs>
          <w:tab w:val="left" w:pos="720"/>
        </w:tabs>
        <w:rPr>
          <w:rFonts w:eastAsia="Calibri"/>
          <w:noProof/>
          <w:szCs w:val="24"/>
        </w:rPr>
      </w:pPr>
      <w:r>
        <w:rPr>
          <w:noProof/>
        </w:rPr>
        <w:t xml:space="preserve">В съответствие с принципа на пропорционалност предложеният регламент се ограничава до необходимия минимум за постигане на заложената в него цел и не надхвърля необходимото за постигането ѝ.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tabs>
          <w:tab w:val="left" w:pos="720"/>
        </w:tabs>
        <w:spacing w:before="0" w:after="240"/>
        <w:rPr>
          <w:rFonts w:eastAsia="Arial Unicode MS"/>
          <w:noProof/>
        </w:rPr>
      </w:pPr>
      <w:r>
        <w:rPr>
          <w:noProof/>
        </w:rPr>
        <w:t>Предложен инструмент: регламент.</w:t>
      </w:r>
    </w:p>
    <w:p>
      <w:pPr>
        <w:pBdr>
          <w:top w:val="nil"/>
          <w:left w:val="nil"/>
          <w:bottom w:val="nil"/>
          <w:right w:val="nil"/>
          <w:between w:val="nil"/>
          <w:bar w:val="nil"/>
        </w:pBdr>
        <w:tabs>
          <w:tab w:val="left" w:pos="720"/>
        </w:tabs>
        <w:spacing w:before="0" w:after="240"/>
        <w:rPr>
          <w:rFonts w:eastAsia="Calibri"/>
          <w:noProof/>
        </w:rPr>
      </w:pPr>
      <w:r>
        <w:rPr>
          <w:noProof/>
        </w:rPr>
        <w:t xml:space="preserve">Като се вземат предвид целите и съдържанието на предложението, най-подходящият инструмент е регламент. Важните общи политики на ЕС, като ОСП, се нуждаят неизменно от съпоставими, хармонизирани и висококачествени статистически данни за селското стопанство на европейско равнище. Те могат да бъдат осигурени най-добре посредством регламенти, които са пряко приложими в държавите членки и не е необходимо преди това да бъдат транспонирани в националното законодателство.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tabs>
          <w:tab w:val="left" w:pos="720"/>
        </w:tabs>
        <w:spacing w:before="0" w:after="240"/>
        <w:rPr>
          <w:rFonts w:eastAsia="Arial Unicode MS"/>
          <w:noProof/>
        </w:rPr>
      </w:pPr>
      <w:r>
        <w:rPr>
          <w:noProof/>
        </w:rPr>
        <w:t>При оценка на европейската система за статистика за селското стопанство, за да се изготви Стратегията за статистиката за селското стопанство за 2020 г. и след това, се установи необходимост от по-систематичен подход в тази област.</w:t>
      </w:r>
    </w:p>
    <w:p>
      <w:pPr>
        <w:pBdr>
          <w:top w:val="nil"/>
          <w:left w:val="nil"/>
          <w:bottom w:val="nil"/>
          <w:right w:val="nil"/>
          <w:between w:val="nil"/>
          <w:bar w:val="nil"/>
        </w:pBdr>
        <w:tabs>
          <w:tab w:val="left" w:pos="720"/>
        </w:tabs>
        <w:spacing w:before="0" w:after="240"/>
        <w:rPr>
          <w:rFonts w:eastAsia="Arial Unicode MS"/>
          <w:noProof/>
        </w:rPr>
      </w:pPr>
      <w:r>
        <w:rPr>
          <w:noProof/>
        </w:rPr>
        <w:t>От оценката на системата за статистика за селското стопанство става видно, че:</w:t>
      </w:r>
    </w:p>
    <w:p>
      <w:pPr>
        <w:pStyle w:val="Bullet0"/>
        <w:rPr>
          <w:noProof/>
        </w:rPr>
      </w:pPr>
      <w:r>
        <w:rPr>
          <w:noProof/>
        </w:rPr>
        <w:t>настоящото законодателство в областта на статистиката за селското стопанство не удовлетворява адекватно новите нужди от данни, тъй като предоставянето им не е включено в това законодателство. Освен това правните актове не са достатъчно гъвкави и интегрирани, за да отговарят своевременно на новите нужди;</w:t>
      </w:r>
    </w:p>
    <w:p>
      <w:pPr>
        <w:pStyle w:val="Bullet0"/>
        <w:rPr>
          <w:noProof/>
        </w:rPr>
      </w:pPr>
      <w:r>
        <w:rPr>
          <w:noProof/>
        </w:rPr>
        <w:t xml:space="preserve">ЕСССС не е достатъчно гъвкава и не реагира достатъчно бързо на новите нужди отчасти поради самото естество на статистическата наука, отчасти </w:t>
      </w:r>
      <w:r>
        <w:rPr>
          <w:noProof/>
        </w:rPr>
        <w:lastRenderedPageBreak/>
        <w:t>поради начина, по който са създадени регламентите, но също и поради липсата на бюджет и човешки ресурси;</w:t>
      </w:r>
    </w:p>
    <w:p>
      <w:pPr>
        <w:pStyle w:val="Bullet0"/>
        <w:rPr>
          <w:noProof/>
        </w:rPr>
      </w:pPr>
      <w:r>
        <w:rPr>
          <w:noProof/>
        </w:rPr>
        <w:t>събирането на данни не е хармонизирано, нито съгласувано в достатъчна степен, тъй като се появяват нови нужди от данни, законодателството е разработвано отделно в течение на много години и в различните области на статистиката за селското стопанство се използват понякога различни определения и понятия;</w:t>
      </w:r>
    </w:p>
    <w:p>
      <w:pPr>
        <w:pStyle w:val="Bullet0"/>
        <w:rPr>
          <w:noProof/>
        </w:rPr>
      </w:pPr>
      <w:r>
        <w:rPr>
          <w:noProof/>
        </w:rPr>
        <w:t>статистическите данни биха могли да се изготвят по-ефикасно, ако законодателството бъде адаптирано, за да се даде възможност за използване на различни източници на информация, и ако държавите членки се адаптират към съвременните технологии.</w:t>
      </w:r>
    </w:p>
    <w:p>
      <w:pPr>
        <w:tabs>
          <w:tab w:val="left" w:pos="720"/>
        </w:tabs>
        <w:rPr>
          <w:rFonts w:eastAsia="Calibri"/>
          <w:noProof/>
        </w:rPr>
      </w:pPr>
      <w:r>
        <w:rPr>
          <w:noProof/>
        </w:rPr>
        <w:t>За оценката беше проведена обществена консултация, като резултатите са подробно изложени в специален доклад</w:t>
      </w:r>
      <w:r>
        <w:rPr>
          <w:rStyle w:val="FootnoteReference"/>
          <w:noProof/>
        </w:rPr>
        <w:footnoteReference w:id="9"/>
      </w:r>
      <w:r>
        <w:rPr>
          <w:noProof/>
        </w:rPr>
        <w:t>.</w:t>
      </w:r>
    </w:p>
    <w:p>
      <w:pPr>
        <w:pBdr>
          <w:top w:val="nil"/>
          <w:left w:val="nil"/>
          <w:bottom w:val="nil"/>
          <w:right w:val="nil"/>
          <w:between w:val="nil"/>
          <w:bar w:val="nil"/>
        </w:pBdr>
        <w:tabs>
          <w:tab w:val="left" w:pos="720"/>
        </w:tabs>
        <w:spacing w:before="0" w:after="240"/>
        <w:rPr>
          <w:rFonts w:eastAsia="Arial Unicode MS"/>
          <w:noProof/>
        </w:rPr>
      </w:pPr>
      <w:r>
        <w:rPr>
          <w:noProof/>
        </w:rPr>
        <w:t xml:space="preserve">В последващата стратегия за статистиката за селското стопанство се стигна до заключението, че тази статистика трябва да се разработи и да функционира като система, в която частите се съчетават и полученият резултат не представлява само механична съвкупност от отделните елементи. Освен това статистиката за селското стопанство трябва да се вписва безпроблемно в цялата ЕСС. Необходимо е да се диверсифицират източниците на данни. Когато е възможно, трябва да се използват други източници на данни; ИКТ и другите нови технологии (например големи информационни масиви, иновациите въз основа на научни изследвания) трябва да бъдат интегрирани; ефективността и ефикасността на методите за събиране на данни трябва да се оценяват спрямо нуждите от данни и критериите за качество, а съществуващите ограничения по отношение на каналите за информацията следва да бъдат премахнати. </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tabs>
          <w:tab w:val="left" w:pos="720"/>
        </w:tabs>
        <w:spacing w:before="0" w:after="240"/>
        <w:rPr>
          <w:rFonts w:eastAsia="Arial Unicode MS"/>
          <w:noProof/>
        </w:rPr>
      </w:pPr>
      <w:r>
        <w:rPr>
          <w:noProof/>
        </w:rPr>
        <w:t>Евростат разработва, изготвя и разпространява европейската статистика за селското стопанство чрез тясно, координирано и редовно сътрудничество в рамките на ЕСС, като се основава на дългогодишно партньорство с националните статистически институти (НСИ) и други съответни органи.</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Погледнато в общ план, както и от гледна точка на „Стратегията за статистиката за селското стопанство за 2020 г. и след това“ основните категории заинтересовани страни в областта на европейската статистика за селското стопанство са органите, изготвящи данните (НСИ и други национални органи, както и Евростат), респондентите (земеделските стопани, техните организации и предприятията) и ползвателите (изследователи, журналисти и публични и частни отговорни фактори, и по-специално други отдели на Комисията). С тези заинтересовани страни бяха проведени обширни консултации относно проблемите и желаните промени в съществуващото положение, нуждите им от данни и приоритетите им, възможните варианти на политиката за решаване на проблемите, въздействията на предложените действия и конкретното формулиране на стратегията. Основните форуми за тези консултации бяха i) </w:t>
      </w:r>
      <w:r>
        <w:rPr>
          <w:noProof/>
        </w:rPr>
        <w:lastRenderedPageBreak/>
        <w:t>заседанията и семинарите на Постоянния комитет за земеделска статистика (ПКЗС) и неговия приемник, Групата на директорите за статистиката за селското стопанство (ГДССС) (съставена от директори на НСИ по статистиката за селското стопанство), в която често се изслушват представители от отдели на Комисията, международни организации и организации на земеделските стопани, ii) заседанията на Комитета на Европейската статистическа система (съставен от генералните директори на НСИ) и iii) редовно насрочваните консултации и изслушвания на представители от отдели на Комисията. Освен това на платформата на Европейската комисия „Споделете мнението си“ беше публикувана пътна карта за предложението за ССВРП в продължение на 4 седмици, за да могат да се споделят гледните точки.</w:t>
      </w:r>
    </w:p>
    <w:p>
      <w:pPr>
        <w:pBdr>
          <w:top w:val="nil"/>
          <w:left w:val="nil"/>
          <w:bottom w:val="nil"/>
          <w:right w:val="nil"/>
          <w:between w:val="nil"/>
          <w:bar w:val="nil"/>
        </w:pBdr>
        <w:tabs>
          <w:tab w:val="left" w:pos="720"/>
        </w:tabs>
        <w:spacing w:before="0" w:after="240"/>
        <w:rPr>
          <w:rFonts w:eastAsia="Arial Unicode MS"/>
          <w:noProof/>
        </w:rPr>
      </w:pPr>
      <w:r>
        <w:rPr>
          <w:noProof/>
        </w:rPr>
        <w:t>Резултатите от всички тези консултации бяха взети предвид при посочената по-горе оценка и в хода на подготовката на предложението.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tabs>
          <w:tab w:val="left" w:pos="720"/>
        </w:tabs>
        <w:spacing w:before="0" w:after="240"/>
        <w:rPr>
          <w:rFonts w:eastAsia="Arial Unicode MS"/>
          <w:noProof/>
        </w:rPr>
      </w:pPr>
      <w:r>
        <w:rPr>
          <w:noProof/>
        </w:rPr>
        <w:t xml:space="preserve">Евростат проведе обширни дискусии по съдържанието на предложението с НСИ чрез специални работни групи, както и чрез съществуващите експертни групи, включително на равнище директори. </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Предложението беше представено и на Комитета на Европейската статистическа система през октомври 2020 г.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tabs>
          <w:tab w:val="left" w:pos="720"/>
        </w:tabs>
        <w:rPr>
          <w:rFonts w:eastAsia="Calibri"/>
          <w:noProof/>
        </w:rPr>
      </w:pPr>
      <w:r>
        <w:rPr>
          <w:noProof/>
        </w:rPr>
        <w:t>Оценката на въздействието на Стратегията за статистиката за селското стопанство за 2020 г. и след това</w:t>
      </w:r>
      <w:r>
        <w:rPr>
          <w:rStyle w:val="FootnoteReference"/>
          <w:noProof/>
        </w:rPr>
        <w:footnoteReference w:id="10"/>
      </w:r>
      <w:r>
        <w:rPr>
          <w:noProof/>
        </w:rPr>
        <w:t>, част от която е ССВРП, получи положително становище от Комитета за регулаторен контрол</w:t>
      </w:r>
      <w:r>
        <w:rPr>
          <w:rStyle w:val="FootnoteReference"/>
          <w:noProof/>
        </w:rPr>
        <w:footnoteReference w:id="11"/>
      </w:r>
      <w:r>
        <w:rPr>
          <w:noProof/>
        </w:rPr>
        <w:t>.</w:t>
      </w:r>
    </w:p>
    <w:p>
      <w:pPr>
        <w:pBdr>
          <w:top w:val="nil"/>
          <w:left w:val="nil"/>
          <w:bottom w:val="nil"/>
          <w:right w:val="nil"/>
          <w:between w:val="nil"/>
          <w:bar w:val="nil"/>
        </w:pBdr>
        <w:tabs>
          <w:tab w:val="left" w:pos="720"/>
        </w:tabs>
        <w:spacing w:before="0" w:after="240"/>
        <w:rPr>
          <w:rFonts w:eastAsia="Calibri"/>
          <w:noProof/>
          <w:szCs w:val="24"/>
        </w:rPr>
      </w:pPr>
      <w:r>
        <w:rPr>
          <w:noProof/>
        </w:rPr>
        <w:t>Тази оценка на въздействието беше извършена на стратегическо равнище поради систематичния подход в цялата система за статистика за селското стопанство, за да се гарантира, че всички елементи се съчетават добре.</w:t>
      </w:r>
    </w:p>
    <w:p>
      <w:pPr>
        <w:pBdr>
          <w:top w:val="nil"/>
          <w:left w:val="nil"/>
          <w:bottom w:val="nil"/>
          <w:right w:val="nil"/>
          <w:between w:val="nil"/>
          <w:bar w:val="nil"/>
        </w:pBdr>
        <w:tabs>
          <w:tab w:val="left" w:pos="720"/>
        </w:tabs>
        <w:spacing w:before="0" w:after="240"/>
        <w:rPr>
          <w:rFonts w:eastAsia="Calibri"/>
          <w:noProof/>
          <w:szCs w:val="24"/>
        </w:rPr>
      </w:pPr>
      <w:r>
        <w:rPr>
          <w:noProof/>
        </w:rPr>
        <w:t>Бяха разгледани четири основни варианта:</w:t>
      </w:r>
    </w:p>
    <w:p>
      <w:pPr>
        <w:pStyle w:val="Point0"/>
        <w:rPr>
          <w:noProof/>
        </w:rPr>
      </w:pPr>
      <w:r>
        <w:t>(1)</w:t>
      </w:r>
      <w:r>
        <w:tab/>
      </w:r>
      <w:r>
        <w:rPr>
          <w:noProof/>
        </w:rPr>
        <w:t xml:space="preserve">базов вариант — липса на действие от страна на ЕС относно структурните данни за селското стопанство: този вариант предвижда събирането на данните да остане за държавите членки, което ще доведе до прилагането на най-различни подходи и нееднородно качество; </w:t>
      </w:r>
    </w:p>
    <w:p>
      <w:pPr>
        <w:pStyle w:val="Point0"/>
        <w:rPr>
          <w:noProof/>
        </w:rPr>
      </w:pPr>
      <w:r>
        <w:t>(2)</w:t>
      </w:r>
      <w:r>
        <w:tab/>
      </w:r>
      <w:r>
        <w:rPr>
          <w:noProof/>
        </w:rPr>
        <w:t>удължаване на срока на действие на Регламент (ЕО) № 1166/2008: този вариант предвижда да се запази съществуващото положение;</w:t>
      </w:r>
    </w:p>
    <w:p>
      <w:pPr>
        <w:pStyle w:val="Point0"/>
        <w:rPr>
          <w:noProof/>
        </w:rPr>
      </w:pPr>
      <w:r>
        <w:lastRenderedPageBreak/>
        <w:t>(3)</w:t>
      </w:r>
      <w:r>
        <w:tab/>
      </w:r>
      <w:r>
        <w:rPr>
          <w:noProof/>
        </w:rPr>
        <w:t>единна правна рамка за цялата статистика за селското стопанство: този вариант предвижда събирането на всички статистически данни за селското стопанство да се обедини в един нов рамков регламент;</w:t>
      </w:r>
    </w:p>
    <w:p>
      <w:pPr>
        <w:pStyle w:val="Point0"/>
        <w:rPr>
          <w:noProof/>
        </w:rPr>
      </w:pPr>
      <w:r>
        <w:t>(4)</w:t>
      </w:r>
      <w:r>
        <w:tab/>
      </w:r>
      <w:r>
        <w:rPr>
          <w:noProof/>
        </w:rPr>
        <w:t>обединяване на статистиката за селското стопанство на два етапа: този вариант предвижда да се запазят предимствата на вариант 3, като същевременно се увеличи гъвкавостта и се намали времевият натиск посредством създаване на два нови рамкови регламента на два отделни етапа.</w:t>
      </w:r>
    </w:p>
    <w:p>
      <w:pPr>
        <w:pBdr>
          <w:top w:val="nil"/>
          <w:left w:val="nil"/>
          <w:bottom w:val="nil"/>
          <w:right w:val="nil"/>
          <w:between w:val="nil"/>
          <w:bar w:val="nil"/>
        </w:pBdr>
        <w:tabs>
          <w:tab w:val="left" w:pos="720"/>
        </w:tabs>
        <w:spacing w:before="0" w:after="240"/>
        <w:rPr>
          <w:rFonts w:eastAsia="Calibri"/>
          <w:noProof/>
          <w:szCs w:val="24"/>
        </w:rPr>
      </w:pPr>
      <w:r>
        <w:rPr>
          <w:noProof/>
        </w:rPr>
        <w:t>Предпочитаният вариант е четвъртият, тъй като предоставя най-добра възможност за постигане на целите.</w:t>
      </w:r>
    </w:p>
    <w:p>
      <w:pPr>
        <w:pBdr>
          <w:top w:val="nil"/>
          <w:left w:val="nil"/>
          <w:bottom w:val="nil"/>
          <w:right w:val="nil"/>
          <w:between w:val="nil"/>
          <w:bar w:val="nil"/>
        </w:pBdr>
        <w:tabs>
          <w:tab w:val="left" w:pos="720"/>
        </w:tabs>
        <w:spacing w:before="0" w:after="240"/>
        <w:rPr>
          <w:rFonts w:eastAsia="Calibri"/>
          <w:noProof/>
          <w:szCs w:val="24"/>
        </w:rPr>
      </w:pPr>
      <w:r>
        <w:rPr>
          <w:noProof/>
        </w:rPr>
        <w:t>При оценка на въздействието се установи, че като предпочитан вариант ЕСССС следва в крайна сметка да бъде обхваната от три регламента. Два от тези регламенти ще бъдат нови и ще заменят няколко по-стари регламента на ЕС относно статистиката за селското стопанство. Първият от тях — Регламент (ЕС) 2018/1091 относно интегрираната статистика за земеделските стопанства (ИСЗС), който обхваща данните за структурата на земеделските стопанства, овощните градини и лозята, беше приет през 2018 г. Вторият е настоящото предложение за регламент относно ССВРП, който обхваща влаганите ресурси и продукцията на селскостопанския сектор: селскостопанското производство (растениевъдството и животновъдството), включително биологичното земеделие, селскостопанските цени, хранителните вещества и продуктите за растителна защита. Третият регламент, посочен в оценката на въздействието, ще се отнася до изменение на Регламент (ЕО) № 138/2004 относно икономическите сметки за селското стопанство (ИССС). Тъй като ИССС са сателитна сметка на националните сметки и са макроикономически по своя характер, не беше предложено тяхното интегриране в новите рамкови регламенти. Вместо това беше предложено те да продължат да са предмет на отделно законодателство, какъвто е случаят от влизането в сила на Регламента за ИССС за първи път през 2004 г. насам, и да се модернизират едновременно с разработването на ССВРП.</w:t>
      </w:r>
    </w:p>
    <w:p>
      <w:pPr>
        <w:pBdr>
          <w:top w:val="nil"/>
          <w:left w:val="nil"/>
          <w:bottom w:val="nil"/>
          <w:right w:val="nil"/>
          <w:between w:val="nil"/>
          <w:bar w:val="nil"/>
        </w:pBdr>
        <w:tabs>
          <w:tab w:val="left" w:pos="720"/>
        </w:tabs>
        <w:spacing w:before="0" w:after="240"/>
        <w:rPr>
          <w:rFonts w:eastAsia="Calibri"/>
          <w:noProof/>
          <w:szCs w:val="24"/>
        </w:rPr>
      </w:pPr>
      <w:r>
        <w:rPr>
          <w:noProof/>
        </w:rPr>
        <w:t xml:space="preserve">Законодателството в областта на статистиката е преди всичко административно по своето естество, засягащо ползвателите на данни (главно отделите на Комисията, работещи в областта на политиките), субектите, изготвящи данните (НСИ) и респондентите на данни (земеделските стопани). Следователно неговото пряко икономическо, социално и екологично въздействие е ограничено. Основните преки разходи за заинтересованите страни са свързани с адаптиране към новите статистически и технически системи. В средносрочен до дългосрочен план се очаква действията за модернизация да намалят малко тежестта и да доведат до икономия на разходи. По-голямата част от спестяването на разходи ще дойде от намалените изисквания към обхвата по Регламент (ЕС) 2018/1091. Разходите за статистиката трябва да бъдат претеглени спрямо ползите, които осигуряват за обществото, но също така трябва да бъдат преценени от гледна точка на последиците от липсата на статистика или от наличието само на статистика с ниско качество.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Предложението е част от „Стратегията за статистиката за селското стопанство за 2020 г. и след това“ — основна програма за модернизиране на статистиката за селското стопанство на Европейския съюз, предприето от Европейската комисия в тясно сътрудничество с държавите — членки на ЕС. По-специално Стратегията има за цел да рационализира и подобри ЕСССС; тя се подкрепя също така от Комитета на </w:t>
      </w:r>
      <w:r>
        <w:rPr>
          <w:noProof/>
        </w:rPr>
        <w:lastRenderedPageBreak/>
        <w:t xml:space="preserve">Европейската статистическа система и е част от REFIT и има за цел да рационализира и подобри ЕСССС. </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Понастоящем статистиката за селското стопанство се основава на няколко отделни законодателни акта и споразумения. Всички те следва да бъдат обединени, за да се изгради систематичен подход. Това ще опрости системите, използвани за събиране на статистически данни. Предвижда се също така да се позволи използването на различни източници на данни, включително дистанционно наблюдение, като по този начин се намалява тежестта за респондентите. </w:t>
      </w:r>
    </w:p>
    <w:p>
      <w:pPr>
        <w:pBdr>
          <w:top w:val="nil"/>
          <w:left w:val="nil"/>
          <w:bottom w:val="nil"/>
          <w:right w:val="nil"/>
          <w:between w:val="nil"/>
          <w:bar w:val="nil"/>
        </w:pBdr>
        <w:tabs>
          <w:tab w:val="left" w:pos="720"/>
        </w:tabs>
        <w:spacing w:before="0" w:after="240"/>
        <w:rPr>
          <w:rFonts w:eastAsia="Arial Unicode MS"/>
          <w:noProof/>
        </w:rPr>
      </w:pPr>
      <w:r>
        <w:rPr>
          <w:noProof/>
        </w:rPr>
        <w:t xml:space="preserve">Настоящото предложение обхваща цялото селскостопанско производство (растениевъдството и животновъдството), включително биологичното земеделие, селскостопанските цени, хранителните вещества и продуктите за растителна защита. В неговия обхват се включват селскостопанските влагани ресурси (цени на семена, пестициди, фуражи и др.) и продукция (растениевъдство и животновъдство и цени). Данните могат да се събират от земеделски стопанства, административни източници, посредници (мандри и др.), търговци на едро и пазарни организации и често включват определен брой експертни оценки. Въвеждането на съгласувана рамка ще позволи по-специално да се създаде интегрирана правна структура, както и ще подобри планирането и съгласуваността на изследванията и събирането на други данни.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Предложението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tabs>
          <w:tab w:val="left" w:pos="720"/>
        </w:tabs>
        <w:spacing w:before="0" w:after="240"/>
        <w:rPr>
          <w:rFonts w:eastAsia="Calibri"/>
          <w:noProof/>
        </w:rPr>
      </w:pPr>
      <w:r>
        <w:rPr>
          <w:noProof/>
        </w:rPr>
        <w:t xml:space="preserve">Финансовото отражение на предложението е с неограничен срок на действие. Предложението не включва финансиране на редовното събиране на данни, но предвижда съфинансиране от страна на Съюза на събирането на специални данни, чийто график не е известен. Първото събиране на специални данни може да се очаква най-рано 2 години след планираното влизане в сила на Регламента. Тъй като събирането на тези данни не е известно предварително, не може да се предостави информация за отражението му върху бюджета. След като се наложи събирането на такива специални данни, свързаните с това разходи ще бъдат оценени и подробно описани при изготвяне на делегираните актове и актовете за изпълнение и при всички случаи ще бъдат покрити от бюджетните кредити, отпускани за финансовите пакети на съответните програми, включени в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tabs>
          <w:tab w:val="left" w:pos="720"/>
        </w:tabs>
        <w:spacing w:before="0" w:after="240"/>
        <w:rPr>
          <w:rFonts w:eastAsia="Arial Unicode MS"/>
          <w:noProof/>
        </w:rPr>
      </w:pPr>
      <w:r>
        <w:rPr>
          <w:noProof/>
        </w:rPr>
        <w:t>Очаква се предложеният регламент да бъде приет от Европейския парламент и от Съвета през 2022 г., като мерките за изпълнение на Комисията ще бъдат приети скоро след това. Регламентът ще се прилага пряко във всички държави — членки на ЕС, без да е необходим план за изпълнение.</w:t>
      </w:r>
    </w:p>
    <w:p>
      <w:pPr>
        <w:pBdr>
          <w:top w:val="nil"/>
          <w:left w:val="nil"/>
          <w:bottom w:val="nil"/>
          <w:right w:val="nil"/>
          <w:between w:val="nil"/>
          <w:bar w:val="nil"/>
        </w:pBdr>
        <w:tabs>
          <w:tab w:val="left" w:pos="720"/>
        </w:tabs>
        <w:spacing w:before="0" w:after="240"/>
        <w:rPr>
          <w:rFonts w:eastAsia="Arial Unicode MS"/>
          <w:noProof/>
        </w:rPr>
      </w:pPr>
      <w:r>
        <w:rPr>
          <w:noProof/>
        </w:rPr>
        <w:t xml:space="preserve">Очаква се държавите членки да започнат да предоставят данни на Комисията съгласно новия регламент през 2023 г. </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Предложеният законодателен инструмент е част от ЕСССС, която ще бъде подложена на редовни оценки, за да се определи, наред с другото, нейната ефективност и </w:t>
      </w:r>
      <w:r>
        <w:rPr>
          <w:noProof/>
        </w:rPr>
        <w:lastRenderedPageBreak/>
        <w:t>ефикасност по отношение на постигането на целите и за да се прецени дали са необходими нови мерки или изменения.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Мониторинг на съответствието на изготвяната статистика</w:t>
      </w:r>
    </w:p>
    <w:p>
      <w:pPr>
        <w:pBdr>
          <w:top w:val="nil"/>
          <w:left w:val="nil"/>
          <w:bottom w:val="nil"/>
          <w:right w:val="nil"/>
          <w:between w:val="nil"/>
          <w:bar w:val="nil"/>
        </w:pBdr>
        <w:tabs>
          <w:tab w:val="left" w:pos="720"/>
        </w:tabs>
        <w:spacing w:before="0" w:after="240"/>
        <w:rPr>
          <w:rFonts w:eastAsia="Arial Unicode MS"/>
          <w:noProof/>
        </w:rPr>
      </w:pPr>
      <w:r>
        <w:rPr>
          <w:noProof/>
        </w:rPr>
        <w:t xml:space="preserve">Евростат провежда редовни оценки на съответствието. Тези оценки включват преглед на наличието на данни, тяхното качество и навременност, както и последващи действия в случай на несъответствие. </w:t>
      </w:r>
    </w:p>
    <w:p>
      <w:pPr>
        <w:pBdr>
          <w:top w:val="nil"/>
          <w:left w:val="nil"/>
          <w:bottom w:val="nil"/>
          <w:right w:val="nil"/>
          <w:between w:val="nil"/>
          <w:bar w:val="nil"/>
        </w:pBdr>
        <w:tabs>
          <w:tab w:val="left" w:pos="720"/>
        </w:tabs>
        <w:spacing w:before="0" w:after="240"/>
        <w:rPr>
          <w:rFonts w:eastAsia="Arial Unicode MS"/>
          <w:noProof/>
        </w:rPr>
      </w:pPr>
      <w:r>
        <w:rPr>
          <w:noProof/>
        </w:rPr>
        <w:t xml:space="preserve">Съгласно изискванията на законодателството на Съюза държавите членки трябва да предоставят на Комисията относими цифрови данни в областта на статистиката за селското стопанство. Тези цифрови данни са обвързани със стриктни срокове за предаване, които трябва да бъдат спазвани с оглед на доброто управление, разпространението и полезността на европейската статистика, тъй като липсващите или непълните данни водят до недостиг на информация (т.е. не е възможно да се изчислят агрегатите на нивото на Съюза, нито данните да бъдат публикувани съгласно планираните графици). </w:t>
      </w:r>
    </w:p>
    <w:p>
      <w:pPr>
        <w:pBdr>
          <w:top w:val="nil"/>
          <w:left w:val="nil"/>
          <w:bottom w:val="nil"/>
          <w:right w:val="nil"/>
          <w:between w:val="nil"/>
          <w:bar w:val="nil"/>
        </w:pBdr>
        <w:tabs>
          <w:tab w:val="left" w:pos="720"/>
        </w:tabs>
        <w:spacing w:before="0" w:after="240"/>
        <w:rPr>
          <w:rFonts w:eastAsia="Arial Unicode MS"/>
          <w:noProof/>
        </w:rPr>
      </w:pPr>
      <w:r>
        <w:rPr>
          <w:noProof/>
        </w:rPr>
        <w:t xml:space="preserve">Регламент (ЕО) № 223/2009 представлява основната правна рамка за функционирането на Европейската статистическа система и за всички секторни законодателни актове, свързани с изготвянето на европейската статистика. </w:t>
      </w:r>
    </w:p>
    <w:p>
      <w:pPr>
        <w:pBdr>
          <w:top w:val="nil"/>
          <w:left w:val="nil"/>
          <w:bottom w:val="nil"/>
          <w:right w:val="nil"/>
          <w:between w:val="nil"/>
          <w:bar w:val="nil"/>
        </w:pBdr>
        <w:tabs>
          <w:tab w:val="left" w:pos="720"/>
        </w:tabs>
        <w:spacing w:before="0" w:after="240"/>
        <w:rPr>
          <w:rFonts w:eastAsia="Arial Unicode MS"/>
          <w:noProof/>
        </w:rPr>
      </w:pPr>
      <w:r>
        <w:rPr>
          <w:noProof/>
        </w:rPr>
        <w:t>Макар актуалността, навременността и пълнотата вече да представляват важни фактори при оценките на съответствието, за да се гарантира своевременно разпространение на статистиката за селското стопанство, по-голямо внимание ще бъде обърнато на тези и на други аспекти на качеството, за да се осигури доверието в изготвяната от Евростат и ЕСС статистика.</w:t>
      </w:r>
    </w:p>
    <w:p>
      <w:pPr>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Постоянно усъвършенстване на ЕСССС: определяне на новите нужди от данни и новите източници на данни, подобряване на съгласуваността и намаляване на тежестта</w:t>
      </w:r>
    </w:p>
    <w:p>
      <w:pPr>
        <w:pBdr>
          <w:top w:val="nil"/>
          <w:left w:val="nil"/>
          <w:bottom w:val="nil"/>
          <w:right w:val="nil"/>
          <w:between w:val="nil"/>
          <w:bar w:val="nil"/>
        </w:pBdr>
        <w:tabs>
          <w:tab w:val="left" w:pos="720"/>
        </w:tabs>
        <w:spacing w:before="0" w:after="240"/>
        <w:rPr>
          <w:rFonts w:eastAsia="Arial Unicode MS"/>
          <w:noProof/>
        </w:rPr>
      </w:pPr>
      <w:r>
        <w:rPr>
          <w:noProof/>
        </w:rPr>
        <w:t>Понастоящем Евростат провежда годишни изслушвания с други отдели на Комисията. Важен момент в тези изслушвания е обменът на информация относно съответните работни програми. Те предоставят официална платформа за заявяване на бъдещи нужди от нови статистически данни и за преглед на полезността на наличната статистическа информация.</w:t>
      </w:r>
    </w:p>
    <w:p>
      <w:pPr>
        <w:pBdr>
          <w:top w:val="nil"/>
          <w:left w:val="nil"/>
          <w:bottom w:val="nil"/>
          <w:right w:val="nil"/>
          <w:between w:val="nil"/>
          <w:bar w:val="nil"/>
        </w:pBdr>
        <w:tabs>
          <w:tab w:val="left" w:pos="720"/>
        </w:tabs>
        <w:spacing w:before="0" w:after="240"/>
        <w:rPr>
          <w:rFonts w:eastAsia="Arial Unicode MS"/>
          <w:noProof/>
        </w:rPr>
      </w:pPr>
      <w:r>
        <w:rPr>
          <w:noProof/>
        </w:rPr>
        <w:t>По-нататъшно сътрудничество с други отдели на Комисията, НСИ и други национални органи ще се осъществява на различни йерархични равнища в рамките на редовните срещи и семинари на експертните групи, на срещите на групата на директорите и срещите в рамките на Комитета на Европейската статистическа система (КЕСС), както и чрез чест двустранен обмен. Особено внимание ще бъде обърнато на набелязването на административни данни и други източници на информация по силата на законодателството на Съюза, както и на оценката на тяхната пригодност за изготвянето на статистика, за да бъдат сключени споразумения за тяхната стабилност, достъпност и възможно адаптиране така, че да отговарят по-добре на статистическите изисквания. Освен това ще се провеждат периодични изследвания и анализи с цел определяне на потенциала за усъвършенстване на европейската статистика за селското стопанство и за намаляване на тежестта.</w:t>
      </w:r>
    </w:p>
    <w:p>
      <w:pPr>
        <w:pBdr>
          <w:top w:val="nil"/>
          <w:left w:val="nil"/>
          <w:bottom w:val="nil"/>
          <w:right w:val="nil"/>
          <w:between w:val="nil"/>
          <w:bar w:val="nil"/>
        </w:pBdr>
        <w:tabs>
          <w:tab w:val="left" w:pos="720"/>
        </w:tabs>
        <w:spacing w:before="0" w:after="240"/>
        <w:rPr>
          <w:rFonts w:eastAsia="Arial Unicode MS"/>
          <w:noProof/>
        </w:rPr>
      </w:pPr>
      <w:r>
        <w:rPr>
          <w:noProof/>
        </w:rPr>
        <w:lastRenderedPageBreak/>
        <w:t xml:space="preserve">Тези корекции и цялостното функциониране на правната рамка ще бъдат обект на мониторинг и оценка, по-специално с оглед на изброените по-горе цели на Стратегията. </w:t>
      </w:r>
    </w:p>
    <w:p>
      <w:pPr>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Тригодишни мониторингови доклади</w:t>
      </w:r>
    </w:p>
    <w:p>
      <w:pPr>
        <w:pBdr>
          <w:top w:val="nil"/>
          <w:left w:val="nil"/>
          <w:bottom w:val="nil"/>
          <w:right w:val="nil"/>
          <w:between w:val="nil"/>
          <w:bar w:val="nil"/>
        </w:pBdr>
        <w:tabs>
          <w:tab w:val="left" w:pos="720"/>
        </w:tabs>
        <w:spacing w:before="0" w:after="240"/>
        <w:rPr>
          <w:rFonts w:eastAsia="Arial Unicode MS"/>
          <w:noProof/>
        </w:rPr>
      </w:pPr>
      <w:r>
        <w:rPr>
          <w:noProof/>
        </w:rPr>
        <w:t xml:space="preserve">За да се наблюдава функционирането на обновената ЕСССС и за да се гарантира, че тя изпълнява целите по REFIT за опростяване и намаляване на тежестта, на всеки 3 години ще се извършва редовно докладване относно функционирането на системата като цяло. </w:t>
      </w:r>
    </w:p>
    <w:p>
      <w:pPr>
        <w:keepNext/>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Оценка</w:t>
      </w:r>
    </w:p>
    <w:p>
      <w:pPr>
        <w:pBdr>
          <w:top w:val="nil"/>
          <w:left w:val="nil"/>
          <w:bottom w:val="nil"/>
          <w:right w:val="nil"/>
          <w:between w:val="nil"/>
          <w:bar w:val="nil"/>
        </w:pBdr>
        <w:tabs>
          <w:tab w:val="left" w:pos="720"/>
        </w:tabs>
        <w:spacing w:before="0" w:after="240"/>
        <w:rPr>
          <w:rFonts w:eastAsia="Arial Unicode MS"/>
          <w:noProof/>
        </w:rPr>
      </w:pPr>
      <w:r>
        <w:rPr>
          <w:noProof/>
        </w:rPr>
        <w:t>Вторият тригодишен мониторингов доклад ще бъде заменен от ретроспективна оценка на обновената ЕСССС, която ще се проведе съгласно насоките на Комисията за оценка. Тя би могла също така да послужи като основа за по-нататъшен преглед на законодателството, ако се счете за необходимо.</w:t>
      </w:r>
    </w:p>
    <w:p>
      <w:pPr>
        <w:keepNext/>
        <w:tabs>
          <w:tab w:val="left" w:pos="720"/>
          <w:tab w:val="left" w:pos="850"/>
        </w:tabs>
        <w:ind w:left="850" w:hanging="850"/>
        <w:outlineLvl w:val="1"/>
        <w:rPr>
          <w:rFonts w:eastAsia="Arial Unicode MS"/>
          <w:b/>
          <w:noProof/>
          <w:u w:color="000000"/>
          <w:bdr w:val="nil"/>
        </w:rPr>
      </w:pPr>
      <w:bookmarkStart w:id="1" w:name="_Toc46138675"/>
      <w:r>
        <w:rPr>
          <w:b/>
          <w:noProof/>
          <w:u w:color="000000"/>
          <w:bdr w:val="nil"/>
        </w:rPr>
        <w:t>•</w:t>
      </w:r>
      <w:r>
        <w:rPr>
          <w:noProof/>
        </w:rPr>
        <w:tab/>
      </w:r>
      <w:r>
        <w:rPr>
          <w:b/>
          <w:noProof/>
          <w:u w:color="000000"/>
          <w:bdr w:val="nil"/>
        </w:rPr>
        <w:t>Подробно разяснение на отделните разпоредби на предложението</w:t>
      </w:r>
      <w:bookmarkEnd w:id="1"/>
    </w:p>
    <w:p>
      <w:pPr>
        <w:pBdr>
          <w:top w:val="nil"/>
          <w:left w:val="nil"/>
          <w:bottom w:val="nil"/>
          <w:right w:val="nil"/>
          <w:between w:val="nil"/>
          <w:bar w:val="nil"/>
        </w:pBdr>
        <w:tabs>
          <w:tab w:val="left" w:pos="720"/>
        </w:tabs>
        <w:spacing w:before="0" w:after="240"/>
        <w:rPr>
          <w:rFonts w:eastAsia="Arial Unicode MS"/>
          <w:noProof/>
        </w:rPr>
      </w:pPr>
      <w:r>
        <w:rPr>
          <w:noProof/>
        </w:rPr>
        <w:t>С предложения регламент се уточнява съдържанието на статистическите данни за влаганите ресурси и продукцията в селското стопанство. В него се установява, че държавите членки трябва да предоставят статистически данни за 4 области и 12 свързани теми. Областите са статистика за животновъдството, статистика за растениевъдството, статистика за селскостопанските цени и статистика за хранителните вещества и продуктите за растителна защита. В подкрепа на тези разпоредби са формулирани членове, свързани с предмета, определенията, статистическата съвкупност и единиците на наблюдение, обхвата, периодичността при предаване на данните, източниците на данни и методите, референтните периоди, спецификациите за качество и евентуалния финансов принос. Освен това в Регламента е предвидена възможността за добавяне на конкретни специални аспекти, свързани със селскостопанските влагани ресурси и продукция, които да допълват събираните редовно данни.</w:t>
      </w:r>
    </w:p>
    <w:p>
      <w:pPr>
        <w:pBdr>
          <w:top w:val="nil"/>
          <w:left w:val="nil"/>
          <w:bottom w:val="nil"/>
          <w:right w:val="nil"/>
          <w:between w:val="nil"/>
          <w:bar w:val="nil"/>
        </w:pBdr>
        <w:tabs>
          <w:tab w:val="left" w:pos="720"/>
        </w:tabs>
        <w:spacing w:before="0" w:after="240"/>
        <w:rPr>
          <w:rFonts w:eastAsia="Arial Unicode MS"/>
          <w:noProof/>
        </w:rPr>
      </w:pPr>
      <w:r>
        <w:rPr>
          <w:noProof/>
        </w:rPr>
        <w:t xml:space="preserve">Подробните набори от данни ще бъдат уточнени в актове за изпълнение (регламенти). </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статистиката за селскостопанските влагани ресурси и продукция и за отмяна на регламенти (ЕО) № 1165/2008, (ЕО) № 543/2009, (ЕО) № 1185/2009 и Директива 96/16/ЕО на Съвета </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338,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Необходима е основа от статистически познания за разработването, изпълнението, мониторинга, оценката и прегледа на политиките във връзка със селското стопанство в Съюза, по-специално общата селскостопанска политика (ОСП), включително мерките за развитие на селските райони, както и политиките на Съюза, свързани, наред с другото, с околната среда, изменението на климата, земеползването, регионите, общественото здраве и целите за устойчиво развитие на Организацията на обединените нации. </w:t>
      </w:r>
    </w:p>
    <w:p>
      <w:pPr>
        <w:pStyle w:val="ManualConsidrant"/>
        <w:rPr>
          <w:noProof/>
        </w:rPr>
      </w:pPr>
      <w:r>
        <w:t>(2)</w:t>
      </w:r>
      <w:r>
        <w:tab/>
      </w:r>
      <w:r>
        <w:rPr>
          <w:noProof/>
        </w:rPr>
        <w:t xml:space="preserve">Със събирането на статистически данни, по-специално относно селскостопанските влагани ресурси и продукция, следва да се цели, наред с другото, при вземането на решения да се разполага с актуализирани данни в подкрепа на Европейския зелен пакт по отношение на стратегиите „От фермата до трапезата“ и „Биологично разнообразие“ и бъдещите реформи на ОСП. </w:t>
      </w:r>
    </w:p>
    <w:p>
      <w:pPr>
        <w:pStyle w:val="ManualConsidrant"/>
        <w:rPr>
          <w:noProof/>
        </w:rPr>
      </w:pPr>
      <w:r>
        <w:t>(3)</w:t>
      </w:r>
      <w:r>
        <w:tab/>
      </w:r>
      <w:r>
        <w:rPr>
          <w:noProof/>
        </w:rPr>
        <w:t xml:space="preserve">Висококачествените хармонизирани статистически данни са важни за оценка на състоянието и тенденциите във връзка със селскостопанските влагани ресурси и продукция в Съюза, функционирането на пазарите и продоволствената сигурност, както и за оценка на устойчивостта и на екологичното, икономическото и социалното въздействие, което оказват политиките на Съюза и националните политики. Тези данни включват, но не се ограничават само до статистиката за селскостопанските животни и месото, производството и употребата на яйца и производството и употребата на мляко и млечни продукти. От значение са и статистическите данни за площта, добива и производството на полски култури, зеленчуците, различни трайни насаждения и постоянно затревените площи и стоковите баланси. Все повече са необходими статистически данни за продажбите и употребата на продукти за растителна защита и торове. </w:t>
      </w:r>
    </w:p>
    <w:p>
      <w:pPr>
        <w:pStyle w:val="ManualConsidrant"/>
        <w:rPr>
          <w:noProof/>
        </w:rPr>
      </w:pPr>
      <w:r>
        <w:lastRenderedPageBreak/>
        <w:t>(4)</w:t>
      </w:r>
      <w:r>
        <w:tab/>
      </w:r>
      <w:r>
        <w:rPr>
          <w:noProof/>
        </w:rPr>
        <w:t xml:space="preserve">Международна оценка на статистиката за селското стопанство доведе до създаването на Глобална стратегия за подобряване на статистиката в областта на селското стопанство и селските райони на Организацията за прехрана и земеделие на Организацията на обединените нации, която беше одобрена от Статистическия комитет на ООН през 2010 г. Когато е целесъобразно, европейската статистика за селското стопанство следва да се придържа към препоръките на тази глобална стратегия. </w:t>
      </w:r>
    </w:p>
    <w:p>
      <w:pPr>
        <w:pStyle w:val="ManualConsidrant"/>
        <w:rPr>
          <w:noProof/>
        </w:rPr>
      </w:pPr>
      <w:r>
        <w:t>(5)</w:t>
      </w:r>
      <w:r>
        <w:tab/>
      </w:r>
      <w:r>
        <w:rPr>
          <w:noProof/>
        </w:rPr>
        <w:t>В Регламент (ЕО) № 223/2009 на Европейския парламент и на Съвета</w:t>
      </w:r>
      <w:r>
        <w:rPr>
          <w:noProof/>
          <w:vertAlign w:val="superscript"/>
        </w:rPr>
        <w:t>(</w:t>
      </w:r>
      <w:r>
        <w:rPr>
          <w:rStyle w:val="FootnoteReference"/>
          <w:noProof/>
        </w:rPr>
        <w:footnoteReference w:id="12"/>
      </w:r>
      <w:r>
        <w:rPr>
          <w:noProof/>
          <w:vertAlign w:val="superscript"/>
        </w:rPr>
        <w:t>)</w:t>
      </w:r>
      <w:r>
        <w:rPr>
          <w:noProof/>
        </w:rPr>
        <w:t xml:space="preserve"> се предвижда рамка за разработването, изготвянето и разпространението на европейска статистика въз основа на общи статистически принципи. С Регламент (ЕО) № 223/2009 се определят критерии за качество и той засяга необходимостта от това да се сведе до минимум тежестта върху респондентите на изследванията и да се допринесе за постигане на по-общата цел за намаляване на административната тежест. </w:t>
      </w:r>
    </w:p>
    <w:p>
      <w:pPr>
        <w:pStyle w:val="ManualConsidrant"/>
        <w:rPr>
          <w:noProof/>
        </w:rPr>
      </w:pPr>
      <w:r>
        <w:t>(6)</w:t>
      </w:r>
      <w:r>
        <w:tab/>
      </w:r>
      <w:r>
        <w:rPr>
          <w:noProof/>
        </w:rPr>
        <w:t>Стратегията за статистиката за селското стопанство за 2020 г. и след това</w:t>
      </w:r>
      <w:r>
        <w:rPr>
          <w:noProof/>
          <w:vertAlign w:val="superscript"/>
        </w:rPr>
        <w:t>(</w:t>
      </w:r>
      <w:r>
        <w:rPr>
          <w:rStyle w:val="FootnoteReference"/>
          <w:noProof/>
        </w:rPr>
        <w:footnoteReference w:id="13"/>
      </w:r>
      <w:r>
        <w:rPr>
          <w:noProof/>
          <w:vertAlign w:val="superscript"/>
        </w:rPr>
        <w:t>)</w:t>
      </w:r>
      <w:r>
        <w:rPr>
          <w:noProof/>
        </w:rPr>
        <w:t>, създадена от Комитета на Европейската статистическа система (КЕСС) през ноември 2015 г., предвижда приемането на два рамкови регламента, обхващащи всички аспекти от законодателството на ЕС за статистиката за селското стопанство, с изключение на икономическите сметки за селското стопанство. Настоящият регламент е един от тези два рамкови регламента и следва да допълни вече приетия рамков Регламент (ЕС) 2018/1091</w:t>
      </w:r>
      <w:r>
        <w:rPr>
          <w:noProof/>
          <w:vertAlign w:val="superscript"/>
        </w:rPr>
        <w:t>(</w:t>
      </w:r>
      <w:r>
        <w:rPr>
          <w:rStyle w:val="FootnoteReference"/>
          <w:noProof/>
        </w:rPr>
        <w:footnoteReference w:id="14"/>
      </w:r>
      <w:r>
        <w:rPr>
          <w:noProof/>
          <w:vertAlign w:val="superscript"/>
        </w:rPr>
        <w:t>)</w:t>
      </w:r>
      <w:r>
        <w:rPr>
          <w:noProof/>
        </w:rPr>
        <w:t xml:space="preserve">. </w:t>
      </w:r>
    </w:p>
    <w:p>
      <w:pPr>
        <w:pStyle w:val="ManualConsidrant"/>
        <w:rPr>
          <w:noProof/>
        </w:rPr>
      </w:pPr>
      <w:r>
        <w:t>(7)</w:t>
      </w:r>
      <w:r>
        <w:tab/>
      </w:r>
      <w:r>
        <w:rPr>
          <w:noProof/>
        </w:rPr>
        <w:t>Понастоящем европейската статистика за селскостопанските влагани ресурси и продукция се събира, изготвя и разпространява въз основа на няколко правни акта. Тази структура не осигурява целесъобразната последователност между отделните статистически области, нито насърчава интегриран подход към разработването, изготвянето и разпространението на статистиката за селското стопанство. С оглед на хармонизирането и съпоставимостта на информацията настоящият регламент следва да замени тези правни актове, както и за да се гарантира последователност и координация в европейската статистика за селското стопанство, за да улесни интегрирането и рационализирането на съответните статистически процеси и за да се създадат предпоставките за по-цялостен подход. Поради това е необходимо да се отменят регламенти (EО) № 1165/2008</w:t>
      </w:r>
      <w:r>
        <w:rPr>
          <w:noProof/>
          <w:vertAlign w:val="superscript"/>
        </w:rPr>
        <w:t>(</w:t>
      </w:r>
      <w:r>
        <w:rPr>
          <w:rStyle w:val="FootnoteReference"/>
          <w:noProof/>
        </w:rPr>
        <w:footnoteReference w:id="15"/>
      </w:r>
      <w:r>
        <w:rPr>
          <w:noProof/>
          <w:vertAlign w:val="superscript"/>
        </w:rPr>
        <w:t>)</w:t>
      </w:r>
      <w:r>
        <w:rPr>
          <w:noProof/>
        </w:rPr>
        <w:t>, (EО) № 543/2009</w:t>
      </w:r>
      <w:r>
        <w:rPr>
          <w:noProof/>
          <w:vertAlign w:val="superscript"/>
        </w:rPr>
        <w:t>(</w:t>
      </w:r>
      <w:r>
        <w:rPr>
          <w:rStyle w:val="FootnoteReference"/>
          <w:noProof/>
        </w:rPr>
        <w:footnoteReference w:id="16"/>
      </w:r>
      <w:r>
        <w:rPr>
          <w:noProof/>
          <w:vertAlign w:val="superscript"/>
        </w:rPr>
        <w:t>)</w:t>
      </w:r>
      <w:r>
        <w:rPr>
          <w:noProof/>
        </w:rPr>
        <w:t xml:space="preserve"> и (EО) № 1185/2009 на Европейския парламент </w:t>
      </w:r>
      <w:r>
        <w:rPr>
          <w:noProof/>
        </w:rPr>
        <w:lastRenderedPageBreak/>
        <w:t>и на Съвета</w:t>
      </w:r>
      <w:r>
        <w:rPr>
          <w:noProof/>
          <w:vertAlign w:val="superscript"/>
        </w:rPr>
        <w:t>(</w:t>
      </w:r>
      <w:r>
        <w:rPr>
          <w:rStyle w:val="FootnoteReference"/>
          <w:noProof/>
        </w:rPr>
        <w:footnoteReference w:id="17"/>
      </w:r>
      <w:r>
        <w:rPr>
          <w:noProof/>
          <w:vertAlign w:val="superscript"/>
        </w:rPr>
        <w:t>)</w:t>
      </w:r>
      <w:r>
        <w:rPr>
          <w:noProof/>
        </w:rPr>
        <w:t xml:space="preserve"> и Директива 96/16/EО на Съвета</w:t>
      </w:r>
      <w:r>
        <w:rPr>
          <w:noProof/>
          <w:vertAlign w:val="superscript"/>
        </w:rPr>
        <w:t>(</w:t>
      </w:r>
      <w:r>
        <w:rPr>
          <w:rStyle w:val="FootnoteReference"/>
          <w:noProof/>
        </w:rPr>
        <w:footnoteReference w:id="18"/>
      </w:r>
      <w:r>
        <w:rPr>
          <w:noProof/>
          <w:vertAlign w:val="superscript"/>
        </w:rPr>
        <w:t>)</w:t>
      </w:r>
      <w:r>
        <w:rPr>
          <w:noProof/>
        </w:rPr>
        <w:t xml:space="preserve">. Многобройните свързани с Европейската статистическа система (ЕСС) споразумения, както и неформалните споразумения относно предаването на данни следва да се включат в настоящия регламент, когато са налице доказателства, че данните отговарят на нуждите на ползвателите, че договорената методология работи и че данните са с подходящо качество. </w:t>
      </w:r>
    </w:p>
    <w:p>
      <w:pPr>
        <w:pStyle w:val="ManualConsidrant"/>
        <w:rPr>
          <w:noProof/>
        </w:rPr>
      </w:pPr>
      <w:r>
        <w:t>(8)</w:t>
      </w:r>
      <w:r>
        <w:tab/>
      </w:r>
      <w:r>
        <w:rPr>
          <w:noProof/>
        </w:rPr>
        <w:t>Изискваните в съответствие с Регламент (ЕО) № 617/2008 на Комисията</w:t>
      </w:r>
      <w:r>
        <w:rPr>
          <w:noProof/>
          <w:vertAlign w:val="superscript"/>
        </w:rPr>
        <w:t>(</w:t>
      </w:r>
      <w:r>
        <w:rPr>
          <w:rStyle w:val="FootnoteReference"/>
          <w:noProof/>
        </w:rPr>
        <w:footnoteReference w:id="19"/>
      </w:r>
      <w:r>
        <w:rPr>
          <w:noProof/>
          <w:vertAlign w:val="superscript"/>
        </w:rPr>
        <w:t xml:space="preserve">) </w:t>
      </w:r>
      <w:r>
        <w:rPr>
          <w:noProof/>
        </w:rPr>
        <w:t>статистически данни се събират от ЕСС, като не отговарят на всички нейни стандарти за качество. Тези статистически данни подкрепят европейските и националните политики в дългосрочен план и следва да се включат като европейска статистика, за да се гарантира наличието и качеството на данните. За да се избегне двойното докладване от страна на държавите членки, статистическите изисквания съгласно Регламент (ЕО) № 617/2008 следва да се отменят.</w:t>
      </w:r>
    </w:p>
    <w:p>
      <w:pPr>
        <w:pStyle w:val="ManualConsidrant"/>
        <w:rPr>
          <w:noProof/>
        </w:rPr>
      </w:pPr>
      <w:r>
        <w:t>(9)</w:t>
      </w:r>
      <w:r>
        <w:tab/>
      </w:r>
      <w:r>
        <w:rPr>
          <w:noProof/>
        </w:rPr>
        <w:t xml:space="preserve">Голяма част от европейските земеделски площи се състоят от затревени площи. Продукцията на тези площи не беше счетена за важна в миналото, поради което в статистиката за растителните култури не бяха включени данни за нея. Тъй като въздействието на затревените площи и преживните животни върху околната среда придоби по-голямо значение поради изменението на климата, са необходими статистически данни за продукцията на затревените площи и пашата на животните. </w:t>
      </w:r>
    </w:p>
    <w:p>
      <w:pPr>
        <w:pStyle w:val="ManualConsidrant"/>
        <w:rPr>
          <w:noProof/>
        </w:rPr>
      </w:pPr>
      <w:r>
        <w:t>(10)</w:t>
      </w:r>
      <w:r>
        <w:tab/>
      </w:r>
      <w:r>
        <w:rPr>
          <w:noProof/>
        </w:rPr>
        <w:t xml:space="preserve">С оглед на хармонизирането и съпоставимостта на информацията за селскостопанските влагани ресурси и продукция с информацията за структурата на земеделските стопанства и за по-нататъшното прилагане на Стратегията за статистиката за селското стопанство за 2020 г. и след това настоящият регламент следва да допълни Регламент (ЕС) 2018/1091. </w:t>
      </w:r>
    </w:p>
    <w:p>
      <w:pPr>
        <w:pStyle w:val="ManualConsidrant"/>
        <w:rPr>
          <w:noProof/>
        </w:rPr>
      </w:pPr>
      <w:r>
        <w:t>(11)</w:t>
      </w:r>
      <w:r>
        <w:tab/>
      </w:r>
      <w:r>
        <w:rPr>
          <w:noProof/>
        </w:rPr>
        <w:t>Регламент (ЕО) № 138/2004 на Европейския парламент и на Съвета</w:t>
      </w:r>
      <w:r>
        <w:rPr>
          <w:noProof/>
          <w:vertAlign w:val="superscript"/>
        </w:rPr>
        <w:t>(</w:t>
      </w:r>
      <w:r>
        <w:rPr>
          <w:rStyle w:val="FootnoteReference"/>
          <w:noProof/>
        </w:rPr>
        <w:footnoteReference w:id="20"/>
      </w:r>
      <w:r>
        <w:rPr>
          <w:noProof/>
          <w:vertAlign w:val="superscript"/>
        </w:rPr>
        <w:t>)</w:t>
      </w:r>
      <w:r>
        <w:rPr>
          <w:noProof/>
        </w:rPr>
        <w:t xml:space="preserve"> не обхваща статистиката за селскостопанските цени, но следва да се гарантира нейното наличие и съгласуваност с икономическите сметки за селското стопанство (ИССС). Тъй като ИССС са сателитна сметка на националните сметки, не е целесъобразно в Регламент (ЕО) № 138/2004 да се включва статистиката за селскостопанските цени. Поради това статистиката за селскостопанските влагани ресурси и продукция следва да обхваща статистиката за цените на селскостопанските влагани ресурси, които да са съгласувани с ИССС. Данните за цените в абсолютно изражение на селскостопанската продукция следва да са налични в държавите членки, за да се даде възможност за изчисляване на ИССС и за изготвяне на сравними ценови индекси. </w:t>
      </w:r>
    </w:p>
    <w:p>
      <w:pPr>
        <w:pStyle w:val="ManualConsidrant"/>
        <w:rPr>
          <w:noProof/>
        </w:rPr>
      </w:pPr>
      <w:r>
        <w:lastRenderedPageBreak/>
        <w:t>(12)</w:t>
      </w:r>
      <w:r>
        <w:tab/>
      </w:r>
      <w:r>
        <w:rPr>
          <w:noProof/>
        </w:rPr>
        <w:t>Данните за пускането на пазара и употребата на пестицидите, които трябва да се представят съгласно Директива 2009/128/ЕО на Европейския парламент и на Съвета</w:t>
      </w:r>
      <w:r>
        <w:rPr>
          <w:noProof/>
          <w:vertAlign w:val="superscript"/>
        </w:rPr>
        <w:t>(</w:t>
      </w:r>
      <w:r>
        <w:rPr>
          <w:rStyle w:val="FootnoteReference"/>
          <w:noProof/>
        </w:rPr>
        <w:footnoteReference w:id="21"/>
      </w:r>
      <w:r>
        <w:rPr>
          <w:noProof/>
          <w:vertAlign w:val="superscript"/>
        </w:rPr>
        <w:t>)</w:t>
      </w:r>
      <w:r>
        <w:rPr>
          <w:noProof/>
        </w:rPr>
        <w:t xml:space="preserve"> и Регламент (ЕО) № 1107/2009 на Европейския парламент и на Съвета</w:t>
      </w:r>
      <w:r>
        <w:rPr>
          <w:rStyle w:val="FootnoteReference"/>
          <w:noProof/>
        </w:rPr>
        <w:footnoteReference w:id="22"/>
      </w:r>
      <w:r>
        <w:rPr>
          <w:noProof/>
        </w:rPr>
        <w:t>, следва да се използват в съответствие с относимите разпоредби от посочените директива и регламент с оглед на изискванията по настоящия регламент.</w:t>
      </w:r>
    </w:p>
    <w:p>
      <w:pPr>
        <w:pStyle w:val="ManualConsidrant"/>
        <w:rPr>
          <w:noProof/>
        </w:rPr>
      </w:pPr>
      <w:r>
        <w:t>(13)</w:t>
      </w:r>
      <w:r>
        <w:tab/>
      </w:r>
      <w:r>
        <w:rPr>
          <w:noProof/>
        </w:rPr>
        <w:t xml:space="preserve">Съпоставимите статистически данни от всички държави членки за селскостопанските влагани ресурси и продукция са важни за дефиниране на развитието на ОСП. Доколкото е възможно, следва да се използват стандартни класификации и общи определения за променливите. </w:t>
      </w:r>
    </w:p>
    <w:p>
      <w:pPr>
        <w:pStyle w:val="ManualConsidrant"/>
        <w:rPr>
          <w:noProof/>
        </w:rPr>
      </w:pPr>
      <w:r>
        <w:t>(14)</w:t>
      </w:r>
      <w:r>
        <w:tab/>
      </w:r>
      <w:r>
        <w:rPr>
          <w:noProof/>
        </w:rPr>
        <w:t xml:space="preserve">Данните, необходими за съставяне на статистиката, следва, когато е възможно, да се събират по начин, при който разходите и административната тежест да са най-малки. Поради това е необходимо да се установят възможните собственици на източниците на изискваните данни и да се гарантира, че тези източници могат да се използват за статистически цели. </w:t>
      </w:r>
    </w:p>
    <w:p>
      <w:pPr>
        <w:pStyle w:val="ManualConsidrant"/>
        <w:rPr>
          <w:noProof/>
        </w:rPr>
      </w:pPr>
      <w:r>
        <w:t>(15)</w:t>
      </w:r>
      <w:r>
        <w:tab/>
      </w:r>
      <w:r>
        <w:rPr>
          <w:noProof/>
        </w:rPr>
        <w:t xml:space="preserve">Наборите от данни, които трябва да се предават, обхващат няколко статистически области. За да се запази гъвкав подход, който дава възможност статистиката да се адаптира при промяна на изискванията към данните, в основния регламент следва да се определят само областите, темите и подробните теми, като наборите от подробни данни се уточняват в актове за изпълнение. </w:t>
      </w:r>
    </w:p>
    <w:p>
      <w:pPr>
        <w:pStyle w:val="ManualConsidrant"/>
        <w:rPr>
          <w:noProof/>
        </w:rPr>
      </w:pPr>
      <w:r>
        <w:t>(16)</w:t>
      </w:r>
      <w:r>
        <w:tab/>
      </w:r>
      <w:r>
        <w:rPr>
          <w:noProof/>
        </w:rPr>
        <w:t>Биологичното производство придобива все по-голямо значение като показател за системи за устойчиво селскостопанско производство. Поради това е необходимо да се гарантира, че наличните статистически данни за биологичното земеделие са последователни с оглед на другите статистически данни за селскостопанското производство чрез включването им в наборите от данни. Тези статистически данни за биологичното производство следва също така да са съгласувани и да използват административната информация, изготвяна съгласно Регламент (ЕС) 2018/848 на Европейския парламент и на Съвета</w:t>
      </w:r>
      <w:r>
        <w:rPr>
          <w:noProof/>
          <w:vertAlign w:val="superscript"/>
        </w:rPr>
        <w:t>(</w:t>
      </w:r>
      <w:r>
        <w:rPr>
          <w:rStyle w:val="FootnoteReference"/>
          <w:noProof/>
        </w:rPr>
        <w:footnoteReference w:id="23"/>
      </w:r>
      <w:r>
        <w:rPr>
          <w:noProof/>
          <w:vertAlign w:val="superscript"/>
        </w:rPr>
        <w:t>)</w:t>
      </w:r>
      <w:r>
        <w:rPr>
          <w:noProof/>
        </w:rPr>
        <w:t xml:space="preserve">. </w:t>
      </w:r>
    </w:p>
    <w:p>
      <w:pPr>
        <w:pStyle w:val="ManualConsidrant"/>
        <w:rPr>
          <w:noProof/>
        </w:rPr>
      </w:pPr>
      <w:r>
        <w:t>(17)</w:t>
      </w:r>
      <w:r>
        <w:tab/>
      </w:r>
      <w:r>
        <w:rPr>
          <w:noProof/>
        </w:rPr>
        <w:t>В съответствие с Регламент (ЕО) № 1059/2003 на Европейския парламент и на Съвета</w:t>
      </w:r>
      <w:r>
        <w:rPr>
          <w:noProof/>
          <w:vertAlign w:val="superscript"/>
        </w:rPr>
        <w:t>(</w:t>
      </w:r>
      <w:r>
        <w:rPr>
          <w:rStyle w:val="FootnoteReference"/>
          <w:noProof/>
        </w:rPr>
        <w:footnoteReference w:id="24"/>
      </w:r>
      <w:r>
        <w:rPr>
          <w:noProof/>
          <w:vertAlign w:val="superscript"/>
        </w:rPr>
        <w:t>)</w:t>
      </w:r>
      <w:r>
        <w:rPr>
          <w:noProof/>
        </w:rPr>
        <w:t xml:space="preserve"> териториалните единици следва да се определят съгласно класификацията по Номенклатурата на териториалните единици за статистически цели (NUTS). </w:t>
      </w:r>
    </w:p>
    <w:p>
      <w:pPr>
        <w:pStyle w:val="ManualConsidrant"/>
        <w:rPr>
          <w:noProof/>
        </w:rPr>
      </w:pPr>
      <w:r>
        <w:t>(18)</w:t>
      </w:r>
      <w:r>
        <w:tab/>
      </w:r>
      <w:r>
        <w:rPr>
          <w:noProof/>
        </w:rPr>
        <w:t>Следва да е възможно да се събират данни по специални аспекти, свързани със селскостопанските влагани ресурси и продукция в определен момент, за да се допълват събираните редовно данни с още информация за аспектите, които изискват повече сведения, за нови явления или иновации.</w:t>
      </w:r>
    </w:p>
    <w:p>
      <w:pPr>
        <w:pStyle w:val="ManualConsidrant"/>
        <w:rPr>
          <w:noProof/>
        </w:rPr>
      </w:pPr>
      <w:r>
        <w:lastRenderedPageBreak/>
        <w:t>(19)</w:t>
      </w:r>
      <w:r>
        <w:tab/>
      </w:r>
      <w:r>
        <w:rPr>
          <w:noProof/>
        </w:rPr>
        <w:t xml:space="preserve">За да се намали административната тежест за държавите членки, следва да се разреши освобождаване от предаването на определени събирани редовно данни, ако приносът на държавите членки към общата стойност на тези данни на нивото на ЕС е малък. </w:t>
      </w:r>
    </w:p>
    <w:p>
      <w:pPr>
        <w:pStyle w:val="ManualConsidrant"/>
        <w:rPr>
          <w:noProof/>
        </w:rPr>
      </w:pPr>
      <w:r>
        <w:t>(20)</w:t>
      </w:r>
      <w:r>
        <w:tab/>
      </w:r>
      <w:r>
        <w:rPr>
          <w:noProof/>
        </w:rPr>
        <w:t xml:space="preserve">За да се подобри ефикасността при процесите на изготвяне на статистиката на ЕСС и за да се намали административната тежест за респондентите, националните статистически институти (НСИ) и другите национални органи следва да имат своевременно и безплатно право на достъп и използване на всички административни данни, събрани за обществени цели, независимо дали са притежавани от публични органи или частни организации. НСИ и другите национални органи следва също да могат да интегрират тези административни данни със статистическите данни, доколкото тези данни са необходими за разработване, изготвяне и разпространение на европейската статистика за селското стопанство в съответствие с член 17а от Регламент (ЕО) № 223/2009. </w:t>
      </w:r>
    </w:p>
    <w:p>
      <w:pPr>
        <w:pStyle w:val="ManualConsidrant"/>
        <w:rPr>
          <w:noProof/>
        </w:rPr>
      </w:pPr>
      <w:r>
        <w:t>(21)</w:t>
      </w:r>
      <w:r>
        <w:tab/>
      </w:r>
      <w:r>
        <w:rPr>
          <w:noProof/>
        </w:rPr>
        <w:t xml:space="preserve">Държавите членки или компетентните национални органи следва да се стремят да модернизират начините за събиране на данни, доколкото това е възможно. Използването на цифрови решения следва да се насърчава. </w:t>
      </w:r>
    </w:p>
    <w:p>
      <w:pPr>
        <w:pStyle w:val="ManualConsidrant"/>
        <w:rPr>
          <w:noProof/>
        </w:rPr>
      </w:pPr>
      <w:r>
        <w:t>(22)</w:t>
      </w:r>
      <w:r>
        <w:tab/>
      </w:r>
      <w:r>
        <w:rPr>
          <w:noProof/>
        </w:rPr>
        <w:t xml:space="preserve">За да се гарантира гъвкавостта и за да се намали административната тежест за респондентите, НСИ и другите национални органи, държавите членки следва да имат право да използват статистически изследвания, административни документи и всякакви други източници, методи или иновативни подходи, включително научно обосновани и добре документирани методи, като импутация, оценка и моделиране. Качеството, и по-специално точността, актуалността и съпоставимостта на статистическите данни въз основа на тези източници следва винаги да са гарантирани. </w:t>
      </w:r>
    </w:p>
    <w:p>
      <w:pPr>
        <w:pStyle w:val="ManualConsidrant"/>
        <w:rPr>
          <w:noProof/>
        </w:rPr>
      </w:pPr>
      <w:r>
        <w:t>(23)</w:t>
      </w:r>
      <w:r>
        <w:tab/>
      </w:r>
      <w:r>
        <w:rPr>
          <w:noProof/>
        </w:rPr>
        <w:t xml:space="preserve">Регламент (ЕО) № 223/2009 съдържа разпоредби за предаването на данни от държавите членки на Комисията (Евростат) и тяхното използване, включително за предаването и защитата на поверителните данни. Мерките, предприети в съответствие с настоящия регламент, следва да гарантират, че поверителните данни се предават и се използват изключително за статистически цели съгласно членове 21 и 22 от Регламент (ЕО) № 223/2009. </w:t>
      </w:r>
    </w:p>
    <w:p>
      <w:pPr>
        <w:pStyle w:val="ManualConsidrant"/>
        <w:rPr>
          <w:noProof/>
        </w:rPr>
      </w:pPr>
      <w:r>
        <w:t>(24)</w:t>
      </w:r>
      <w:r>
        <w:tab/>
      </w:r>
      <w:r>
        <w:rPr>
          <w:noProof/>
        </w:rPr>
        <w:t>С Регламент (ЕО) № 223/2009 е предвидена референтна рамка за европейската статистика и се изисква от държавите членки да спазват статистическите принципи и критериите за качество, определени в същия регламент. Докладите за качеството са от основно значение за оценяване, подобряване и посочване на качеството на европейската статистика. КЕСС одобри единната интегрирана структура на метаданните като стандарт на ЕСС за докладване за качеството, като по този начин чрез единни стандарти и хармонизирани методи се спомага за изпълнение на изискванията към качеството на статистическите данни по член 12, параграф 3 от Регламент (ЕО) № 223/2009. Стандартът на ЕСС трябва да допринесе за хармонизация на докладването за качеството съгласно настоящия регламент.</w:t>
      </w:r>
    </w:p>
    <w:p>
      <w:pPr>
        <w:pStyle w:val="ManualConsidrant"/>
        <w:rPr>
          <w:noProof/>
        </w:rPr>
      </w:pPr>
      <w:r>
        <w:t>(25)</w:t>
      </w:r>
      <w:r>
        <w:tab/>
      </w:r>
      <w:r>
        <w:rPr>
          <w:noProof/>
        </w:rPr>
        <w:t xml:space="preserve">В съответствие с принципа на добро финансово управление беше извършена оценка на въздействието, за да се насочи вниманието в създадената с настоящия регламент статистическа програма към нуждата от ефективност при постигане на целите и за да се вземат предвид бюджетните ограничения. </w:t>
      </w:r>
    </w:p>
    <w:p>
      <w:pPr>
        <w:pStyle w:val="ManualConsidrant"/>
        <w:rPr>
          <w:noProof/>
        </w:rPr>
      </w:pPr>
      <w:r>
        <w:lastRenderedPageBreak/>
        <w:t>(26)</w:t>
      </w:r>
      <w:r>
        <w:tab/>
      </w:r>
      <w:r>
        <w:rPr>
          <w:noProof/>
        </w:rPr>
        <w:t xml:space="preserve">Доколкото целта на настоящия регламент, а именно систематичното изготвяне на европейска статистика за селскостопанските влагани ресурси и продукция в Съюза, не може да се постигне в достатъчна степен от държавите членки поради необходимостта от координиран подход, а от съображения за съгласуваност и съпоставимост може да бъде по-добре осъществена на равнището на Съюза, последният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формулиран в същия член, настоящият регламент не надхвърля необходимото за постигане на тази цел. </w:t>
      </w:r>
    </w:p>
    <w:p>
      <w:pPr>
        <w:pStyle w:val="ManualConsidrant"/>
        <w:rPr>
          <w:noProof/>
        </w:rPr>
      </w:pPr>
      <w:r>
        <w:t>(27)</w:t>
      </w:r>
      <w:r>
        <w:tab/>
      </w:r>
      <w:r>
        <w:rPr>
          <w:noProof/>
        </w:rPr>
        <w:t>За да се вземат предвид новите нужди от данни, които произтичат основно от новостите в развитието в селското стопанство, от преработеното законодателство и от променящите се приоритети на политиките,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изменението на подробните теми, изброени в настоящия регламент, и с определянето на темите и подробните теми, за които трябва да се представят данни, и с установяването на другите практически условия за събиране на специалните данни, както е предвидено в настоящия регламент. От особена важност е по време на подготвителната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залегнали в Междуинституционалното споразумение за по-добро законотворчество от 13 април 2016 г.</w:t>
      </w:r>
      <w:r>
        <w:rPr>
          <w:noProof/>
          <w:vertAlign w:val="superscript"/>
        </w:rPr>
        <w:t>(</w:t>
      </w:r>
      <w:r>
        <w:rPr>
          <w:rStyle w:val="FootnoteReference"/>
          <w:noProof/>
        </w:rPr>
        <w:footnoteReference w:id="25"/>
      </w:r>
      <w:r>
        <w:rPr>
          <w:noProof/>
          <w:vertAlign w:val="superscript"/>
        </w:rPr>
        <w:t>)</w:t>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(28)</w:t>
      </w:r>
      <w:r>
        <w:tab/>
      </w:r>
      <w:r>
        <w:rPr>
          <w:noProof/>
        </w:rPr>
        <w:t>За да се гарантират еднакви условия за прилагането на настоящия регламент, на Комисията следва да се предоставят изпълнителни правомощия да определя наборите от данни, свързани с темите и подробните теми, изброени в приложението, и техническите елементи на данните, които трябва да се представят, както и да изготвя списъци и описания на променливите и да установява другите практически условия за събирането на специалните данни, както и да определя практическите условия и съдържанието на докладите за качеството. Тези правомощия следва да бъдат упражнявани в съответствие с Регламент (ЕС) № 182/2011 на Европейския парламент и на Съвета</w:t>
      </w:r>
      <w:r>
        <w:rPr>
          <w:noProof/>
          <w:vertAlign w:val="superscript"/>
        </w:rPr>
        <w:t>(</w:t>
      </w:r>
      <w:r>
        <w:rPr>
          <w:rStyle w:val="FootnoteReference"/>
          <w:noProof/>
        </w:rPr>
        <w:footnoteReference w:id="26"/>
      </w:r>
      <w:r>
        <w:rPr>
          <w:noProof/>
          <w:vertAlign w:val="superscript"/>
        </w:rPr>
        <w:t>)</w:t>
      </w:r>
      <w:r>
        <w:rPr>
          <w:noProof/>
        </w:rPr>
        <w:t xml:space="preserve">. </w:t>
      </w:r>
    </w:p>
    <w:p>
      <w:pPr>
        <w:pStyle w:val="ManualConsidrant"/>
        <w:rPr>
          <w:noProof/>
        </w:rPr>
      </w:pPr>
      <w:r>
        <w:t>(29)</w:t>
      </w:r>
      <w:r>
        <w:tab/>
      </w:r>
      <w:r>
        <w:rPr>
          <w:noProof/>
        </w:rPr>
        <w:t>Когато прилагането на настоящия регламент изисква значителни адаптации в националната статистическа система на дадена държава членка, в надлежно обосновани случаи и за ограничен период от време Комисията следва да може да предоставя дерогации на съответната държава членка. Такива значителни адаптации могат да възникнат по-специално от необходимостта от адаптиране на системите за събиране на данни, за да се включват новите изисквания към данните, включително достъпа до административни източници.</w:t>
      </w:r>
    </w:p>
    <w:p>
      <w:pPr>
        <w:pStyle w:val="ManualConsidrant"/>
        <w:rPr>
          <w:noProof/>
        </w:rPr>
      </w:pPr>
      <w:r>
        <w:lastRenderedPageBreak/>
        <w:t>(30)</w:t>
      </w:r>
      <w:r>
        <w:tab/>
      </w:r>
      <w:r>
        <w:rPr>
          <w:noProof/>
        </w:rPr>
        <w:t>През целия цикъл на разходите финансовите интереси на Съюза следва да бъдат защитавани посредством пропорционални мерки, включително посредством предотвратяване, разкриване и разследване на нередности, възстановяване на изгубени, недължимо платени или неправилно използвани средства и когато е целесъобразно, налагане на административни и финансови санкции.</w:t>
      </w:r>
    </w:p>
    <w:p>
      <w:pPr>
        <w:pStyle w:val="ManualConsidrant"/>
        <w:rPr>
          <w:noProof/>
        </w:rPr>
      </w:pPr>
      <w:r>
        <w:t>(31)</w:t>
      </w:r>
      <w:r>
        <w:tab/>
      </w:r>
      <w:r>
        <w:rPr>
          <w:noProof/>
        </w:rPr>
        <w:t>Настоящият регламент следва да се прилага, без да се засягат Директива 2003/4/ЕО</w:t>
      </w:r>
      <w:r>
        <w:rPr>
          <w:noProof/>
          <w:vertAlign w:val="superscript"/>
        </w:rPr>
        <w:t>(</w:t>
      </w:r>
      <w:r>
        <w:rPr>
          <w:rStyle w:val="FootnoteReference"/>
          <w:noProof/>
        </w:rPr>
        <w:footnoteReference w:id="27"/>
      </w:r>
      <w:r>
        <w:rPr>
          <w:noProof/>
          <w:vertAlign w:val="superscript"/>
        </w:rPr>
        <w:t>)</w:t>
      </w:r>
      <w:r>
        <w:rPr>
          <w:noProof/>
        </w:rPr>
        <w:t xml:space="preserve"> и Регламент (ЕО) № 1367/2006</w:t>
      </w:r>
      <w:r>
        <w:rPr>
          <w:noProof/>
          <w:vertAlign w:val="superscript"/>
        </w:rPr>
        <w:t>(</w:t>
      </w:r>
      <w:r>
        <w:rPr>
          <w:rStyle w:val="FootnoteReference"/>
          <w:noProof/>
        </w:rPr>
        <w:footnoteReference w:id="28"/>
      </w:r>
      <w:r>
        <w:rPr>
          <w:noProof/>
          <w:vertAlign w:val="superscript"/>
        </w:rPr>
        <w:t>)</w:t>
      </w:r>
      <w:r>
        <w:rPr>
          <w:noProof/>
        </w:rPr>
        <w:t>.</w:t>
      </w:r>
    </w:p>
    <w:p>
      <w:pPr>
        <w:pStyle w:val="ManualConsidrant"/>
        <w:rPr>
          <w:noProof/>
        </w:rPr>
      </w:pPr>
      <w:r>
        <w:t>(32)</w:t>
      </w:r>
      <w:r>
        <w:tab/>
      </w:r>
      <w:r>
        <w:rPr>
          <w:noProof/>
        </w:rPr>
        <w:t xml:space="preserve">Сътрудничеството и координацията между органите в рамките на ЕСС следва да се увеличат, за да се осигури съгласуваност и съпоставимост на европейската статистика за селското стопанство, изготвяна в съответствие с принципите, залегнали в член 338, параграф 2 от Договора за функционирането на Европейския съюз. Данните се събират и от други органи на Съюза, различни от посочените в настоящия регламент, и от други организации. Поради това сътрудничеството между тези организации и участващите субекти в ЕСС следва да бъде засилено, за да се използват полезните взаимодействия. </w:t>
      </w:r>
    </w:p>
    <w:p>
      <w:pPr>
        <w:pStyle w:val="ManualConsidrant"/>
        <w:rPr>
          <w:noProof/>
        </w:rPr>
      </w:pPr>
      <w:r>
        <w:t>(33)</w:t>
      </w:r>
      <w:r>
        <w:tab/>
      </w:r>
      <w:r>
        <w:rPr>
          <w:noProof/>
        </w:rPr>
        <w:t>Беше проведена консултация с КЕСС,</w:t>
      </w:r>
    </w:p>
    <w:p>
      <w:pPr>
        <w:spacing w:before="0"/>
        <w:jc w:val="left"/>
        <w:rPr>
          <w:rFonts w:asciiTheme="minorHAnsi" w:hAnsiTheme="minorHAnsi" w:cstheme="minorHAnsi"/>
          <w:noProof/>
        </w:rPr>
      </w:pPr>
    </w:p>
    <w:p>
      <w:pPr>
        <w:pStyle w:val="Formuledadoption"/>
        <w:rPr>
          <w:noProof/>
        </w:rPr>
      </w:pPr>
      <w:r>
        <w:rPr>
          <w:noProof/>
        </w:rPr>
        <w:t>ПРИЕХА НАСТОЯЩИЯ РЕГЛАМЕНТ:</w:t>
      </w:r>
      <w:r>
        <w:rPr>
          <w:noProof/>
        </w:rPr>
        <w:tab/>
        <w:t xml:space="preserve"> </w:t>
      </w:r>
      <w:r>
        <w:rPr>
          <w:noProof/>
        </w:rPr>
        <w:br/>
      </w:r>
    </w:p>
    <w:p>
      <w:pPr>
        <w:keepNext/>
        <w:spacing w:before="360" w:after="200" w:line="276" w:lineRule="auto"/>
        <w:jc w:val="center"/>
        <w:rPr>
          <w:i/>
          <w:noProof/>
        </w:rPr>
      </w:pPr>
      <w:r>
        <w:rPr>
          <w:i/>
          <w:noProof/>
        </w:rPr>
        <w:t>Член 1</w:t>
      </w:r>
    </w:p>
    <w:p>
      <w:pPr>
        <w:keepNext/>
        <w:spacing w:before="75" w:after="75" w:line="276" w:lineRule="auto"/>
        <w:jc w:val="center"/>
        <w:rPr>
          <w:b/>
          <w:noProof/>
        </w:rPr>
      </w:pPr>
      <w:r>
        <w:rPr>
          <w:b/>
          <w:noProof/>
        </w:rPr>
        <w:t xml:space="preserve">Предмет </w:t>
      </w:r>
    </w:p>
    <w:p>
      <w:pPr>
        <w:spacing w:before="0" w:after="200" w:line="276" w:lineRule="auto"/>
        <w:rPr>
          <w:noProof/>
        </w:rPr>
      </w:pPr>
      <w:r>
        <w:rPr>
          <w:noProof/>
        </w:rPr>
        <w:t xml:space="preserve">С настоящия регламент се създава рамка за агрегирани европейски статистически данни, свързани с влаганите ресурси и продукцията на селскостопанските дейности, както и с употребата като междинен продукт на тази продукция в селското стопанство и с нейното събиране и промишлена преработка. </w:t>
      </w:r>
    </w:p>
    <w:p>
      <w:pPr>
        <w:keepNext/>
        <w:spacing w:before="360" w:after="200" w:line="276" w:lineRule="auto"/>
        <w:jc w:val="center"/>
        <w:rPr>
          <w:i/>
          <w:noProof/>
        </w:rPr>
      </w:pPr>
      <w:r>
        <w:rPr>
          <w:i/>
          <w:noProof/>
        </w:rPr>
        <w:t>Член 2</w:t>
      </w:r>
    </w:p>
    <w:p>
      <w:pPr>
        <w:keepNext/>
        <w:spacing w:before="75" w:after="75" w:line="276" w:lineRule="auto"/>
        <w:jc w:val="center"/>
        <w:rPr>
          <w:b/>
          <w:noProof/>
        </w:rPr>
      </w:pPr>
      <w:r>
        <w:rPr>
          <w:b/>
          <w:noProof/>
        </w:rPr>
        <w:t>Определения</w:t>
      </w:r>
    </w:p>
    <w:p>
      <w:pPr>
        <w:spacing w:before="0" w:after="200" w:line="276" w:lineRule="auto"/>
        <w:rPr>
          <w:noProof/>
        </w:rPr>
      </w:pPr>
      <w:r>
        <w:rPr>
          <w:noProof/>
        </w:rPr>
        <w:t>За целите на настоящия регламент се прилагат определенията на „селскостопанска дейност“, „използвана земеделска площ“, „животинска единица“, „земеделско стопанство“ и „селскостопанска единица със земя за общо ползване“, установени в член 2, букви а), б), г) и д) от Регламент (ЕС) 2018/1091.</w:t>
      </w:r>
    </w:p>
    <w:p>
      <w:pPr>
        <w:spacing w:before="0" w:after="200" w:line="276" w:lineRule="auto"/>
        <w:rPr>
          <w:noProof/>
        </w:rPr>
      </w:pPr>
      <w:r>
        <w:rPr>
          <w:noProof/>
        </w:rPr>
        <w:t>Прилагат се също така следните определения:</w:t>
      </w:r>
    </w:p>
    <w:p>
      <w:pPr>
        <w:spacing w:before="0" w:after="200" w:line="276" w:lineRule="auto"/>
        <w:ind w:left="567" w:hanging="567"/>
        <w:rPr>
          <w:noProof/>
        </w:rPr>
      </w:pPr>
      <w:r>
        <w:rPr>
          <w:noProof/>
        </w:rPr>
        <w:lastRenderedPageBreak/>
        <w:t>(1)</w:t>
      </w:r>
      <w:r>
        <w:rPr>
          <w:noProof/>
        </w:rPr>
        <w:tab/>
        <w:t>„млекопреработвателно предприятие“ означава предприятие или земеделско стопанство, което купува пълномаслено мляко или, в определени случаи, млечни продукти, за да ги преработи в млечни продукти; и предприятията, които събират мляко или сметана, за да ги предадат изцяло или отчасти, без каквато и да е преработка, на млекопреработвателните предприятия;</w:t>
      </w:r>
    </w:p>
    <w:p>
      <w:pPr>
        <w:spacing w:before="0" w:after="200" w:line="276" w:lineRule="auto"/>
        <w:ind w:left="567" w:hanging="567"/>
        <w:rPr>
          <w:noProof/>
        </w:rPr>
      </w:pPr>
      <w:r>
        <w:rPr>
          <w:noProof/>
        </w:rPr>
        <w:t>(2)</w:t>
      </w:r>
      <w:r>
        <w:rPr>
          <w:noProof/>
        </w:rPr>
        <w:tab/>
        <w:t>„кланица“ означава официално регистрирано и одобрено предприятие с разрешение за клане и тоалет на животните, чието месо е предназначено за консумация от човека;</w:t>
      </w:r>
    </w:p>
    <w:p>
      <w:pPr>
        <w:spacing w:before="0" w:after="200" w:line="276" w:lineRule="auto"/>
        <w:ind w:left="567" w:hanging="567"/>
        <w:rPr>
          <w:noProof/>
        </w:rPr>
      </w:pPr>
      <w:r>
        <w:rPr>
          <w:noProof/>
        </w:rPr>
        <w:t>(3)</w:t>
      </w:r>
      <w:r>
        <w:rPr>
          <w:noProof/>
        </w:rPr>
        <w:tab/>
        <w:t>„люпилня“ означава предприятие за отглеждане на яйца в инкубатор, люпене и доставка на пилета;</w:t>
      </w:r>
    </w:p>
    <w:p>
      <w:pPr>
        <w:spacing w:before="0" w:after="200" w:line="276" w:lineRule="auto"/>
        <w:ind w:left="567" w:hanging="567"/>
        <w:rPr>
          <w:noProof/>
        </w:rPr>
      </w:pPr>
      <w:r>
        <w:rPr>
          <w:noProof/>
        </w:rPr>
        <w:t>(4)</w:t>
      </w:r>
      <w:r>
        <w:rPr>
          <w:noProof/>
        </w:rPr>
        <w:tab/>
        <w:t>„отчетна единица“ означава единицата, която предоставя статистическите данни;</w:t>
      </w:r>
    </w:p>
    <w:p>
      <w:pPr>
        <w:spacing w:before="0" w:after="200" w:line="276" w:lineRule="auto"/>
        <w:ind w:left="567" w:hanging="567"/>
        <w:rPr>
          <w:noProof/>
        </w:rPr>
      </w:pPr>
      <w:r>
        <w:rPr>
          <w:noProof/>
        </w:rPr>
        <w:t>(5)</w:t>
      </w:r>
      <w:r>
        <w:rPr>
          <w:noProof/>
        </w:rPr>
        <w:tab/>
        <w:t>„единица на наблюдение“ означава определима единица, за която могат да се получат данни;</w:t>
      </w:r>
    </w:p>
    <w:p>
      <w:pPr>
        <w:spacing w:before="0" w:after="200" w:line="276" w:lineRule="auto"/>
        <w:ind w:left="567" w:hanging="567"/>
        <w:rPr>
          <w:noProof/>
        </w:rPr>
      </w:pPr>
      <w:r>
        <w:rPr>
          <w:noProof/>
        </w:rPr>
        <w:t>(6)</w:t>
      </w:r>
      <w:r>
        <w:rPr>
          <w:noProof/>
        </w:rPr>
        <w:tab/>
        <w:t>„област“ означава един или няколко набора от данни, които включват конкретни теми;</w:t>
      </w:r>
    </w:p>
    <w:p>
      <w:pPr>
        <w:spacing w:before="0" w:after="200" w:line="276" w:lineRule="auto"/>
        <w:ind w:left="567" w:hanging="567"/>
        <w:rPr>
          <w:noProof/>
        </w:rPr>
      </w:pPr>
      <w:r>
        <w:rPr>
          <w:noProof/>
        </w:rPr>
        <w:t>(7)</w:t>
      </w:r>
      <w:r>
        <w:rPr>
          <w:noProof/>
        </w:rPr>
        <w:tab/>
        <w:t xml:space="preserve">„тема“ означава съдържанието на информацията, която трябва да бъде съставена за единиците на наблюдение, като всяка тема включва една или повече подробни теми; </w:t>
      </w:r>
    </w:p>
    <w:p>
      <w:pPr>
        <w:spacing w:before="0" w:after="200" w:line="276" w:lineRule="auto"/>
        <w:ind w:left="567" w:hanging="567"/>
        <w:rPr>
          <w:noProof/>
        </w:rPr>
      </w:pPr>
      <w:r>
        <w:rPr>
          <w:noProof/>
        </w:rPr>
        <w:t>(8)</w:t>
      </w:r>
      <w:r>
        <w:rPr>
          <w:noProof/>
        </w:rPr>
        <w:tab/>
        <w:t>„подробна тема“ означава подробното съдържание на информацията, която трябва да бъде съставена за единиците на наблюдение, свързани с определена тема, като всяка подробна тема включва една или повече променливи;</w:t>
      </w:r>
    </w:p>
    <w:p>
      <w:pPr>
        <w:spacing w:before="0" w:after="200" w:line="276" w:lineRule="auto"/>
        <w:ind w:left="567" w:hanging="567"/>
        <w:rPr>
          <w:noProof/>
        </w:rPr>
      </w:pPr>
      <w:r>
        <w:rPr>
          <w:noProof/>
        </w:rPr>
        <w:t>(9)</w:t>
      </w:r>
      <w:r>
        <w:rPr>
          <w:noProof/>
        </w:rPr>
        <w:tab/>
        <w:t>„набор от данни“ означава една или няколко агрегирани променливи, организирани като таблица;</w:t>
      </w:r>
    </w:p>
    <w:p>
      <w:pPr>
        <w:spacing w:before="0" w:after="200" w:line="276" w:lineRule="auto"/>
        <w:ind w:left="567" w:hanging="567"/>
        <w:rPr>
          <w:noProof/>
        </w:rPr>
      </w:pPr>
      <w:r>
        <w:rPr>
          <w:noProof/>
        </w:rPr>
        <w:t>(10)</w:t>
      </w:r>
      <w:r>
        <w:rPr>
          <w:noProof/>
        </w:rPr>
        <w:tab/>
        <w:t>„променлива“ означава характеристика на дадена наблюдавана единица, която може да приеме повече от една стойност от определен набор от стойности;</w:t>
      </w:r>
    </w:p>
    <w:p>
      <w:pPr>
        <w:spacing w:before="0" w:after="200" w:line="276" w:lineRule="auto"/>
        <w:ind w:left="567" w:hanging="567"/>
        <w:rPr>
          <w:noProof/>
        </w:rPr>
      </w:pPr>
      <w:r>
        <w:rPr>
          <w:noProof/>
        </w:rPr>
        <w:t>(11)</w:t>
      </w:r>
      <w:r>
        <w:rPr>
          <w:noProof/>
        </w:rPr>
        <w:tab/>
        <w:t>„предварително проверени данни“ означава данни, проверени от държавите членки въз основа на договорени общи правила за валидиране, когато съществуват такива;</w:t>
      </w:r>
    </w:p>
    <w:p>
      <w:pPr>
        <w:spacing w:before="0" w:after="200" w:line="276" w:lineRule="auto"/>
        <w:ind w:left="567" w:hanging="567"/>
        <w:rPr>
          <w:noProof/>
        </w:rPr>
      </w:pPr>
      <w:r>
        <w:rPr>
          <w:noProof/>
        </w:rPr>
        <w:t>(12)</w:t>
      </w:r>
      <w:r>
        <w:rPr>
          <w:noProof/>
        </w:rPr>
        <w:tab/>
        <w:t>„специални данни“ означава данни, които са от особен интерес за ползвателите в конкретен момент, но не са включени в събираните редовно набори от данни;</w:t>
      </w:r>
    </w:p>
    <w:p>
      <w:pPr>
        <w:spacing w:before="0" w:after="200" w:line="276" w:lineRule="auto"/>
        <w:ind w:left="567" w:hanging="567"/>
        <w:rPr>
          <w:noProof/>
        </w:rPr>
      </w:pPr>
      <w:r>
        <w:rPr>
          <w:noProof/>
        </w:rPr>
        <w:t>(13)</w:t>
      </w:r>
      <w:r>
        <w:rPr>
          <w:noProof/>
        </w:rPr>
        <w:tab/>
        <w:t>„административни данни“ означава данни, генерирани от нестатистически източник, обикновено притежаван от публичен орган или частна организация, чиято основна цел не е да изготвя статистически данни;</w:t>
      </w:r>
    </w:p>
    <w:p>
      <w:pPr>
        <w:spacing w:before="0" w:after="200" w:line="276" w:lineRule="auto"/>
        <w:ind w:left="567" w:hanging="567"/>
        <w:rPr>
          <w:noProof/>
        </w:rPr>
      </w:pPr>
      <w:r>
        <w:rPr>
          <w:noProof/>
        </w:rPr>
        <w:t>(14)</w:t>
      </w:r>
      <w:r>
        <w:rPr>
          <w:noProof/>
        </w:rPr>
        <w:tab/>
        <w:t>„метаданни“ означава информацията, която е необходима, за да може да се използват и тълкуват статистическите данни, и която описва данните по структуриран начин;</w:t>
      </w:r>
    </w:p>
    <w:p>
      <w:pPr>
        <w:spacing w:before="0" w:after="200" w:line="276" w:lineRule="auto"/>
        <w:ind w:left="567" w:hanging="567"/>
        <w:rPr>
          <w:noProof/>
        </w:rPr>
      </w:pPr>
      <w:r>
        <w:rPr>
          <w:noProof/>
        </w:rPr>
        <w:lastRenderedPageBreak/>
        <w:t>(15) „професионален потребител“ означава всяко лице, което използва продукти за растителна защита в рамките на професионалната си дейност, включително оператори, технически лица, работодатели и самостоятелно заети лица, в селското стопанство.</w:t>
      </w:r>
    </w:p>
    <w:p>
      <w:pPr>
        <w:keepNext/>
        <w:spacing w:before="360" w:after="200" w:line="276" w:lineRule="auto"/>
        <w:jc w:val="center"/>
        <w:rPr>
          <w:i/>
          <w:noProof/>
        </w:rPr>
      </w:pPr>
      <w:r>
        <w:rPr>
          <w:i/>
          <w:noProof/>
        </w:rPr>
        <w:t>Член 3</w:t>
      </w:r>
    </w:p>
    <w:p>
      <w:pPr>
        <w:keepNext/>
        <w:spacing w:before="0" w:after="200" w:line="276" w:lineRule="auto"/>
        <w:jc w:val="center"/>
        <w:rPr>
          <w:b/>
          <w:noProof/>
        </w:rPr>
      </w:pPr>
      <w:r>
        <w:rPr>
          <w:b/>
          <w:noProof/>
        </w:rPr>
        <w:t>Статистическа съвкупност и единици на наблюдение</w:t>
      </w:r>
    </w:p>
    <w:p>
      <w:pPr>
        <w:spacing w:before="0" w:after="200" w:line="276" w:lineRule="auto"/>
        <w:ind w:left="360" w:hanging="360"/>
        <w:rPr>
          <w:rFonts w:eastAsia="Times New Roman"/>
          <w:noProof/>
          <w:szCs w:val="24"/>
        </w:rPr>
      </w:pPr>
      <w:r>
        <w:rPr>
          <w:noProof/>
        </w:rPr>
        <w:t>1.</w:t>
      </w:r>
      <w:r>
        <w:rPr>
          <w:noProof/>
        </w:rPr>
        <w:tab/>
        <w:t xml:space="preserve">Статистическата съвкупност, която трябва да се опише, се състои от статистически единици, като земеделски стопанства, селскостопански единици със земя за общо ползване, предприятия, предоставящи стоки и услуги за селското стопанство или купуващи или събиращи продукти от селскостопански дейности, както и предприятия, преработващи тези селскостопански продукти, по-конкретно люпилни, млекопреработвателни предприятия и кланици. </w:t>
      </w:r>
    </w:p>
    <w:p>
      <w:pPr>
        <w:spacing w:before="0" w:after="200" w:line="276" w:lineRule="auto"/>
        <w:ind w:left="360" w:hanging="360"/>
        <w:rPr>
          <w:rFonts w:eastAsia="Times New Roman"/>
          <w:noProof/>
          <w:szCs w:val="24"/>
        </w:rPr>
      </w:pPr>
      <w:r>
        <w:rPr>
          <w:noProof/>
        </w:rPr>
        <w:t>2.</w:t>
      </w:r>
      <w:r>
        <w:rPr>
          <w:noProof/>
        </w:rPr>
        <w:tab/>
        <w:t>Единиците на наблюдение, които трябва да се представят в статистическата рамка, са статистическите единици, посочени в параграф 1, и в зависимост от статистическите данни, които трябва да се отчитат, следните единици:</w:t>
      </w:r>
    </w:p>
    <w:p>
      <w:pPr>
        <w:spacing w:before="0" w:after="0" w:line="276" w:lineRule="auto"/>
        <w:ind w:left="363"/>
        <w:jc w:val="left"/>
        <w:rPr>
          <w:rFonts w:eastAsia="Times New Roman"/>
          <w:noProof/>
          <w:szCs w:val="24"/>
        </w:rPr>
      </w:pPr>
      <w:r>
        <w:rPr>
          <w:noProof/>
        </w:rPr>
        <w:t>а)</w:t>
      </w:r>
      <w:r>
        <w:rPr>
          <w:noProof/>
        </w:rPr>
        <w:tab/>
        <w:t>земята, използвана за селскостопанска дейност;</w:t>
      </w:r>
    </w:p>
    <w:p>
      <w:pPr>
        <w:spacing w:before="0" w:after="0" w:line="276" w:lineRule="auto"/>
        <w:ind w:left="363"/>
        <w:jc w:val="left"/>
        <w:rPr>
          <w:rFonts w:eastAsia="Times New Roman"/>
          <w:noProof/>
          <w:szCs w:val="24"/>
        </w:rPr>
      </w:pPr>
      <w:r>
        <w:rPr>
          <w:noProof/>
        </w:rPr>
        <w:t>б)</w:t>
      </w:r>
      <w:r>
        <w:rPr>
          <w:noProof/>
        </w:rPr>
        <w:tab/>
        <w:t>животните, използвани за селскостопанска дейност;</w:t>
      </w:r>
    </w:p>
    <w:p>
      <w:pPr>
        <w:spacing w:before="0" w:after="0" w:line="276" w:lineRule="auto"/>
        <w:ind w:left="363"/>
        <w:jc w:val="left"/>
        <w:rPr>
          <w:rFonts w:eastAsia="Times New Roman"/>
          <w:noProof/>
          <w:sz w:val="20"/>
          <w:szCs w:val="24"/>
        </w:rPr>
      </w:pPr>
      <w:r>
        <w:rPr>
          <w:noProof/>
        </w:rPr>
        <w:t>в)</w:t>
      </w:r>
      <w:r>
        <w:rPr>
          <w:noProof/>
        </w:rPr>
        <w:tab/>
        <w:t xml:space="preserve">вносът и износът на продукти от селскостопански дейности от страна на предприятия, различни от селскостопанските предприятия; </w:t>
      </w:r>
    </w:p>
    <w:p>
      <w:pPr>
        <w:spacing w:before="0" w:after="0" w:line="276" w:lineRule="auto"/>
        <w:ind w:left="363"/>
        <w:jc w:val="left"/>
        <w:rPr>
          <w:rFonts w:eastAsia="Times New Roman"/>
          <w:noProof/>
          <w:szCs w:val="24"/>
        </w:rPr>
      </w:pPr>
      <w:r>
        <w:rPr>
          <w:noProof/>
        </w:rPr>
        <w:t>г)</w:t>
      </w:r>
      <w:r>
        <w:rPr>
          <w:noProof/>
        </w:rPr>
        <w:tab/>
        <w:t>операциите и потоците, свързани с производствени фактори, стоки и услуги за и от селскостопански дейности.</w:t>
      </w:r>
    </w:p>
    <w:p>
      <w:pPr>
        <w:spacing w:before="0" w:after="0" w:line="276" w:lineRule="auto"/>
        <w:ind w:left="363"/>
        <w:jc w:val="left"/>
        <w:rPr>
          <w:rFonts w:eastAsia="Times New Roman"/>
          <w:noProof/>
          <w:sz w:val="20"/>
          <w:szCs w:val="24"/>
        </w:rPr>
      </w:pPr>
    </w:p>
    <w:p>
      <w:pPr>
        <w:spacing w:before="0" w:after="200" w:line="276" w:lineRule="auto"/>
        <w:ind w:left="360" w:hanging="360"/>
        <w:rPr>
          <w:rFonts w:eastAsia="Times New Roman"/>
          <w:noProof/>
          <w:szCs w:val="24"/>
        </w:rPr>
      </w:pPr>
      <w:r>
        <w:rPr>
          <w:noProof/>
        </w:rPr>
        <w:t xml:space="preserve">3. </w:t>
      </w:r>
      <w:r>
        <w:rPr>
          <w:noProof/>
        </w:rPr>
        <w:tab/>
        <w:t>Отчетните единици са статистическите единици по параграф 1 и другите предприятия и институции, които обработват информация за изискванията към данните, посочени в членове 5 и 6.</w:t>
      </w:r>
    </w:p>
    <w:p>
      <w:pPr>
        <w:keepNext/>
        <w:spacing w:before="360" w:after="200" w:line="276" w:lineRule="auto"/>
        <w:jc w:val="center"/>
        <w:rPr>
          <w:i/>
          <w:noProof/>
        </w:rPr>
      </w:pPr>
      <w:r>
        <w:rPr>
          <w:i/>
          <w:noProof/>
        </w:rPr>
        <w:t xml:space="preserve">Член 4 </w:t>
      </w:r>
    </w:p>
    <w:p>
      <w:pPr>
        <w:keepNext/>
        <w:spacing w:before="0" w:after="200" w:line="276" w:lineRule="auto"/>
        <w:jc w:val="center"/>
        <w:rPr>
          <w:b/>
          <w:noProof/>
        </w:rPr>
      </w:pPr>
      <w:r>
        <w:rPr>
          <w:b/>
          <w:noProof/>
        </w:rPr>
        <w:t>Изисквания към обхвата</w:t>
      </w:r>
    </w:p>
    <w:p>
      <w:pPr>
        <w:spacing w:before="0" w:after="200" w:line="276" w:lineRule="auto"/>
        <w:rPr>
          <w:rFonts w:eastAsia="Times New Roman"/>
          <w:noProof/>
          <w:szCs w:val="24"/>
        </w:rPr>
      </w:pPr>
      <w:r>
        <w:rPr>
          <w:noProof/>
        </w:rPr>
        <w:t>1. Статистическите данни са представителни за статистическата съвкупност, която описват.</w:t>
      </w:r>
    </w:p>
    <w:p>
      <w:pPr>
        <w:spacing w:before="0" w:after="200" w:line="276" w:lineRule="auto"/>
        <w:rPr>
          <w:rFonts w:eastAsia="Times New Roman"/>
          <w:noProof/>
          <w:szCs w:val="24"/>
        </w:rPr>
      </w:pPr>
      <w:r>
        <w:rPr>
          <w:noProof/>
        </w:rPr>
        <w:t>2. За областта на статистиката за животновъдството, посочена в член 5, параграф 1, буква а), данните обхващат 95 % от животинските единици на всяка държава членка и свързаните дейности или продукция.</w:t>
      </w:r>
    </w:p>
    <w:p>
      <w:pPr>
        <w:spacing w:before="0" w:after="200" w:line="276" w:lineRule="auto"/>
        <w:rPr>
          <w:rFonts w:eastAsia="Times New Roman"/>
          <w:noProof/>
          <w:szCs w:val="24"/>
        </w:rPr>
      </w:pPr>
      <w:r>
        <w:rPr>
          <w:noProof/>
        </w:rPr>
        <w:t xml:space="preserve">3. Що се отнася до областта на статистиката за растениевъдството, посочена в член 5, параграф 1, буква б), и темата за хранителните вещества по член 5, параграф 1, буква г), подточка i), данните обхващат 95 % от общата използвана земеделска площ (с изключение на семейните градини) на всяка държава членка и свързания обем производство. </w:t>
      </w:r>
    </w:p>
    <w:p>
      <w:pPr>
        <w:spacing w:before="0" w:after="200" w:line="276" w:lineRule="auto"/>
        <w:rPr>
          <w:rFonts w:eastAsia="Times New Roman"/>
          <w:noProof/>
          <w:szCs w:val="24"/>
        </w:rPr>
      </w:pPr>
      <w:r>
        <w:rPr>
          <w:noProof/>
        </w:rPr>
        <w:lastRenderedPageBreak/>
        <w:t xml:space="preserve">4. За темата за продуктите за растителна защита, посочена в член 5, параграф 1, буква г), подточка iii), данните обхващат продуктите за растителна защита, пуснати на пазара съгласно определението в член 3, точка 9 от Регламент (ЕО) № 1107/2009. </w:t>
      </w:r>
    </w:p>
    <w:p>
      <w:pPr>
        <w:spacing w:before="0" w:after="200" w:line="276" w:lineRule="auto"/>
        <w:rPr>
          <w:rFonts w:eastAsia="Times New Roman"/>
          <w:noProof/>
          <w:szCs w:val="24"/>
        </w:rPr>
      </w:pPr>
      <w:r>
        <w:rPr>
          <w:noProof/>
        </w:rPr>
        <w:t xml:space="preserve">5. Комисията може да приема актове за изпълнение за допълнително уточняване на изискванията към обхвата, посочени в параграфи 2, 3 и 4. Тези актове за изпълнение се приемат в съответствие с процедурата по разглеждане, посочена в член 15, параграф 2. </w:t>
      </w:r>
    </w:p>
    <w:p>
      <w:pPr>
        <w:keepNext/>
        <w:spacing w:before="360" w:after="200" w:line="276" w:lineRule="auto"/>
        <w:jc w:val="center"/>
        <w:rPr>
          <w:i/>
          <w:noProof/>
        </w:rPr>
      </w:pPr>
      <w:r>
        <w:rPr>
          <w:i/>
          <w:noProof/>
        </w:rPr>
        <w:t>Член 5</w:t>
      </w:r>
    </w:p>
    <w:p>
      <w:pPr>
        <w:keepNext/>
        <w:spacing w:before="0" w:after="200" w:line="276" w:lineRule="auto"/>
        <w:jc w:val="center"/>
        <w:rPr>
          <w:b/>
          <w:noProof/>
        </w:rPr>
      </w:pPr>
      <w:r>
        <w:rPr>
          <w:b/>
          <w:noProof/>
        </w:rPr>
        <w:t>Изисквания към събираните редовно данни</w:t>
      </w:r>
    </w:p>
    <w:p>
      <w:pPr>
        <w:spacing w:before="0" w:after="200" w:line="276" w:lineRule="auto"/>
        <w:ind w:left="357" w:hanging="357"/>
        <w:rPr>
          <w:noProof/>
        </w:rPr>
      </w:pPr>
      <w:r>
        <w:rPr>
          <w:noProof/>
        </w:rPr>
        <w:t>1.</w:t>
      </w:r>
      <w:r>
        <w:rPr>
          <w:noProof/>
        </w:rPr>
        <w:tab/>
        <w:t>Посочените статистически данни, свързани с влаганите ресурси и продукцията на селскостопанските дейности, обхващат следните области и теми:</w:t>
      </w:r>
    </w:p>
    <w:p>
      <w:pPr>
        <w:spacing w:before="0" w:after="0" w:line="276" w:lineRule="auto"/>
        <w:ind w:left="295"/>
        <w:jc w:val="left"/>
        <w:rPr>
          <w:rFonts w:eastAsia="Times New Roman"/>
          <w:noProof/>
          <w:szCs w:val="20"/>
        </w:rPr>
      </w:pPr>
      <w:r>
        <w:rPr>
          <w:noProof/>
        </w:rPr>
        <w:t>а)</w:t>
      </w:r>
      <w:r>
        <w:rPr>
          <w:noProof/>
        </w:rPr>
        <w:tab/>
        <w:t>статистика за животновъдството:</w:t>
      </w:r>
    </w:p>
    <w:p>
      <w:pPr>
        <w:spacing w:before="0" w:after="0" w:line="276" w:lineRule="auto"/>
        <w:ind w:left="993"/>
        <w:jc w:val="left"/>
        <w:rPr>
          <w:rFonts w:eastAsia="Times New Roman"/>
          <w:noProof/>
          <w:szCs w:val="20"/>
        </w:rPr>
      </w:pPr>
      <w:r>
        <w:rPr>
          <w:noProof/>
        </w:rPr>
        <w:t>i)</w:t>
      </w:r>
      <w:r>
        <w:rPr>
          <w:noProof/>
        </w:rPr>
        <w:tab/>
        <w:t>селскостопански животни и месо,</w:t>
      </w:r>
    </w:p>
    <w:p>
      <w:pPr>
        <w:spacing w:before="0" w:after="0" w:line="276" w:lineRule="auto"/>
        <w:ind w:left="993"/>
        <w:jc w:val="left"/>
        <w:rPr>
          <w:rFonts w:eastAsia="Times New Roman"/>
          <w:noProof/>
          <w:szCs w:val="20"/>
        </w:rPr>
      </w:pPr>
      <w:r>
        <w:rPr>
          <w:noProof/>
        </w:rPr>
        <w:t>ii)</w:t>
      </w:r>
      <w:r>
        <w:rPr>
          <w:noProof/>
        </w:rPr>
        <w:tab/>
        <w:t>яйца и пилета,</w:t>
      </w:r>
    </w:p>
    <w:p>
      <w:pPr>
        <w:spacing w:before="0" w:after="0" w:line="276" w:lineRule="auto"/>
        <w:ind w:left="993"/>
        <w:jc w:val="left"/>
        <w:rPr>
          <w:rFonts w:eastAsia="Times New Roman"/>
          <w:noProof/>
          <w:szCs w:val="20"/>
        </w:rPr>
      </w:pPr>
      <w:r>
        <w:rPr>
          <w:noProof/>
        </w:rPr>
        <w:t>iii)</w:t>
      </w:r>
      <w:r>
        <w:rPr>
          <w:noProof/>
        </w:rPr>
        <w:tab/>
        <w:t>мляко и млечни продукти;</w:t>
      </w:r>
    </w:p>
    <w:p>
      <w:pPr>
        <w:keepNext/>
        <w:spacing w:before="0" w:after="0" w:line="276" w:lineRule="auto"/>
        <w:ind w:left="295"/>
        <w:jc w:val="left"/>
        <w:rPr>
          <w:rFonts w:eastAsia="Times New Roman"/>
          <w:noProof/>
          <w:szCs w:val="20"/>
        </w:rPr>
      </w:pPr>
      <w:r>
        <w:rPr>
          <w:noProof/>
        </w:rPr>
        <w:t>б)</w:t>
      </w:r>
      <w:r>
        <w:rPr>
          <w:noProof/>
        </w:rPr>
        <w:tab/>
        <w:t>статистика за растениевъдството:</w:t>
      </w:r>
    </w:p>
    <w:p>
      <w:pPr>
        <w:spacing w:before="0" w:after="0" w:line="276" w:lineRule="auto"/>
        <w:ind w:left="993"/>
        <w:jc w:val="left"/>
        <w:rPr>
          <w:rFonts w:eastAsia="Times New Roman"/>
          <w:noProof/>
          <w:szCs w:val="20"/>
        </w:rPr>
      </w:pPr>
      <w:r>
        <w:rPr>
          <w:noProof/>
        </w:rPr>
        <w:t>i)</w:t>
      </w:r>
      <w:r>
        <w:rPr>
          <w:noProof/>
        </w:rPr>
        <w:tab/>
        <w:t>растениевъдство,</w:t>
      </w:r>
    </w:p>
    <w:p>
      <w:pPr>
        <w:spacing w:before="0" w:after="0" w:line="276" w:lineRule="auto"/>
        <w:ind w:left="993"/>
        <w:jc w:val="left"/>
        <w:rPr>
          <w:rFonts w:eastAsia="Times New Roman"/>
          <w:noProof/>
          <w:szCs w:val="20"/>
        </w:rPr>
      </w:pPr>
      <w:r>
        <w:rPr>
          <w:noProof/>
        </w:rPr>
        <w:t>ii)</w:t>
      </w:r>
      <w:r>
        <w:rPr>
          <w:noProof/>
        </w:rPr>
        <w:tab/>
        <w:t xml:space="preserve">баланси на растителните култури, </w:t>
      </w:r>
    </w:p>
    <w:p>
      <w:pPr>
        <w:spacing w:before="0" w:after="0" w:line="276" w:lineRule="auto"/>
        <w:ind w:left="993"/>
        <w:jc w:val="left"/>
        <w:rPr>
          <w:rFonts w:eastAsia="Times New Roman"/>
          <w:noProof/>
          <w:szCs w:val="20"/>
        </w:rPr>
      </w:pPr>
      <w:r>
        <w:rPr>
          <w:noProof/>
        </w:rPr>
        <w:t>iii)</w:t>
      </w:r>
      <w:r>
        <w:rPr>
          <w:noProof/>
        </w:rPr>
        <w:tab/>
        <w:t>затревени площи и паша;</w:t>
      </w:r>
    </w:p>
    <w:p>
      <w:pPr>
        <w:keepNext/>
        <w:spacing w:before="0" w:after="0" w:line="276" w:lineRule="auto"/>
        <w:ind w:left="295"/>
        <w:jc w:val="left"/>
        <w:rPr>
          <w:rFonts w:eastAsia="Times New Roman"/>
          <w:noProof/>
          <w:szCs w:val="20"/>
        </w:rPr>
      </w:pPr>
      <w:r>
        <w:rPr>
          <w:noProof/>
        </w:rPr>
        <w:t>в)</w:t>
      </w:r>
      <w:r>
        <w:rPr>
          <w:noProof/>
        </w:rPr>
        <w:tab/>
        <w:t>статистика за селскостопанските цени:</w:t>
      </w:r>
    </w:p>
    <w:p>
      <w:pPr>
        <w:spacing w:before="0" w:after="0" w:line="276" w:lineRule="auto"/>
        <w:ind w:left="993"/>
        <w:jc w:val="left"/>
        <w:rPr>
          <w:rFonts w:eastAsia="Times New Roman"/>
          <w:noProof/>
          <w:szCs w:val="20"/>
        </w:rPr>
      </w:pPr>
      <w:r>
        <w:rPr>
          <w:noProof/>
        </w:rPr>
        <w:t>i)</w:t>
      </w:r>
      <w:r>
        <w:rPr>
          <w:noProof/>
        </w:rPr>
        <w:tab/>
        <w:t>индекси на селскостопанските цени,</w:t>
      </w:r>
    </w:p>
    <w:p>
      <w:pPr>
        <w:spacing w:before="0" w:after="0" w:line="276" w:lineRule="auto"/>
        <w:ind w:left="993"/>
        <w:jc w:val="left"/>
        <w:rPr>
          <w:rFonts w:eastAsia="Times New Roman"/>
          <w:noProof/>
          <w:szCs w:val="20"/>
        </w:rPr>
      </w:pPr>
      <w:r>
        <w:rPr>
          <w:noProof/>
        </w:rPr>
        <w:t>ii)</w:t>
      </w:r>
      <w:r>
        <w:rPr>
          <w:noProof/>
        </w:rPr>
        <w:tab/>
        <w:t xml:space="preserve">цени на влаганите ресурси в абсолютно изражение, </w:t>
      </w:r>
    </w:p>
    <w:p>
      <w:pPr>
        <w:spacing w:before="0" w:after="0" w:line="276" w:lineRule="auto"/>
        <w:ind w:left="993"/>
        <w:jc w:val="left"/>
        <w:rPr>
          <w:rFonts w:eastAsia="Times New Roman"/>
          <w:noProof/>
          <w:szCs w:val="20"/>
        </w:rPr>
      </w:pPr>
      <w:r>
        <w:rPr>
          <w:noProof/>
        </w:rPr>
        <w:t>iii)</w:t>
      </w:r>
      <w:r>
        <w:rPr>
          <w:noProof/>
        </w:rPr>
        <w:tab/>
        <w:t>цени на земеделската земя и рента;</w:t>
      </w:r>
    </w:p>
    <w:p>
      <w:pPr>
        <w:keepNext/>
        <w:spacing w:before="0" w:after="0" w:line="276" w:lineRule="auto"/>
        <w:ind w:left="295"/>
        <w:jc w:val="left"/>
        <w:rPr>
          <w:rFonts w:eastAsia="Times New Roman"/>
          <w:noProof/>
          <w:szCs w:val="20"/>
        </w:rPr>
      </w:pPr>
      <w:r>
        <w:rPr>
          <w:noProof/>
        </w:rPr>
        <w:t>г)</w:t>
      </w:r>
      <w:r>
        <w:rPr>
          <w:noProof/>
        </w:rPr>
        <w:tab/>
        <w:t>статистика за хранителните вещества и продуктите за растителна защита:</w:t>
      </w:r>
    </w:p>
    <w:p>
      <w:pPr>
        <w:spacing w:before="0" w:after="0" w:line="276" w:lineRule="auto"/>
        <w:ind w:left="993"/>
        <w:jc w:val="left"/>
        <w:rPr>
          <w:rFonts w:eastAsia="Times New Roman"/>
          <w:noProof/>
          <w:szCs w:val="20"/>
        </w:rPr>
      </w:pPr>
      <w:r>
        <w:rPr>
          <w:noProof/>
        </w:rPr>
        <w:t>i)</w:t>
      </w:r>
      <w:r>
        <w:rPr>
          <w:noProof/>
        </w:rPr>
        <w:tab/>
        <w:t>хранителни вещества в торовете,</w:t>
      </w:r>
    </w:p>
    <w:p>
      <w:pPr>
        <w:spacing w:before="0" w:after="0" w:line="276" w:lineRule="auto"/>
        <w:ind w:left="993"/>
        <w:jc w:val="left"/>
        <w:rPr>
          <w:rFonts w:eastAsia="Times New Roman"/>
          <w:noProof/>
          <w:szCs w:val="20"/>
        </w:rPr>
      </w:pPr>
      <w:r>
        <w:rPr>
          <w:noProof/>
        </w:rPr>
        <w:t>ii)</w:t>
      </w:r>
      <w:r>
        <w:rPr>
          <w:noProof/>
        </w:rPr>
        <w:tab/>
        <w:t>баланси на хранителните вещества,</w:t>
      </w:r>
    </w:p>
    <w:p>
      <w:pPr>
        <w:spacing w:before="0" w:after="0" w:line="276" w:lineRule="auto"/>
        <w:ind w:left="993"/>
        <w:jc w:val="left"/>
        <w:rPr>
          <w:rFonts w:eastAsia="Times New Roman"/>
          <w:noProof/>
          <w:szCs w:val="20"/>
        </w:rPr>
      </w:pPr>
      <w:r>
        <w:rPr>
          <w:noProof/>
        </w:rPr>
        <w:t>iii)</w:t>
      </w:r>
      <w:r>
        <w:rPr>
          <w:noProof/>
        </w:rPr>
        <w:tab/>
        <w:t>продукти за растителна защита.</w:t>
      </w:r>
    </w:p>
    <w:p>
      <w:pPr>
        <w:spacing w:before="0" w:after="0" w:line="276" w:lineRule="auto"/>
        <w:ind w:left="993"/>
        <w:jc w:val="left"/>
        <w:rPr>
          <w:rFonts w:eastAsia="Times New Roman"/>
          <w:noProof/>
          <w:szCs w:val="20"/>
        </w:rPr>
      </w:pPr>
    </w:p>
    <w:p>
      <w:pPr>
        <w:spacing w:before="0" w:after="200" w:line="276" w:lineRule="auto"/>
        <w:ind w:left="360" w:hanging="360"/>
        <w:rPr>
          <w:noProof/>
        </w:rPr>
      </w:pPr>
      <w:r>
        <w:rPr>
          <w:noProof/>
        </w:rPr>
        <w:t>2.</w:t>
      </w:r>
      <w:r>
        <w:rPr>
          <w:noProof/>
        </w:rPr>
        <w:tab/>
        <w:t>Подробните теми са определени в приложението.</w:t>
      </w:r>
    </w:p>
    <w:p>
      <w:pPr>
        <w:spacing w:before="0" w:after="200" w:line="276" w:lineRule="auto"/>
        <w:ind w:left="360" w:hanging="360"/>
        <w:rPr>
          <w:noProof/>
        </w:rPr>
      </w:pPr>
      <w:r>
        <w:rPr>
          <w:noProof/>
        </w:rPr>
        <w:t>3.</w:t>
      </w:r>
      <w:r>
        <w:rPr>
          <w:noProof/>
        </w:rPr>
        <w:tab/>
        <w:t xml:space="preserve">Данните се предават на Комисията под формата на набори от агрегирани данни. </w:t>
      </w:r>
    </w:p>
    <w:p>
      <w:pPr>
        <w:spacing w:before="0" w:after="200" w:line="276" w:lineRule="auto"/>
        <w:ind w:left="360" w:hanging="360"/>
        <w:rPr>
          <w:noProof/>
        </w:rPr>
      </w:pPr>
      <w:r>
        <w:rPr>
          <w:noProof/>
        </w:rPr>
        <w:t>4.</w:t>
      </w:r>
      <w:r>
        <w:rPr>
          <w:noProof/>
        </w:rPr>
        <w:tab/>
        <w:t xml:space="preserve">Данните за биологичното производство и продукти, които отговарят на разпоредбите на Регламент (ЕС) 2018/848, се включват в наборите от данни. </w:t>
      </w:r>
    </w:p>
    <w:p>
      <w:pPr>
        <w:spacing w:before="0" w:after="200" w:line="276" w:lineRule="auto"/>
        <w:ind w:left="360" w:hanging="360"/>
        <w:rPr>
          <w:noProof/>
        </w:rPr>
      </w:pPr>
      <w:r>
        <w:rPr>
          <w:noProof/>
        </w:rPr>
        <w:t>5.</w:t>
      </w:r>
      <w:r>
        <w:rPr>
          <w:noProof/>
        </w:rPr>
        <w:tab/>
        <w:t xml:space="preserve">Регионалните данни се предоставят на ниво NUTS2, както е определено в Регламент (ЕО) № 1059/2003. </w:t>
      </w:r>
    </w:p>
    <w:p>
      <w:pPr>
        <w:spacing w:before="0" w:after="200" w:line="276" w:lineRule="auto"/>
        <w:ind w:left="360" w:hanging="360"/>
        <w:rPr>
          <w:noProof/>
        </w:rPr>
      </w:pPr>
      <w:r>
        <w:rPr>
          <w:noProof/>
        </w:rPr>
        <w:t>6.</w:t>
      </w:r>
      <w:r>
        <w:rPr>
          <w:noProof/>
        </w:rPr>
        <w:tab/>
        <w:t xml:space="preserve">Когато променлива има ниска или нулева стойност в държава членка, стойностите на тази променлива могат да бъдат изключени от предаваните набори от данни, ако съответната държава членка надлежно е обосновала изключването на съответната променлива пред Комисията (Евростат). </w:t>
      </w:r>
    </w:p>
    <w:p>
      <w:pPr>
        <w:spacing w:before="0" w:after="200" w:line="276" w:lineRule="auto"/>
        <w:ind w:left="360" w:hanging="360"/>
        <w:rPr>
          <w:noProof/>
        </w:rPr>
      </w:pPr>
      <w:r>
        <w:rPr>
          <w:noProof/>
        </w:rPr>
        <w:lastRenderedPageBreak/>
        <w:t xml:space="preserve">7. </w:t>
      </w:r>
      <w:r>
        <w:rPr>
          <w:noProof/>
        </w:rPr>
        <w:tab/>
        <w:t>Съответната информация за цените на селскостопанските влагани ресурси и продукция, включително за характеристиките и теглата на стоките и услугите, се събира от държавите членки за съставяне на съпоставими ценови индекси и за променливите, необходими за икономическите сметки за селското стопанство, обхванати от Регламент (ЕО) № 138/2004.</w:t>
      </w:r>
    </w:p>
    <w:p>
      <w:pPr>
        <w:spacing w:before="0" w:after="200" w:line="276" w:lineRule="auto"/>
        <w:ind w:left="360" w:hanging="360"/>
        <w:rPr>
          <w:noProof/>
        </w:rPr>
      </w:pPr>
      <w:r>
        <w:rPr>
          <w:noProof/>
        </w:rPr>
        <w:t>8.</w:t>
      </w:r>
      <w:r>
        <w:rPr>
          <w:noProof/>
        </w:rPr>
        <w:tab/>
        <w:t xml:space="preserve">На Комисията се предоставя правомощието да приема делегирани актове в съответствие с член 14 за изменение на подробните теми, установени в приложението. </w:t>
      </w:r>
    </w:p>
    <w:p>
      <w:pPr>
        <w:spacing w:before="0" w:after="200" w:line="276" w:lineRule="auto"/>
        <w:ind w:left="360" w:hanging="360"/>
        <w:rPr>
          <w:noProof/>
        </w:rPr>
      </w:pPr>
      <w:r>
        <w:rPr>
          <w:noProof/>
        </w:rPr>
        <w:t>9.</w:t>
      </w:r>
      <w:r>
        <w:rPr>
          <w:noProof/>
        </w:rPr>
        <w:tab/>
        <w:t xml:space="preserve">Комисията може да приема актове за изпълнение за определяне на наборите от данни, които да се предават на Комисията (Евростат). В тези актове за изпълнение се определят следните технически елементи на предаваните данни, когато е целесъобразно: </w:t>
      </w:r>
    </w:p>
    <w:p>
      <w:pPr>
        <w:pStyle w:val="Point0"/>
        <w:rPr>
          <w:noProof/>
        </w:rPr>
      </w:pPr>
      <w:r>
        <w:rPr>
          <w:noProof/>
        </w:rPr>
        <w:t>а)</w:t>
      </w:r>
      <w:r>
        <w:rPr>
          <w:noProof/>
        </w:rPr>
        <w:tab/>
        <w:t>списъкът на променливите;</w:t>
      </w:r>
    </w:p>
    <w:p>
      <w:pPr>
        <w:pStyle w:val="Point0"/>
        <w:rPr>
          <w:noProof/>
        </w:rPr>
      </w:pPr>
      <w:r>
        <w:rPr>
          <w:noProof/>
        </w:rPr>
        <w:t>б)</w:t>
      </w:r>
      <w:r>
        <w:rPr>
          <w:noProof/>
        </w:rPr>
        <w:tab/>
        <w:t>описанията на променливите;</w:t>
      </w:r>
    </w:p>
    <w:p>
      <w:pPr>
        <w:pStyle w:val="Point0"/>
        <w:rPr>
          <w:noProof/>
        </w:rPr>
      </w:pPr>
      <w:r>
        <w:rPr>
          <w:noProof/>
        </w:rPr>
        <w:t>в)</w:t>
      </w:r>
      <w:r>
        <w:rPr>
          <w:noProof/>
        </w:rPr>
        <w:tab/>
        <w:t xml:space="preserve">променливите за биологичното производство и продукти; </w:t>
      </w:r>
    </w:p>
    <w:p>
      <w:pPr>
        <w:pStyle w:val="Point0"/>
        <w:rPr>
          <w:noProof/>
        </w:rPr>
      </w:pPr>
      <w:r>
        <w:rPr>
          <w:noProof/>
        </w:rPr>
        <w:t>г)</w:t>
      </w:r>
      <w:r>
        <w:rPr>
          <w:noProof/>
        </w:rPr>
        <w:tab/>
        <w:t>променливите на регионално равнище;</w:t>
      </w:r>
    </w:p>
    <w:p>
      <w:pPr>
        <w:pStyle w:val="Point0"/>
        <w:rPr>
          <w:noProof/>
        </w:rPr>
      </w:pPr>
      <w:r>
        <w:rPr>
          <w:noProof/>
        </w:rPr>
        <w:t>д)</w:t>
      </w:r>
      <w:r>
        <w:rPr>
          <w:noProof/>
        </w:rPr>
        <w:tab/>
        <w:t>отчетните единици и единиците на наблюдение;</w:t>
      </w:r>
    </w:p>
    <w:p>
      <w:pPr>
        <w:pStyle w:val="Point0"/>
        <w:rPr>
          <w:noProof/>
        </w:rPr>
      </w:pPr>
      <w:r>
        <w:rPr>
          <w:noProof/>
        </w:rPr>
        <w:t>е)</w:t>
      </w:r>
      <w:r>
        <w:rPr>
          <w:noProof/>
        </w:rPr>
        <w:tab/>
        <w:t>изискванията за точност;</w:t>
      </w:r>
    </w:p>
    <w:p>
      <w:pPr>
        <w:pStyle w:val="Point0"/>
        <w:rPr>
          <w:noProof/>
        </w:rPr>
      </w:pPr>
      <w:r>
        <w:rPr>
          <w:noProof/>
        </w:rPr>
        <w:t>ж)</w:t>
      </w:r>
      <w:r>
        <w:rPr>
          <w:noProof/>
        </w:rPr>
        <w:tab/>
        <w:t>методологическите правила;</w:t>
      </w:r>
    </w:p>
    <w:p>
      <w:pPr>
        <w:pStyle w:val="Point0"/>
        <w:rPr>
          <w:noProof/>
        </w:rPr>
      </w:pPr>
      <w:r>
        <w:rPr>
          <w:noProof/>
        </w:rPr>
        <w:t>з)</w:t>
      </w:r>
      <w:r>
        <w:rPr>
          <w:noProof/>
        </w:rPr>
        <w:tab/>
        <w:t>крайните срокове за предаване на данните.</w:t>
      </w:r>
    </w:p>
    <w:p>
      <w:pPr>
        <w:spacing w:before="0" w:after="200" w:line="276" w:lineRule="auto"/>
        <w:ind w:left="360"/>
        <w:rPr>
          <w:noProof/>
        </w:rPr>
      </w:pPr>
      <w:r>
        <w:rPr>
          <w:noProof/>
        </w:rPr>
        <w:t>Тези актове за изпълнение се приемат в съответствие с процедурата по разглеждане, посочена в член 15, параграф 2, не по-късно от 9 месеца преди началото на референтната година.</w:t>
      </w:r>
    </w:p>
    <w:p>
      <w:pPr>
        <w:spacing w:before="0" w:after="200" w:line="276" w:lineRule="auto"/>
        <w:ind w:left="360" w:hanging="360"/>
        <w:rPr>
          <w:rFonts w:eastAsia="Times New Roman"/>
          <w:noProof/>
          <w:color w:val="000000"/>
          <w:szCs w:val="24"/>
        </w:rPr>
      </w:pPr>
      <w:r>
        <w:rPr>
          <w:noProof/>
          <w:color w:val="000000"/>
          <w:szCs w:val="24"/>
        </w:rPr>
        <w:t>10.</w:t>
      </w:r>
      <w:r>
        <w:rPr>
          <w:noProof/>
        </w:rPr>
        <w:tab/>
        <w:t>Държавите членки предават предварително проверените данни и метаданните, като използват технически формат, определен от Комисията (Евростат) за всеки набор от данни.</w:t>
      </w:r>
      <w:r>
        <w:rPr>
          <w:noProof/>
          <w:color w:val="000000"/>
          <w:szCs w:val="24"/>
        </w:rPr>
        <w:t xml:space="preserve"> За да се предават данните на Комисията (Евростат), се използва единната входна точка.</w:t>
      </w:r>
    </w:p>
    <w:p>
      <w:pPr>
        <w:keepNext/>
        <w:spacing w:before="360" w:after="200" w:line="276" w:lineRule="auto"/>
        <w:jc w:val="center"/>
        <w:rPr>
          <w:i/>
          <w:noProof/>
        </w:rPr>
      </w:pPr>
      <w:r>
        <w:rPr>
          <w:i/>
          <w:noProof/>
        </w:rPr>
        <w:t>Член 6</w:t>
      </w:r>
    </w:p>
    <w:p>
      <w:pPr>
        <w:keepNext/>
        <w:spacing w:before="75" w:after="75" w:line="276" w:lineRule="auto"/>
        <w:jc w:val="center"/>
        <w:rPr>
          <w:b/>
          <w:noProof/>
          <w:color w:val="000000" w:themeColor="text1"/>
        </w:rPr>
      </w:pPr>
      <w:r>
        <w:rPr>
          <w:b/>
          <w:noProof/>
          <w:color w:val="000000" w:themeColor="text1"/>
        </w:rPr>
        <w:t>Изисквания към специалните данни</w:t>
      </w:r>
    </w:p>
    <w:p>
      <w:pPr>
        <w:spacing w:before="0" w:after="200" w:line="276" w:lineRule="auto"/>
        <w:ind w:left="360" w:hanging="360"/>
        <w:jc w:val="left"/>
        <w:rPr>
          <w:noProof/>
          <w:szCs w:val="20"/>
        </w:rPr>
      </w:pPr>
      <w:r>
        <w:rPr>
          <w:noProof/>
        </w:rPr>
        <w:t>1.</w:t>
      </w:r>
      <w:r>
        <w:rPr>
          <w:noProof/>
        </w:rPr>
        <w:tab/>
        <w:t>На Комисията се предоставя правомощието да приема делегирани актове за допълване на настоящия регламент в съответствие с член 14 относно определянето на информацията, която трябва да се представя при специални случаи, когато събирането на допълнителна информация се счита за необходимо. В тези делегирани актове се определят:</w:t>
      </w:r>
    </w:p>
    <w:p>
      <w:pPr>
        <w:pStyle w:val="Point0"/>
        <w:rPr>
          <w:noProof/>
        </w:rPr>
      </w:pPr>
      <w:r>
        <w:rPr>
          <w:noProof/>
        </w:rPr>
        <w:t>а)</w:t>
      </w:r>
      <w:r>
        <w:rPr>
          <w:noProof/>
        </w:rPr>
        <w:tab/>
        <w:t>темите и подробните теми, които трябва да бъдат представяни при събиране на специалните данни, и причините за такива допълнителни статистически нужди;</w:t>
      </w:r>
    </w:p>
    <w:p>
      <w:pPr>
        <w:pStyle w:val="Point0"/>
        <w:rPr>
          <w:noProof/>
        </w:rPr>
      </w:pPr>
      <w:r>
        <w:rPr>
          <w:noProof/>
        </w:rPr>
        <w:t>б)</w:t>
      </w:r>
      <w:r>
        <w:rPr>
          <w:noProof/>
        </w:rPr>
        <w:tab/>
        <w:t>референтните периоди.</w:t>
      </w:r>
    </w:p>
    <w:p>
      <w:pPr>
        <w:spacing w:before="0" w:after="200" w:line="276" w:lineRule="auto"/>
        <w:ind w:left="360" w:hanging="360"/>
        <w:rPr>
          <w:noProof/>
          <w:szCs w:val="24"/>
        </w:rPr>
      </w:pPr>
      <w:r>
        <w:rPr>
          <w:noProof/>
        </w:rPr>
        <w:lastRenderedPageBreak/>
        <w:t>2.</w:t>
      </w:r>
      <w:r>
        <w:rPr>
          <w:noProof/>
        </w:rPr>
        <w:tab/>
        <w:t xml:space="preserve">На Комисията се предоставя правомощието да приема делегираните актове по параграф 1, считано от референтната година </w:t>
      </w:r>
      <w:r>
        <w:rPr>
          <w:i/>
          <w:noProof/>
          <w:szCs w:val="24"/>
        </w:rPr>
        <w:t>[въведете 2 години след влизането в сила на Регламента]</w:t>
      </w:r>
      <w:r>
        <w:rPr>
          <w:noProof/>
        </w:rPr>
        <w:t xml:space="preserve">, и като има най-малко 2 години между всяко събиране на специални данни. </w:t>
      </w:r>
    </w:p>
    <w:p>
      <w:pPr>
        <w:spacing w:before="0" w:after="200" w:line="276" w:lineRule="auto"/>
        <w:ind w:left="360" w:hanging="360"/>
        <w:rPr>
          <w:noProof/>
          <w:szCs w:val="24"/>
        </w:rPr>
      </w:pPr>
      <w:r>
        <w:rPr>
          <w:noProof/>
        </w:rPr>
        <w:t>3.</w:t>
      </w:r>
      <w:r>
        <w:rPr>
          <w:noProof/>
        </w:rPr>
        <w:tab/>
        <w:t>Комисията може да приема актове за изпълнение, за да определя:</w:t>
      </w:r>
    </w:p>
    <w:p>
      <w:pPr>
        <w:pStyle w:val="Point0"/>
        <w:rPr>
          <w:noProof/>
          <w:sz w:val="16"/>
        </w:rPr>
      </w:pPr>
      <w:r>
        <w:rPr>
          <w:noProof/>
        </w:rPr>
        <w:t>а)</w:t>
      </w:r>
      <w:r>
        <w:rPr>
          <w:noProof/>
        </w:rPr>
        <w:tab/>
        <w:t>списък на променливите, които се предават на Комисията (Евростат);</w:t>
      </w:r>
    </w:p>
    <w:p>
      <w:pPr>
        <w:pStyle w:val="Point0"/>
        <w:rPr>
          <w:noProof/>
        </w:rPr>
      </w:pPr>
      <w:r>
        <w:rPr>
          <w:noProof/>
        </w:rPr>
        <w:t>б)</w:t>
      </w:r>
      <w:r>
        <w:rPr>
          <w:noProof/>
        </w:rPr>
        <w:tab/>
        <w:t>описанията на променливите;</w:t>
      </w:r>
    </w:p>
    <w:p>
      <w:pPr>
        <w:pStyle w:val="Point0"/>
        <w:rPr>
          <w:noProof/>
        </w:rPr>
      </w:pPr>
      <w:r>
        <w:rPr>
          <w:noProof/>
        </w:rPr>
        <w:t>в)</w:t>
      </w:r>
      <w:r>
        <w:rPr>
          <w:noProof/>
        </w:rPr>
        <w:tab/>
        <w:t xml:space="preserve">изискванията за точност; </w:t>
      </w:r>
    </w:p>
    <w:p>
      <w:pPr>
        <w:pStyle w:val="Point0"/>
        <w:rPr>
          <w:noProof/>
        </w:rPr>
      </w:pPr>
      <w:r>
        <w:rPr>
          <w:noProof/>
        </w:rPr>
        <w:t>г)</w:t>
      </w:r>
      <w:r>
        <w:rPr>
          <w:noProof/>
        </w:rPr>
        <w:tab/>
        <w:t>крайните срокове за предаване на данните.</w:t>
      </w:r>
    </w:p>
    <w:p>
      <w:pPr>
        <w:spacing w:before="0" w:after="200" w:line="276" w:lineRule="auto"/>
        <w:ind w:left="360"/>
        <w:rPr>
          <w:noProof/>
          <w:szCs w:val="24"/>
        </w:rPr>
      </w:pPr>
      <w:r>
        <w:rPr>
          <w:noProof/>
        </w:rPr>
        <w:t>Тези актове за изпълнение се приемат в съответствие с процедурата по разглеждане, посочена в член 15, не по-късно от 12 месеца преди началото на референтната година.</w:t>
      </w:r>
    </w:p>
    <w:p>
      <w:pPr>
        <w:keepNext/>
        <w:spacing w:before="360" w:after="200" w:line="276" w:lineRule="auto"/>
        <w:jc w:val="center"/>
        <w:rPr>
          <w:i/>
          <w:noProof/>
        </w:rPr>
      </w:pPr>
      <w:r>
        <w:rPr>
          <w:i/>
          <w:noProof/>
        </w:rPr>
        <w:t>Член 7</w:t>
      </w:r>
    </w:p>
    <w:p>
      <w:pPr>
        <w:keepNext/>
        <w:spacing w:before="360" w:after="200" w:line="276" w:lineRule="auto"/>
        <w:jc w:val="center"/>
        <w:rPr>
          <w:b/>
          <w:noProof/>
        </w:rPr>
      </w:pPr>
      <w:r>
        <w:rPr>
          <w:b/>
          <w:noProof/>
        </w:rPr>
        <w:t xml:space="preserve">Периодичност при предаване на наборите от данни </w:t>
      </w:r>
    </w:p>
    <w:p>
      <w:pPr>
        <w:spacing w:before="0" w:after="200" w:line="276" w:lineRule="auto"/>
        <w:ind w:left="360" w:hanging="360"/>
        <w:rPr>
          <w:noProof/>
        </w:rPr>
      </w:pPr>
      <w:r>
        <w:rPr>
          <w:noProof/>
        </w:rPr>
        <w:t>1.</w:t>
      </w:r>
      <w:r>
        <w:rPr>
          <w:noProof/>
        </w:rPr>
        <w:tab/>
        <w:t xml:space="preserve">Периодичността при предаване на наборите от данни е определена в приложението. Комисията може да приема актове за изпълнение за допълнително уточняване на периодичността при предаване на отделните данни. </w:t>
      </w:r>
    </w:p>
    <w:p>
      <w:pPr>
        <w:spacing w:before="0" w:after="200" w:line="276" w:lineRule="auto"/>
        <w:ind w:left="360" w:hanging="360"/>
        <w:rPr>
          <w:noProof/>
        </w:rPr>
      </w:pPr>
      <w:r>
        <w:rPr>
          <w:noProof/>
        </w:rPr>
        <w:t>2.</w:t>
      </w:r>
      <w:r>
        <w:rPr>
          <w:noProof/>
        </w:rPr>
        <w:tab/>
        <w:t xml:space="preserve">Държава членка може да бъде освободена от предаването на някои събирани редовно данни, когато държавата членка влияе в ограничена степен върху общата стойност за ЕС на съответната променлива. Комисията може да приема актове за изпълнение за определяне на праговете за променливите в съответствие със специална методология по такъв начин, че прилагането на тези прагове да не намалява информацията за очакваната обща стойност за ЕС на променливата през референтната година с повече от 5 %. Прегледът от Комисията (Евростат) на праговете се извършва така, че те да отговарят на тенденциите по отношение на общите стойности за ЕС. </w:t>
      </w:r>
    </w:p>
    <w:p>
      <w:pPr>
        <w:spacing w:before="0" w:after="200" w:line="276" w:lineRule="auto"/>
        <w:ind w:left="360" w:hanging="360"/>
        <w:jc w:val="left"/>
        <w:rPr>
          <w:rFonts w:eastAsia="Times New Roman"/>
          <w:noProof/>
          <w:szCs w:val="20"/>
        </w:rPr>
      </w:pPr>
      <w:r>
        <w:rPr>
          <w:noProof/>
        </w:rPr>
        <w:t xml:space="preserve">3. </w:t>
      </w:r>
      <w:r>
        <w:rPr>
          <w:noProof/>
        </w:rPr>
        <w:tab/>
        <w:t>Комисията може да приема актове за изпълнение за допълнително уточняване на:</w:t>
      </w:r>
    </w:p>
    <w:p>
      <w:pPr>
        <w:pStyle w:val="Point0"/>
        <w:rPr>
          <w:noProof/>
          <w:sz w:val="16"/>
        </w:rPr>
      </w:pPr>
      <w:r>
        <w:rPr>
          <w:noProof/>
        </w:rPr>
        <w:t>а)</w:t>
      </w:r>
      <w:r>
        <w:rPr>
          <w:noProof/>
        </w:rPr>
        <w:tab/>
        <w:t>прага, под който се счита, че представянето на дадена променлива има ограничено въздействие върху очаквания общ агрегат за ЕС;</w:t>
      </w:r>
    </w:p>
    <w:p>
      <w:pPr>
        <w:pStyle w:val="Point0"/>
        <w:rPr>
          <w:noProof/>
        </w:rPr>
      </w:pPr>
      <w:r>
        <w:rPr>
          <w:noProof/>
        </w:rPr>
        <w:t>б)</w:t>
      </w:r>
      <w:r>
        <w:rPr>
          <w:noProof/>
        </w:rPr>
        <w:tab/>
        <w:t>източника на данните и методологията, която трябва да се използва за определяне на прага;</w:t>
      </w:r>
    </w:p>
    <w:p>
      <w:pPr>
        <w:pStyle w:val="Point0"/>
        <w:rPr>
          <w:noProof/>
        </w:rPr>
      </w:pPr>
      <w:r>
        <w:rPr>
          <w:noProof/>
        </w:rPr>
        <w:t>в)</w:t>
      </w:r>
      <w:r>
        <w:rPr>
          <w:noProof/>
        </w:rPr>
        <w:tab/>
        <w:t>променливите, за които се отнася съответното освобождаване.</w:t>
      </w:r>
    </w:p>
    <w:p>
      <w:pPr>
        <w:spacing w:before="0" w:after="200" w:line="276" w:lineRule="auto"/>
        <w:ind w:left="360"/>
        <w:rPr>
          <w:noProof/>
          <w:szCs w:val="24"/>
        </w:rPr>
      </w:pPr>
      <w:r>
        <w:rPr>
          <w:noProof/>
        </w:rPr>
        <w:t>Актовете за изпълнение, посочени в параграфи 1, 2 и 3, се приемат в съответствие с процедурата по разглеждане, посочена в член 15, параграф 2.</w:t>
      </w:r>
    </w:p>
    <w:p>
      <w:pPr>
        <w:keepNext/>
        <w:spacing w:before="360" w:after="200" w:line="276" w:lineRule="auto"/>
        <w:jc w:val="center"/>
        <w:rPr>
          <w:i/>
          <w:noProof/>
        </w:rPr>
      </w:pPr>
      <w:r>
        <w:rPr>
          <w:i/>
          <w:noProof/>
        </w:rPr>
        <w:lastRenderedPageBreak/>
        <w:t>Член 8</w:t>
      </w:r>
    </w:p>
    <w:p>
      <w:pPr>
        <w:keepNext/>
        <w:spacing w:before="75" w:after="75" w:line="276" w:lineRule="auto"/>
        <w:jc w:val="center"/>
        <w:rPr>
          <w:b/>
          <w:noProof/>
          <w:szCs w:val="24"/>
        </w:rPr>
      </w:pPr>
      <w:r>
        <w:rPr>
          <w:b/>
          <w:noProof/>
          <w:szCs w:val="24"/>
        </w:rPr>
        <w:t>Източници на данни и методи</w:t>
      </w:r>
    </w:p>
    <w:p>
      <w:pPr>
        <w:spacing w:before="0" w:after="200" w:line="276" w:lineRule="auto"/>
        <w:ind w:left="360" w:hanging="360"/>
        <w:rPr>
          <w:noProof/>
          <w:szCs w:val="24"/>
        </w:rPr>
      </w:pPr>
      <w:r>
        <w:rPr>
          <w:noProof/>
        </w:rPr>
        <w:t>1.</w:t>
      </w:r>
      <w:r>
        <w:rPr>
          <w:noProof/>
        </w:rPr>
        <w:tab/>
        <w:t>За да получават статистическите данни, свързани с влаганите ресурси и продукцията на селскостопанските дейности, държавите членки използват един или повече от следните източници или методи, при условие че информацията дава възможност за изготвяне на статистика, която отговаря на изискванията към качеството по член 10:</w:t>
      </w:r>
    </w:p>
    <w:p>
      <w:pPr>
        <w:pStyle w:val="Point0"/>
        <w:rPr>
          <w:noProof/>
        </w:rPr>
      </w:pPr>
      <w:r>
        <w:rPr>
          <w:noProof/>
        </w:rPr>
        <w:t>а)</w:t>
      </w:r>
      <w:r>
        <w:rPr>
          <w:noProof/>
        </w:rPr>
        <w:tab/>
        <w:t>статистически изследвания или други методи за събиране на статистически данни;</w:t>
      </w:r>
    </w:p>
    <w:p>
      <w:pPr>
        <w:pStyle w:val="Point0"/>
        <w:rPr>
          <w:noProof/>
        </w:rPr>
      </w:pPr>
      <w:r>
        <w:rPr>
          <w:noProof/>
        </w:rPr>
        <w:t>б)</w:t>
      </w:r>
      <w:r>
        <w:rPr>
          <w:noProof/>
        </w:rPr>
        <w:tab/>
        <w:t>административните източници на данни, посочени в параграф 2;</w:t>
      </w:r>
    </w:p>
    <w:p>
      <w:pPr>
        <w:pStyle w:val="Point0"/>
        <w:rPr>
          <w:noProof/>
        </w:rPr>
      </w:pPr>
      <w:r>
        <w:rPr>
          <w:noProof/>
        </w:rPr>
        <w:t>в)</w:t>
      </w:r>
      <w:r>
        <w:rPr>
          <w:noProof/>
        </w:rPr>
        <w:tab/>
        <w:t>други източници, методи или иновативни подходи.</w:t>
      </w:r>
    </w:p>
    <w:p>
      <w:pPr>
        <w:spacing w:before="0" w:after="200" w:line="276" w:lineRule="auto"/>
        <w:ind w:left="360" w:hanging="360"/>
        <w:rPr>
          <w:noProof/>
        </w:rPr>
      </w:pPr>
      <w:r>
        <w:rPr>
          <w:noProof/>
        </w:rPr>
        <w:t>2.</w:t>
      </w:r>
      <w:r>
        <w:rPr>
          <w:noProof/>
        </w:rPr>
        <w:tab/>
        <w:t>Държавите членки могат да използват информация от интегрираната система за администриране и контрол (ИСАК), създадена с Регламент (ЕС) № 1307/2013 на Европейския парламент и на Съвета</w:t>
      </w:r>
      <w:r>
        <w:rPr>
          <w:noProof/>
          <w:szCs w:val="24"/>
          <w:vertAlign w:val="superscript"/>
        </w:rPr>
        <w:t>(</w:t>
      </w:r>
      <w:r>
        <w:rPr>
          <w:rStyle w:val="FootnoteReference"/>
          <w:noProof/>
        </w:rPr>
        <w:footnoteReference w:id="29"/>
      </w:r>
      <w:r>
        <w:rPr>
          <w:noProof/>
          <w:szCs w:val="24"/>
          <w:vertAlign w:val="superscript"/>
        </w:rPr>
        <w:t>)</w:t>
      </w:r>
      <w:r>
        <w:rPr>
          <w:noProof/>
        </w:rPr>
        <w:t>, от системата за идентификация и регистрация на едър рогат добитък, установена с Регламент (ЕО) № 1760/2000 на Европейския парламент и на Съвета</w:t>
      </w:r>
      <w:r>
        <w:rPr>
          <w:noProof/>
          <w:szCs w:val="24"/>
          <w:vertAlign w:val="superscript"/>
        </w:rPr>
        <w:t>(</w:t>
      </w:r>
      <w:r>
        <w:rPr>
          <w:rStyle w:val="FootnoteReference"/>
          <w:noProof/>
        </w:rPr>
        <w:footnoteReference w:id="30"/>
      </w:r>
      <w:r>
        <w:rPr>
          <w:noProof/>
          <w:szCs w:val="24"/>
          <w:vertAlign w:val="superscript"/>
        </w:rPr>
        <w:t>)</w:t>
      </w:r>
      <w:r>
        <w:rPr>
          <w:noProof/>
        </w:rPr>
        <w:t>, от системата за идентификация и регистрация на животни от рода на овцете и козите по Регламент (ЕО) № 21/2004 на Съвета</w:t>
      </w:r>
      <w:r>
        <w:rPr>
          <w:noProof/>
          <w:szCs w:val="24"/>
          <w:vertAlign w:val="superscript"/>
        </w:rPr>
        <w:t>(</w:t>
      </w:r>
      <w:r>
        <w:rPr>
          <w:rStyle w:val="FootnoteReference"/>
          <w:noProof/>
        </w:rPr>
        <w:footnoteReference w:id="31"/>
      </w:r>
      <w:r>
        <w:rPr>
          <w:noProof/>
          <w:szCs w:val="24"/>
          <w:vertAlign w:val="superscript"/>
        </w:rPr>
        <w:t>)</w:t>
      </w:r>
      <w:r>
        <w:rPr>
          <w:noProof/>
        </w:rPr>
        <w:t>, от лозарския регистър, воден в съответствие с член 145 от Регламент (ЕС) № 1308/2013 на Европейския парламент и на Съвета</w:t>
      </w:r>
      <w:r>
        <w:rPr>
          <w:noProof/>
          <w:szCs w:val="24"/>
          <w:vertAlign w:val="superscript"/>
        </w:rPr>
        <w:t>(</w:t>
      </w:r>
      <w:r>
        <w:rPr>
          <w:rStyle w:val="FootnoteReference"/>
          <w:noProof/>
        </w:rPr>
        <w:footnoteReference w:id="32"/>
      </w:r>
      <w:r>
        <w:rPr>
          <w:noProof/>
          <w:szCs w:val="24"/>
          <w:vertAlign w:val="superscript"/>
        </w:rPr>
        <w:t>)</w:t>
      </w:r>
      <w:r>
        <w:rPr>
          <w:noProof/>
        </w:rPr>
        <w:t>, и от регистрите за биологичното земеделие съгласно Регламент (ЕС) 2018/848.</w:t>
      </w:r>
    </w:p>
    <w:p>
      <w:pPr>
        <w:spacing w:before="0" w:after="200" w:line="276" w:lineRule="auto"/>
        <w:ind w:left="360" w:hanging="360"/>
        <w:rPr>
          <w:noProof/>
          <w:szCs w:val="24"/>
        </w:rPr>
      </w:pPr>
      <w:r>
        <w:rPr>
          <w:noProof/>
          <w:szCs w:val="24"/>
        </w:rPr>
        <w:t>3.</w:t>
      </w:r>
      <w:r>
        <w:rPr>
          <w:noProof/>
          <w:szCs w:val="24"/>
        </w:rPr>
        <w:tab/>
        <w:t xml:space="preserve">Статистическите данни за продуктите за растителна защита по член 5, параграф 1, буква г), подточка iii) се предават, като се използва документацията, съхранявана и предоставяна в съответствие с член 67 от Регламент (EО) № 1107/2009. </w:t>
      </w:r>
    </w:p>
    <w:p>
      <w:pPr>
        <w:spacing w:before="0" w:after="200" w:line="276" w:lineRule="auto"/>
        <w:ind w:left="360" w:hanging="360"/>
        <w:rPr>
          <w:noProof/>
        </w:rPr>
      </w:pPr>
      <w:r>
        <w:rPr>
          <w:noProof/>
        </w:rPr>
        <w:t>4.</w:t>
      </w:r>
      <w:r>
        <w:rPr>
          <w:noProof/>
        </w:rPr>
        <w:tab/>
      </w:r>
      <w:r>
        <w:rPr>
          <w:noProof/>
          <w:szCs w:val="24"/>
        </w:rPr>
        <w:t xml:space="preserve">За целта държавите членки изискват от професионалните потребители на продукти за растителна защита в електронен формат документация, обхващаща най-малко наименованието на продукта за растителна защита, дозировката на приложение и </w:t>
      </w:r>
      <w:r>
        <w:rPr>
          <w:noProof/>
          <w:szCs w:val="24"/>
        </w:rPr>
        <w:lastRenderedPageBreak/>
        <w:t>основния район и растителната култура, за които е използван, в съответствие с настоящия регламент.</w:t>
      </w:r>
    </w:p>
    <w:p>
      <w:pPr>
        <w:spacing w:before="0" w:after="200" w:line="276" w:lineRule="auto"/>
        <w:ind w:left="360" w:hanging="360"/>
        <w:rPr>
          <w:rFonts w:eastAsia="Times New Roman"/>
          <w:noProof/>
          <w:szCs w:val="24"/>
        </w:rPr>
      </w:pPr>
      <w:r>
        <w:rPr>
          <w:noProof/>
        </w:rPr>
        <w:t>5.</w:t>
      </w:r>
      <w:r>
        <w:rPr>
          <w:noProof/>
        </w:rPr>
        <w:tab/>
        <w:t>Държавите членки, които решат да използват източниците, методите или иновативните подходи, посочени в параграф 1, буква в), информират Комисията (Евростат) през годината, предхождаща референтната година, през която ще бъдат въведени източникът, методът или иновативният подход, и предоставят подробна информация относно качеството на получените данни.</w:t>
      </w:r>
    </w:p>
    <w:p>
      <w:pPr>
        <w:spacing w:before="0" w:after="200" w:line="276" w:lineRule="auto"/>
        <w:ind w:left="360" w:hanging="360"/>
        <w:rPr>
          <w:noProof/>
        </w:rPr>
      </w:pPr>
      <w:r>
        <w:rPr>
          <w:noProof/>
        </w:rPr>
        <w:t>6.</w:t>
      </w:r>
      <w:r>
        <w:rPr>
          <w:noProof/>
        </w:rPr>
        <w:tab/>
        <w:t>Националните органи, които отговарят за изпълнението на изискванията на настоящия регламент, имат право на своевременен и безплатен достъп и използване на данните, в това число индивидуалните данни за предприятията и земеделските стопанства, съдържащи се в съставени на тяхната национална територия административни досиета, съгласно член 17а от Регламент (ЕО) № 223/2009. Националните органи и собствениците на административните досиета установяват необходимите механизми за сътрудничество за целта. Този достъп се предоставя и в случаите, когато компетентният орган е делегирал на частни или полупублични органи задачи, които трябва да се изпълняват от негово име.</w:t>
      </w:r>
    </w:p>
    <w:p>
      <w:pPr>
        <w:keepNext/>
        <w:spacing w:before="360" w:after="200" w:line="276" w:lineRule="auto"/>
        <w:jc w:val="center"/>
        <w:rPr>
          <w:i/>
          <w:noProof/>
        </w:rPr>
      </w:pPr>
      <w:r>
        <w:rPr>
          <w:i/>
          <w:noProof/>
        </w:rPr>
        <w:t>Член 9</w:t>
      </w:r>
    </w:p>
    <w:p>
      <w:pPr>
        <w:spacing w:before="75" w:after="75" w:line="276" w:lineRule="auto"/>
        <w:jc w:val="center"/>
        <w:rPr>
          <w:b/>
          <w:noProof/>
          <w:szCs w:val="24"/>
        </w:rPr>
      </w:pPr>
      <w:r>
        <w:rPr>
          <w:b/>
          <w:noProof/>
          <w:szCs w:val="24"/>
        </w:rPr>
        <w:t>Референтен период</w:t>
      </w:r>
    </w:p>
    <w:p>
      <w:pPr>
        <w:spacing w:before="0" w:after="200" w:line="276" w:lineRule="auto"/>
        <w:rPr>
          <w:noProof/>
        </w:rPr>
      </w:pPr>
      <w:r>
        <w:rPr>
          <w:noProof/>
        </w:rPr>
        <w:t>Събраната информация се отнася до един референтен период, който е общ за всички държави членки, като се описва положението през конкретно указан времеви диапазон.</w:t>
      </w:r>
    </w:p>
    <w:p>
      <w:pPr>
        <w:spacing w:before="0" w:after="200" w:line="276" w:lineRule="auto"/>
        <w:rPr>
          <w:noProof/>
        </w:rPr>
      </w:pPr>
      <w:r>
        <w:rPr>
          <w:noProof/>
        </w:rPr>
        <w:t xml:space="preserve">Референтният период за всяка подробна тема е посочен в приложението. Първите референтни периоди започват през календарната година </w:t>
      </w:r>
      <w:r>
        <w:rPr>
          <w:i/>
          <w:noProof/>
        </w:rPr>
        <w:t>[въведете годината, започваща на 1 януари след изтичането на 18 месеца след приемането]</w:t>
      </w:r>
      <w:r>
        <w:rPr>
          <w:noProof/>
        </w:rPr>
        <w:t>.</w:t>
      </w:r>
    </w:p>
    <w:p>
      <w:pPr>
        <w:spacing w:before="0" w:after="200" w:line="276" w:lineRule="auto"/>
        <w:rPr>
          <w:noProof/>
        </w:rPr>
      </w:pPr>
      <w:r>
        <w:rPr>
          <w:noProof/>
        </w:rPr>
        <w:t xml:space="preserve">Комисията може да приема актове за изпълнение за допълнително уточняване на референтните периоди. Тези актове за изпълнение се приемат в съответствие с процедурата по разглеждане, посочена в член 15, параграф 2. </w:t>
      </w:r>
    </w:p>
    <w:p>
      <w:pPr>
        <w:keepNext/>
        <w:spacing w:before="360" w:after="200" w:line="276" w:lineRule="auto"/>
        <w:jc w:val="center"/>
        <w:rPr>
          <w:i/>
          <w:noProof/>
        </w:rPr>
      </w:pPr>
      <w:r>
        <w:rPr>
          <w:i/>
          <w:noProof/>
        </w:rPr>
        <w:t>Член 10</w:t>
      </w:r>
    </w:p>
    <w:p>
      <w:pPr>
        <w:keepNext/>
        <w:spacing w:before="75" w:after="75" w:line="276" w:lineRule="auto"/>
        <w:jc w:val="center"/>
        <w:rPr>
          <w:b/>
          <w:noProof/>
          <w:szCs w:val="24"/>
        </w:rPr>
      </w:pPr>
      <w:r>
        <w:rPr>
          <w:b/>
          <w:noProof/>
          <w:szCs w:val="24"/>
        </w:rPr>
        <w:t>Качество и докладване за качеството</w:t>
      </w:r>
    </w:p>
    <w:p>
      <w:pPr>
        <w:spacing w:before="0" w:after="200" w:line="276" w:lineRule="auto"/>
        <w:ind w:left="360" w:hanging="360"/>
        <w:rPr>
          <w:noProof/>
          <w:szCs w:val="24"/>
        </w:rPr>
      </w:pPr>
      <w:r>
        <w:rPr>
          <w:noProof/>
        </w:rPr>
        <w:t>1.</w:t>
      </w:r>
      <w:r>
        <w:rPr>
          <w:noProof/>
        </w:rPr>
        <w:tab/>
        <w:t>Държавите членки предприемат мерките, необходими за осигуряване на качеството на предаваните данни и метаданни.</w:t>
      </w:r>
    </w:p>
    <w:p>
      <w:pPr>
        <w:spacing w:before="0" w:after="200" w:line="276" w:lineRule="auto"/>
        <w:ind w:left="360" w:hanging="360"/>
        <w:rPr>
          <w:noProof/>
          <w:color w:val="000000"/>
          <w:sz w:val="22"/>
        </w:rPr>
      </w:pPr>
      <w:r>
        <w:rPr>
          <w:noProof/>
        </w:rPr>
        <w:t>2.</w:t>
      </w:r>
      <w:r>
        <w:rPr>
          <w:noProof/>
        </w:rPr>
        <w:tab/>
      </w:r>
      <w:r>
        <w:rPr>
          <w:noProof/>
          <w:color w:val="000000"/>
        </w:rPr>
        <w:t>Държавите членки гарантират, че данните, получени чрез използване на източниците и методите по член 8, дават точни оценки за статистическата съвкупност, определена в член 3, на национално равнище и когато е необходимо — на регионално равнище.</w:t>
      </w:r>
    </w:p>
    <w:p>
      <w:pPr>
        <w:spacing w:before="0" w:after="200" w:line="276" w:lineRule="auto"/>
        <w:ind w:left="360" w:hanging="360"/>
        <w:rPr>
          <w:noProof/>
          <w:szCs w:val="24"/>
        </w:rPr>
      </w:pPr>
      <w:r>
        <w:rPr>
          <w:noProof/>
        </w:rPr>
        <w:t>3.</w:t>
      </w:r>
      <w:r>
        <w:rPr>
          <w:noProof/>
        </w:rPr>
        <w:tab/>
        <w:t>За целите на настоящия регламент се прилагат критериите за качество, определени в член 12, параграф 1 от Регламент (ЕО) № 223/2009.</w:t>
      </w:r>
    </w:p>
    <w:p>
      <w:pPr>
        <w:spacing w:before="0" w:after="200" w:line="276" w:lineRule="auto"/>
        <w:ind w:left="360" w:hanging="360"/>
        <w:rPr>
          <w:noProof/>
          <w:szCs w:val="24"/>
        </w:rPr>
      </w:pPr>
      <w:r>
        <w:rPr>
          <w:noProof/>
        </w:rPr>
        <w:lastRenderedPageBreak/>
        <w:t>4.</w:t>
      </w:r>
      <w:r>
        <w:rPr>
          <w:noProof/>
        </w:rPr>
        <w:tab/>
        <w:t>Комисията (Евростат) оценява качеството на предаваните данни и метаданни по прозрачен и проверим начин.</w:t>
      </w:r>
    </w:p>
    <w:p>
      <w:pPr>
        <w:spacing w:before="0" w:after="200" w:line="276" w:lineRule="auto"/>
        <w:ind w:left="360" w:hanging="360"/>
        <w:rPr>
          <w:noProof/>
          <w:szCs w:val="24"/>
        </w:rPr>
      </w:pPr>
      <w:r>
        <w:rPr>
          <w:noProof/>
        </w:rPr>
        <w:t>5.</w:t>
      </w:r>
      <w:r>
        <w:rPr>
          <w:noProof/>
        </w:rPr>
        <w:tab/>
        <w:t xml:space="preserve">За тази цел държавите членки предават на Комисията (Евростат) доклад за качеството, в който се описват статистическите процеси, за първи път до 31 декември </w:t>
      </w:r>
      <w:r>
        <w:rPr>
          <w:i/>
          <w:noProof/>
          <w:szCs w:val="24"/>
        </w:rPr>
        <w:t>[въведете годината, започваща на 1 януари след 30 месеца след приемането]</w:t>
      </w:r>
      <w:r>
        <w:rPr>
          <w:noProof/>
        </w:rPr>
        <w:t>, а след това на всеки 3 години за наборите от данни, предадени през периода, включително по-конкретно:</w:t>
      </w:r>
    </w:p>
    <w:p>
      <w:pPr>
        <w:pStyle w:val="Point0"/>
        <w:rPr>
          <w:noProof/>
          <w:color w:val="000000"/>
        </w:rPr>
      </w:pPr>
      <w:r>
        <w:rPr>
          <w:noProof/>
        </w:rPr>
        <w:t>а)</w:t>
      </w:r>
      <w:r>
        <w:rPr>
          <w:noProof/>
        </w:rPr>
        <w:tab/>
        <w:t>метаданни, описващи използваната методология и начина за постигане на техническите спецификации с оглед на предвидените в настоящия регламент;</w:t>
      </w:r>
    </w:p>
    <w:p>
      <w:pPr>
        <w:pStyle w:val="Point0"/>
        <w:rPr>
          <w:noProof/>
          <w:sz w:val="20"/>
        </w:rPr>
      </w:pPr>
      <w:r>
        <w:rPr>
          <w:noProof/>
        </w:rPr>
        <w:t>б)</w:t>
      </w:r>
      <w:r>
        <w:rPr>
          <w:noProof/>
        </w:rPr>
        <w:tab/>
        <w:t>информация за спазването на изискванията към обхвата, описани в член 4, включително когато той се променя и актуализира.</w:t>
      </w:r>
    </w:p>
    <w:p>
      <w:pPr>
        <w:spacing w:before="0" w:after="200" w:line="276" w:lineRule="auto"/>
        <w:ind w:left="360" w:hanging="360"/>
        <w:rPr>
          <w:noProof/>
          <w:szCs w:val="24"/>
        </w:rPr>
      </w:pPr>
      <w:r>
        <w:rPr>
          <w:noProof/>
        </w:rPr>
        <w:t>6.</w:t>
      </w:r>
      <w:r>
        <w:rPr>
          <w:noProof/>
        </w:rPr>
        <w:tab/>
        <w:t>Едновременно с данните се предават отделни методологически доклади за подробната тема „Тегла и пребазирани индекси“.</w:t>
      </w:r>
    </w:p>
    <w:p>
      <w:pPr>
        <w:spacing w:before="0" w:after="200" w:line="276" w:lineRule="auto"/>
        <w:ind w:left="360" w:hanging="360"/>
        <w:rPr>
          <w:noProof/>
          <w:szCs w:val="24"/>
        </w:rPr>
      </w:pPr>
      <w:r>
        <w:rPr>
          <w:noProof/>
        </w:rPr>
        <w:t>7.</w:t>
      </w:r>
      <w:r>
        <w:rPr>
          <w:noProof/>
        </w:rPr>
        <w:tab/>
        <w:t>Комисията може да приема актове за изпълнение за установяване на практическите условия относно докладите за качеството и тяхното съдържание. Тези актове за изпълнение се приемат в съответствие с процедурата по разглеждане, посочена в член 15, параграф 2.</w:t>
      </w:r>
    </w:p>
    <w:p>
      <w:pPr>
        <w:spacing w:before="0" w:after="200" w:line="276" w:lineRule="auto"/>
        <w:ind w:left="360" w:hanging="360"/>
        <w:rPr>
          <w:noProof/>
          <w:szCs w:val="24"/>
        </w:rPr>
      </w:pPr>
      <w:r>
        <w:rPr>
          <w:noProof/>
        </w:rPr>
        <w:t>8.</w:t>
      </w:r>
      <w:r>
        <w:rPr>
          <w:noProof/>
        </w:rPr>
        <w:tab/>
        <w:t>Ако е необходимо, държавите членки уведомяват Комисията (Евростат) за всяка значима информация или промяна във връзка с изпълнението на настоящия регламент, която би могла значително да повлияе на качеството на предаваните данни.</w:t>
      </w:r>
    </w:p>
    <w:p>
      <w:pPr>
        <w:spacing w:before="0" w:after="200" w:line="276" w:lineRule="auto"/>
        <w:ind w:left="360" w:hanging="360"/>
        <w:rPr>
          <w:noProof/>
          <w:szCs w:val="24"/>
        </w:rPr>
      </w:pPr>
      <w:r>
        <w:rPr>
          <w:noProof/>
        </w:rPr>
        <w:t>9.</w:t>
      </w:r>
      <w:r>
        <w:rPr>
          <w:noProof/>
        </w:rPr>
        <w:tab/>
        <w:t>По искане на Комисията (Евростат) държавите членки предоставят необходимите допълнителни разяснения за оценяване на качеството на статистическата информация.</w:t>
      </w:r>
    </w:p>
    <w:p>
      <w:pPr>
        <w:keepNext/>
        <w:spacing w:before="360" w:after="200" w:line="276" w:lineRule="auto"/>
        <w:jc w:val="center"/>
        <w:rPr>
          <w:i/>
          <w:noProof/>
        </w:rPr>
      </w:pPr>
      <w:r>
        <w:rPr>
          <w:i/>
          <w:noProof/>
        </w:rPr>
        <w:t>Член 11</w:t>
      </w:r>
    </w:p>
    <w:p>
      <w:pPr>
        <w:keepNext/>
        <w:spacing w:before="75" w:after="75" w:line="276" w:lineRule="auto"/>
        <w:jc w:val="center"/>
        <w:rPr>
          <w:b/>
          <w:noProof/>
          <w:color w:val="000000" w:themeColor="text1"/>
        </w:rPr>
      </w:pPr>
      <w:r>
        <w:rPr>
          <w:b/>
          <w:noProof/>
          <w:color w:val="000000" w:themeColor="text1"/>
        </w:rPr>
        <w:t>Принос на Съюза</w:t>
      </w:r>
    </w:p>
    <w:p>
      <w:pPr>
        <w:spacing w:before="0" w:after="200" w:line="276" w:lineRule="auto"/>
        <w:ind w:left="360" w:hanging="360"/>
        <w:rPr>
          <w:noProof/>
          <w:szCs w:val="24"/>
        </w:rPr>
      </w:pPr>
      <w:r>
        <w:rPr>
          <w:noProof/>
        </w:rPr>
        <w:t>1.</w:t>
      </w:r>
      <w:r>
        <w:rPr>
          <w:noProof/>
        </w:rPr>
        <w:tab/>
        <w:t xml:space="preserve">За целите на изпълнението на настоящия регламент Съюзът може да предоставя безвъзмездни средства на националните статистически институти и другите национални органи, посочени в член 5, параграф 2 от Регламент (ЕО) № 223/2009, за да се покриват разходите за събиране на специалните данни. </w:t>
      </w:r>
    </w:p>
    <w:p>
      <w:pPr>
        <w:spacing w:before="0" w:after="200" w:line="276" w:lineRule="auto"/>
        <w:ind w:left="360" w:hanging="360"/>
        <w:rPr>
          <w:noProof/>
        </w:rPr>
      </w:pPr>
      <w:r>
        <w:rPr>
          <w:noProof/>
        </w:rPr>
        <w:t>2.</w:t>
      </w:r>
      <w:r>
        <w:rPr>
          <w:noProof/>
        </w:rPr>
        <w:tab/>
        <w:t>Финансовият принос на Съюза не надвишава 90 % от допустимите разходи.</w:t>
      </w:r>
    </w:p>
    <w:p>
      <w:pPr>
        <w:keepNext/>
        <w:spacing w:before="360" w:after="200" w:line="276" w:lineRule="auto"/>
        <w:jc w:val="center"/>
        <w:rPr>
          <w:i/>
          <w:noProof/>
        </w:rPr>
      </w:pPr>
      <w:r>
        <w:rPr>
          <w:i/>
          <w:noProof/>
        </w:rPr>
        <w:t>Член 12</w:t>
      </w:r>
    </w:p>
    <w:p>
      <w:pPr>
        <w:keepNext/>
        <w:spacing w:before="75" w:after="75" w:line="276" w:lineRule="auto"/>
        <w:jc w:val="center"/>
        <w:rPr>
          <w:b/>
          <w:noProof/>
          <w:color w:val="000000" w:themeColor="text1"/>
        </w:rPr>
      </w:pPr>
      <w:r>
        <w:rPr>
          <w:b/>
          <w:noProof/>
          <w:color w:val="000000" w:themeColor="text1"/>
        </w:rPr>
        <w:t>Защита на финансовите интереси на Съюза</w:t>
      </w:r>
    </w:p>
    <w:p>
      <w:pPr>
        <w:spacing w:before="0" w:after="200" w:line="276" w:lineRule="auto"/>
        <w:ind w:left="360" w:hanging="360"/>
        <w:rPr>
          <w:noProof/>
        </w:rPr>
      </w:pPr>
      <w:r>
        <w:rPr>
          <w:noProof/>
        </w:rPr>
        <w:t>1.</w:t>
      </w:r>
      <w:r>
        <w:rPr>
          <w:noProof/>
        </w:rPr>
        <w:tab/>
        <w:t xml:space="preserve">Комисията предприема необходимите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w:t>
      </w:r>
      <w:r>
        <w:rPr>
          <w:noProof/>
        </w:rPr>
        <w:lastRenderedPageBreak/>
        <w:t>измама, корупция и всякакви други незаконни дейности, чрез ефективни проверки и при установяването на нередности, чрез възстановяването на недължимо платените суми и когато е уместно, чрез ефективни, пропорционални и възпиращи административни и финансови санкции.</w:t>
      </w:r>
    </w:p>
    <w:p>
      <w:pPr>
        <w:spacing w:before="0" w:after="200" w:line="276" w:lineRule="auto"/>
        <w:ind w:left="360" w:hanging="360"/>
        <w:rPr>
          <w:noProof/>
        </w:rPr>
      </w:pPr>
      <w:r>
        <w:rPr>
          <w:noProof/>
        </w:rPr>
        <w:t>2.</w:t>
      </w:r>
      <w:r>
        <w:rPr>
          <w:noProof/>
        </w:rPr>
        <w:tab/>
        <w:t>Комисията или нейни представители и Сметната палата имат правомощия за извършване на одити по документи и проверки на място на всички бенефициери на безвъзмездни средства, изпълнители и подизпълнители, които са получили средства от Съюза по силата на програмата.</w:t>
      </w:r>
    </w:p>
    <w:p>
      <w:pPr>
        <w:spacing w:before="0" w:after="200" w:line="276" w:lineRule="auto"/>
        <w:ind w:left="360" w:hanging="360"/>
        <w:rPr>
          <w:noProof/>
        </w:rPr>
      </w:pPr>
      <w:r>
        <w:rPr>
          <w:noProof/>
        </w:rPr>
        <w:t>3.</w:t>
      </w:r>
      <w:r>
        <w:rPr>
          <w:noProof/>
        </w:rPr>
        <w:tab/>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w:t>
      </w:r>
      <w:r>
        <w:rPr>
          <w:noProof/>
          <w:vertAlign w:val="superscript"/>
        </w:rPr>
        <w:t>(</w:t>
      </w:r>
      <w:r>
        <w:rPr>
          <w:rStyle w:val="FootnoteReference"/>
          <w:noProof/>
        </w:rPr>
        <w:footnoteReference w:id="33"/>
      </w:r>
      <w:r>
        <w:rPr>
          <w:noProof/>
          <w:vertAlign w:val="superscript"/>
        </w:rPr>
        <w:t>)</w:t>
      </w:r>
      <w:r>
        <w:rPr>
          <w:noProof/>
        </w:rPr>
        <w:t xml:space="preserve"> и Регламент (Евратом, ЕО) № 2185/96 на Съвета</w:t>
      </w:r>
      <w:r>
        <w:rPr>
          <w:noProof/>
          <w:vertAlign w:val="superscript"/>
        </w:rPr>
        <w:t>(</w:t>
      </w:r>
      <w:r>
        <w:rPr>
          <w:rStyle w:val="FootnoteReference"/>
          <w:noProof/>
        </w:rPr>
        <w:footnoteReference w:id="34"/>
      </w:r>
      <w:r>
        <w:rPr>
          <w:noProof/>
          <w:vertAlign w:val="superscript"/>
        </w:rPr>
        <w:t>)</w:t>
      </w:r>
      <w:r>
        <w:rPr>
          <w:noProof/>
        </w:rPr>
        <w:t>, за да установи дали е налице измама, корупция или каквато и да било друга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финансиран по програмата.</w:t>
      </w:r>
    </w:p>
    <w:p>
      <w:pPr>
        <w:spacing w:before="0" w:after="200" w:line="276" w:lineRule="auto"/>
        <w:ind w:left="360" w:hanging="360"/>
        <w:rPr>
          <w:noProof/>
        </w:rPr>
      </w:pPr>
      <w:r>
        <w:rPr>
          <w:noProof/>
        </w:rPr>
        <w:t>4.</w:t>
      </w:r>
      <w:r>
        <w:rPr>
          <w:noProof/>
        </w:rPr>
        <w:tab/>
        <w:t>Без да се засягат параграфи 1, 2 и 3, споразумения за сътрудничество с трети държави и с международни организации, договори, споразумения и решения за отпускане на безвъзмездни средства, произтичащи от прилагането на настоящия регламент, съдържат разпоредби, с които Комисията, Сметната палата и OLAF изрично се оправомощават да провеждат такива одити и разследвания съгласно съответната си компетентност.</w:t>
      </w:r>
    </w:p>
    <w:p>
      <w:pPr>
        <w:keepNext/>
        <w:spacing w:before="360" w:after="200" w:line="276" w:lineRule="auto"/>
        <w:jc w:val="center"/>
        <w:rPr>
          <w:i/>
          <w:noProof/>
        </w:rPr>
      </w:pPr>
      <w:r>
        <w:rPr>
          <w:i/>
          <w:noProof/>
        </w:rPr>
        <w:t xml:space="preserve">Член 13 </w:t>
      </w:r>
    </w:p>
    <w:p>
      <w:pPr>
        <w:keepNext/>
        <w:spacing w:before="75" w:after="75" w:line="276" w:lineRule="auto"/>
        <w:jc w:val="center"/>
        <w:rPr>
          <w:b/>
          <w:noProof/>
          <w:color w:val="000000" w:themeColor="text1"/>
        </w:rPr>
      </w:pPr>
      <w:r>
        <w:rPr>
          <w:b/>
          <w:noProof/>
          <w:color w:val="000000" w:themeColor="text1"/>
        </w:rPr>
        <w:t>Дерогации</w:t>
      </w:r>
    </w:p>
    <w:p>
      <w:pPr>
        <w:spacing w:before="0" w:after="200" w:line="276" w:lineRule="auto"/>
        <w:ind w:left="360" w:hanging="360"/>
        <w:rPr>
          <w:noProof/>
          <w:color w:val="000000" w:themeColor="text1"/>
        </w:rPr>
      </w:pPr>
      <w:r>
        <w:rPr>
          <w:noProof/>
          <w:color w:val="000000" w:themeColor="text1"/>
        </w:rPr>
        <w:t xml:space="preserve">1. </w:t>
      </w:r>
      <w:r>
        <w:rPr>
          <w:noProof/>
        </w:rPr>
        <w:tab/>
      </w:r>
      <w:r>
        <w:rPr>
          <w:noProof/>
          <w:color w:val="000000" w:themeColor="text1"/>
        </w:rPr>
        <w:t>Ако прилагането на настоящия регламент или мерките за изпълнение и делегираните актове, приети в съответствие с него, налагат значителни адаптации в националната статистическа система на държава членка, Комисията може да приема актове за изпълнение, с които се предоставят дерогации на държавите членки за максимален срок от две години.</w:t>
      </w:r>
    </w:p>
    <w:p>
      <w:pPr>
        <w:spacing w:before="0" w:after="200" w:line="276" w:lineRule="auto"/>
        <w:ind w:left="360"/>
        <w:jc w:val="left"/>
        <w:rPr>
          <w:noProof/>
        </w:rPr>
      </w:pPr>
      <w:r>
        <w:rPr>
          <w:noProof/>
        </w:rPr>
        <w:t xml:space="preserve">Съответната държава членка представя на Комисията надлежно обосновано искане за такава дерогация в срок до три месеца от датата на влизане в сила на дадения акт. </w:t>
      </w:r>
    </w:p>
    <w:p>
      <w:pPr>
        <w:spacing w:before="0" w:after="200" w:line="276" w:lineRule="auto"/>
        <w:ind w:left="360"/>
        <w:jc w:val="left"/>
        <w:rPr>
          <w:noProof/>
        </w:rPr>
      </w:pPr>
      <w:r>
        <w:rPr>
          <w:noProof/>
        </w:rPr>
        <w:t xml:space="preserve">Отражението на тези дерогации върху съпоставимостта на данните на държавите членки или върху изчисляването на изискваните актуални и представителни </w:t>
      </w:r>
      <w:r>
        <w:rPr>
          <w:noProof/>
        </w:rPr>
        <w:lastRenderedPageBreak/>
        <w:t xml:space="preserve">европейски агрегати се свежда до минимум. Тежестта за респондентите се взема предвид при предоставяне на дерогацията. </w:t>
      </w:r>
    </w:p>
    <w:p>
      <w:pPr>
        <w:spacing w:before="0" w:after="200" w:line="276" w:lineRule="auto"/>
        <w:ind w:left="360" w:hanging="360"/>
        <w:rPr>
          <w:noProof/>
        </w:rPr>
      </w:pPr>
      <w:r>
        <w:rPr>
          <w:noProof/>
        </w:rPr>
        <w:t>2.</w:t>
      </w:r>
      <w:r>
        <w:rPr>
          <w:noProof/>
        </w:rPr>
        <w:tab/>
        <w:t>Актовете за изпълнение, посочени в параграф 1, първа алинея, се приемат в съответствие с процедурата по разглеждане, посочена в член 15, параграф 2.</w:t>
      </w:r>
    </w:p>
    <w:p>
      <w:pPr>
        <w:keepNext/>
        <w:spacing w:before="360" w:after="200" w:line="276" w:lineRule="auto"/>
        <w:jc w:val="center"/>
        <w:rPr>
          <w:i/>
          <w:noProof/>
        </w:rPr>
      </w:pPr>
      <w:r>
        <w:rPr>
          <w:i/>
          <w:noProof/>
        </w:rPr>
        <w:t>Член 14</w:t>
      </w:r>
    </w:p>
    <w:p>
      <w:pPr>
        <w:keepNext/>
        <w:spacing w:before="75" w:after="75" w:line="276" w:lineRule="auto"/>
        <w:jc w:val="center"/>
        <w:rPr>
          <w:b/>
          <w:noProof/>
          <w:color w:val="000000" w:themeColor="text1"/>
        </w:rPr>
      </w:pPr>
      <w:r>
        <w:rPr>
          <w:b/>
          <w:noProof/>
          <w:color w:val="000000" w:themeColor="text1"/>
        </w:rPr>
        <w:t>Упражняване на делегирането</w:t>
      </w:r>
    </w:p>
    <w:p>
      <w:pPr>
        <w:spacing w:before="0" w:after="200" w:line="276" w:lineRule="auto"/>
        <w:ind w:left="360" w:hanging="360"/>
        <w:rPr>
          <w:noProof/>
          <w:szCs w:val="24"/>
        </w:rPr>
      </w:pPr>
      <w:r>
        <w:rPr>
          <w:noProof/>
        </w:rPr>
        <w:t>1.</w:t>
      </w:r>
      <w:r>
        <w:rPr>
          <w:noProof/>
        </w:rPr>
        <w:tab/>
        <w:t xml:space="preserve">Правомощието да приема делегирани актове се предоставя на Комисията при спазване на предвидените в настоящия член условия. </w:t>
      </w:r>
    </w:p>
    <w:p>
      <w:pPr>
        <w:spacing w:before="0" w:after="200" w:line="276" w:lineRule="auto"/>
        <w:ind w:left="360" w:hanging="360"/>
        <w:rPr>
          <w:noProof/>
        </w:rPr>
      </w:pPr>
      <w:r>
        <w:rPr>
          <w:noProof/>
        </w:rPr>
        <w:t>2.</w:t>
      </w:r>
      <w:r>
        <w:rPr>
          <w:noProof/>
        </w:rPr>
        <w:tab/>
        <w:t xml:space="preserve">Правомощието да приема делегирани актове, посочено в член 5, параграф 8 и член 6, параграфи 1 и 2, се предоставя на Комисията за неопределен срок, считано от </w:t>
      </w:r>
      <w:r>
        <w:rPr>
          <w:i/>
          <w:noProof/>
        </w:rPr>
        <w:t xml:space="preserve">[Служба за публикации: моля, въведете </w:t>
      </w:r>
      <w:r>
        <w:rPr>
          <w:noProof/>
        </w:rPr>
        <w:t>точната</w:t>
      </w:r>
      <w:r>
        <w:rPr>
          <w:i/>
          <w:noProof/>
        </w:rPr>
        <w:t xml:space="preserve"> дата на влизане в сила на Регламента].</w:t>
      </w:r>
      <w:r>
        <w:rPr>
          <w:noProof/>
        </w:rPr>
        <w:t xml:space="preserve"> </w:t>
      </w:r>
    </w:p>
    <w:p>
      <w:pPr>
        <w:spacing w:before="0" w:after="200" w:line="276" w:lineRule="auto"/>
        <w:ind w:left="360" w:hanging="360"/>
        <w:rPr>
          <w:noProof/>
        </w:rPr>
      </w:pPr>
      <w:r>
        <w:rPr>
          <w:noProof/>
        </w:rPr>
        <w:t>3.</w:t>
      </w:r>
      <w:r>
        <w:rPr>
          <w:noProof/>
        </w:rPr>
        <w:tab/>
        <w:t xml:space="preserve">Делегирането на правомощието, посочено в член 5, параграф 8 и член 6, параграфи 1 и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szCs w:val="24"/>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spacing w:before="0" w:after="200" w:line="276" w:lineRule="auto"/>
        <w:ind w:left="360" w:hanging="360"/>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spacing w:before="0" w:after="200" w:line="276" w:lineRule="auto"/>
        <w:ind w:left="360" w:hanging="360"/>
        <w:rPr>
          <w:noProof/>
        </w:rPr>
      </w:pPr>
      <w:r>
        <w:rPr>
          <w:noProof/>
        </w:rPr>
        <w:t>5.</w:t>
      </w:r>
      <w:r>
        <w:rPr>
          <w:noProof/>
        </w:rPr>
        <w:tab/>
        <w:t xml:space="preserve">Веднага след като приеме делегиран акт, Комисията нотифицира акта едновременно на Европейския парламент и на Съвета. </w:t>
      </w:r>
    </w:p>
    <w:p>
      <w:pPr>
        <w:spacing w:before="0" w:after="200" w:line="276" w:lineRule="auto"/>
        <w:ind w:left="360" w:hanging="360"/>
        <w:rPr>
          <w:noProof/>
        </w:rPr>
      </w:pPr>
      <w:r>
        <w:rPr>
          <w:noProof/>
        </w:rPr>
        <w:t>6.</w:t>
      </w:r>
      <w:r>
        <w:rPr>
          <w:noProof/>
        </w:rPr>
        <w:tab/>
        <w:t>Делегиран акт, приет съгласно член 5, параграф 8 и член 6, параграфи 1 и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Съвета.</w:t>
      </w:r>
    </w:p>
    <w:p>
      <w:pPr>
        <w:keepNext/>
        <w:spacing w:before="360" w:after="200" w:line="276" w:lineRule="auto"/>
        <w:jc w:val="center"/>
        <w:rPr>
          <w:i/>
          <w:noProof/>
        </w:rPr>
      </w:pPr>
      <w:r>
        <w:rPr>
          <w:i/>
          <w:noProof/>
        </w:rPr>
        <w:lastRenderedPageBreak/>
        <w:t>Член 15</w:t>
      </w:r>
    </w:p>
    <w:p>
      <w:pPr>
        <w:keepNext/>
        <w:spacing w:before="75" w:after="75" w:line="276" w:lineRule="auto"/>
        <w:jc w:val="center"/>
        <w:rPr>
          <w:b/>
          <w:noProof/>
          <w:color w:val="000000" w:themeColor="text1"/>
        </w:rPr>
      </w:pPr>
      <w:r>
        <w:rPr>
          <w:b/>
          <w:noProof/>
          <w:color w:val="000000" w:themeColor="text1"/>
        </w:rPr>
        <w:t>Процедура на комитет</w:t>
      </w:r>
    </w:p>
    <w:p>
      <w:pPr>
        <w:spacing w:before="0" w:after="200" w:line="276" w:lineRule="auto"/>
        <w:ind w:left="360" w:hanging="360"/>
        <w:rPr>
          <w:noProof/>
        </w:rPr>
      </w:pPr>
      <w:r>
        <w:rPr>
          <w:noProof/>
        </w:rPr>
        <w:t xml:space="preserve">1. </w:t>
      </w:r>
      <w:r>
        <w:rPr>
          <w:noProof/>
        </w:rPr>
        <w:tab/>
        <w:t xml:space="preserve">Комисията се подпомага от Комитета на Европейската статистическа система, създаден с Регламент (ЕО) № 223/2009. Този комитет е комитет по смисъла на Регламент (ЕС) № 182/2011. </w:t>
      </w:r>
    </w:p>
    <w:p>
      <w:pPr>
        <w:spacing w:before="0" w:after="200" w:line="276" w:lineRule="auto"/>
        <w:ind w:left="360" w:hanging="360"/>
        <w:rPr>
          <w:noProof/>
        </w:rPr>
      </w:pPr>
      <w:r>
        <w:rPr>
          <w:noProof/>
        </w:rPr>
        <w:t xml:space="preserve">2. </w:t>
      </w:r>
      <w:r>
        <w:rPr>
          <w:noProof/>
        </w:rPr>
        <w:tab/>
        <w:t xml:space="preserve">При позоваване на настоящия параграф се прилага член 5 от Регламент (ЕС) № 182/2011. </w:t>
      </w:r>
    </w:p>
    <w:p>
      <w:pPr>
        <w:keepNext/>
        <w:spacing w:before="360" w:after="200" w:line="276" w:lineRule="auto"/>
        <w:jc w:val="center"/>
        <w:rPr>
          <w:i/>
          <w:noProof/>
        </w:rPr>
      </w:pPr>
      <w:r>
        <w:rPr>
          <w:i/>
          <w:noProof/>
        </w:rPr>
        <w:t>Член 16</w:t>
      </w:r>
    </w:p>
    <w:p>
      <w:pPr>
        <w:spacing w:before="100" w:beforeAutospacing="1" w:after="100" w:afterAutospacing="1"/>
        <w:jc w:val="center"/>
        <w:rPr>
          <w:rFonts w:eastAsia="Times New Roman"/>
          <w:b/>
          <w:noProof/>
          <w:szCs w:val="24"/>
        </w:rPr>
      </w:pPr>
      <w:r>
        <w:rPr>
          <w:b/>
          <w:noProof/>
          <w:szCs w:val="24"/>
        </w:rPr>
        <w:t>Изменение на Регламент (ЕО) № 617/2008</w:t>
      </w:r>
    </w:p>
    <w:p>
      <w:pPr>
        <w:spacing w:before="0" w:after="200" w:line="276" w:lineRule="auto"/>
        <w:rPr>
          <w:rFonts w:eastAsia="Times New Roman"/>
          <w:noProof/>
          <w:szCs w:val="24"/>
        </w:rPr>
      </w:pPr>
      <w:r>
        <w:rPr>
          <w:noProof/>
        </w:rPr>
        <w:t>Регламент (ЕО) № 617/2008 се изменя, както следва</w:t>
      </w:r>
    </w:p>
    <w:p>
      <w:pPr>
        <w:spacing w:before="0" w:after="200" w:line="276" w:lineRule="auto"/>
        <w:ind w:left="360" w:hanging="360"/>
        <w:rPr>
          <w:noProof/>
        </w:rPr>
      </w:pPr>
      <w:r>
        <w:rPr>
          <w:noProof/>
        </w:rPr>
        <w:t>1)</w:t>
      </w:r>
      <w:r>
        <w:rPr>
          <w:noProof/>
        </w:rPr>
        <w:tab/>
        <w:t>в член 8 се заличават параграфи 3, 4 и 5;</w:t>
      </w:r>
    </w:p>
    <w:p>
      <w:pPr>
        <w:spacing w:before="0" w:after="200" w:line="276" w:lineRule="auto"/>
        <w:ind w:left="360" w:hanging="360"/>
        <w:rPr>
          <w:noProof/>
        </w:rPr>
      </w:pPr>
      <w:r>
        <w:rPr>
          <w:noProof/>
        </w:rPr>
        <w:t>2)</w:t>
      </w:r>
      <w:r>
        <w:rPr>
          <w:noProof/>
        </w:rPr>
        <w:tab/>
        <w:t>заличава се член 11;</w:t>
      </w:r>
    </w:p>
    <w:p>
      <w:pPr>
        <w:spacing w:before="0" w:after="200" w:line="276" w:lineRule="auto"/>
        <w:ind w:left="360" w:hanging="360"/>
        <w:rPr>
          <w:noProof/>
        </w:rPr>
      </w:pPr>
      <w:r>
        <w:rPr>
          <w:noProof/>
        </w:rPr>
        <w:t>3)</w:t>
      </w:r>
      <w:r>
        <w:rPr>
          <w:noProof/>
        </w:rPr>
        <w:tab/>
        <w:t xml:space="preserve">заличават се приложения III и ІV. </w:t>
      </w:r>
    </w:p>
    <w:p>
      <w:pPr>
        <w:spacing w:before="0" w:after="200" w:line="276" w:lineRule="auto"/>
        <w:rPr>
          <w:noProof/>
        </w:rPr>
      </w:pPr>
      <w:r>
        <w:rPr>
          <w:noProof/>
        </w:rPr>
        <w:t xml:space="preserve">Настоящото изменение се прилага от 1 януари </w:t>
      </w:r>
      <w:r>
        <w:rPr>
          <w:i/>
          <w:noProof/>
        </w:rPr>
        <w:t>[от годината, следваща 18 месеца след приемането]</w:t>
      </w:r>
      <w:r>
        <w:rPr>
          <w:noProof/>
        </w:rPr>
        <w:t xml:space="preserve">. </w:t>
      </w:r>
    </w:p>
    <w:p>
      <w:pPr>
        <w:keepNext/>
        <w:spacing w:before="360" w:after="200" w:line="276" w:lineRule="auto"/>
        <w:jc w:val="center"/>
        <w:rPr>
          <w:i/>
          <w:noProof/>
        </w:rPr>
      </w:pPr>
      <w:r>
        <w:rPr>
          <w:i/>
          <w:noProof/>
        </w:rPr>
        <w:t>Член 17</w:t>
      </w:r>
    </w:p>
    <w:p>
      <w:pPr>
        <w:keepNext/>
        <w:spacing w:before="75" w:after="75" w:line="276" w:lineRule="auto"/>
        <w:jc w:val="center"/>
        <w:rPr>
          <w:b/>
          <w:noProof/>
          <w:color w:val="000000" w:themeColor="text1"/>
        </w:rPr>
      </w:pPr>
      <w:r>
        <w:rPr>
          <w:b/>
          <w:noProof/>
          <w:color w:val="000000" w:themeColor="text1"/>
        </w:rPr>
        <w:t>Отмяна</w:t>
      </w:r>
    </w:p>
    <w:p>
      <w:pPr>
        <w:spacing w:before="0" w:after="200" w:line="276" w:lineRule="auto"/>
        <w:ind w:left="360" w:hanging="360"/>
        <w:rPr>
          <w:noProof/>
        </w:rPr>
      </w:pPr>
      <w:r>
        <w:rPr>
          <w:noProof/>
        </w:rPr>
        <w:t>1.</w:t>
      </w:r>
      <w:r>
        <w:rPr>
          <w:noProof/>
        </w:rPr>
        <w:tab/>
        <w:t xml:space="preserve">Регламенти (ЕО) № 1165/2008, (ЕО) № 543/2009, (ЕО) № 1185/2009 и Директива 96/16/ЕО се отменят, считано от 1 януари </w:t>
      </w:r>
      <w:r>
        <w:rPr>
          <w:i/>
          <w:noProof/>
        </w:rPr>
        <w:t>[от първата календарна година, започваща най-малко 18 месеца след приемането]</w:t>
      </w:r>
      <w:r>
        <w:rPr>
          <w:noProof/>
        </w:rPr>
        <w:t>.</w:t>
      </w:r>
    </w:p>
    <w:p>
      <w:pPr>
        <w:spacing w:before="0" w:after="200" w:line="276" w:lineRule="auto"/>
        <w:ind w:left="360" w:hanging="360"/>
        <w:rPr>
          <w:noProof/>
        </w:rPr>
      </w:pPr>
      <w:r>
        <w:rPr>
          <w:noProof/>
        </w:rPr>
        <w:t>2.</w:t>
      </w:r>
      <w:r>
        <w:rPr>
          <w:noProof/>
        </w:rPr>
        <w:tab/>
        <w:t>Позоваванията на отменените актове се считат за позовавания на настоящия регламент.</w:t>
      </w:r>
    </w:p>
    <w:p>
      <w:pPr>
        <w:keepNext/>
        <w:spacing w:before="360" w:after="200" w:line="276" w:lineRule="auto"/>
        <w:jc w:val="center"/>
        <w:rPr>
          <w:i/>
          <w:noProof/>
        </w:rPr>
      </w:pPr>
      <w:r>
        <w:rPr>
          <w:i/>
          <w:noProof/>
        </w:rPr>
        <w:t>Член 18</w:t>
      </w:r>
    </w:p>
    <w:p>
      <w:pPr>
        <w:keepNext/>
        <w:spacing w:before="75" w:after="75" w:line="276" w:lineRule="auto"/>
        <w:jc w:val="center"/>
        <w:rPr>
          <w:b/>
          <w:noProof/>
          <w:color w:val="000000" w:themeColor="text1"/>
        </w:rPr>
      </w:pPr>
      <w:r>
        <w:rPr>
          <w:b/>
          <w:noProof/>
          <w:color w:val="000000" w:themeColor="text1"/>
        </w:rPr>
        <w:t>Влизане в сила</w:t>
      </w:r>
    </w:p>
    <w:p>
      <w:pPr>
        <w:spacing w:before="0" w:after="200" w:line="276" w:lineRule="auto"/>
        <w:ind w:left="360" w:hanging="360"/>
        <w:rPr>
          <w:noProof/>
          <w:color w:val="000000" w:themeColor="text1"/>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spacing w:before="0" w:after="200" w:line="276" w:lineRule="auto"/>
        <w:ind w:left="360" w:hanging="360"/>
        <w:rPr>
          <w:noProof/>
        </w:rPr>
      </w:pPr>
      <w:r>
        <w:rPr>
          <w:noProof/>
        </w:rPr>
        <w:t xml:space="preserve">Той се прилага от 1 януари </w:t>
      </w:r>
      <w:r>
        <w:rPr>
          <w:i/>
          <w:noProof/>
        </w:rPr>
        <w:t>[от годината, следваща 18 месеца след приемането]</w:t>
      </w:r>
      <w:r>
        <w:rPr>
          <w:noProof/>
        </w:rPr>
        <w:t xml:space="preserve">. </w:t>
      </w:r>
    </w:p>
    <w:p>
      <w:pPr>
        <w:keepNext/>
        <w:keepLines/>
        <w:spacing w:before="0" w:after="200" w:line="276" w:lineRule="auto"/>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Institutionquisigne"/>
        <w:rPr>
          <w:noProof/>
        </w:rPr>
      </w:pP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p>
    <w:p>
      <w:pPr>
        <w:pStyle w:val="ManualHeading2"/>
        <w:rPr>
          <w:b w:val="0"/>
          <w:noProof/>
        </w:rPr>
      </w:pPr>
      <w:r>
        <w:rPr>
          <w:noProof/>
        </w:rPr>
        <w:tab/>
      </w:r>
      <w:r>
        <w:rPr>
          <w:b w:val="0"/>
          <w:noProof/>
        </w:rPr>
        <w:t>1.3.</w:t>
      </w:r>
      <w:r>
        <w:rPr>
          <w:noProof/>
        </w:rPr>
        <w:tab/>
      </w:r>
      <w:r>
        <w:rPr>
          <w:b w:val="0"/>
          <w:noProof/>
        </w:rPr>
        <w:t>Предложението/инициативата е във връзка с:</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bookmarkStart w:id="2" w:name="_Toc514941971"/>
      <w:bookmarkStart w:id="3" w:name="_Toc46138676"/>
      <w:r>
        <w:t>1.</w:t>
      </w:r>
      <w:r>
        <w:tab/>
      </w:r>
      <w:r>
        <w:rPr>
          <w:noProof/>
        </w:rPr>
        <w:t>РАМКА НА ПРЕДЛОЖЕНИЕТО/ИНИЦИАТИВАТА</w:t>
      </w:r>
      <w:bookmarkEnd w:id="2"/>
      <w:bookmarkEnd w:id="3"/>
      <w:r>
        <w:rPr>
          <w:noProof/>
        </w:rPr>
        <w:t xml:space="preserve"> </w:t>
      </w:r>
    </w:p>
    <w:p>
      <w:pPr>
        <w:pStyle w:val="ManualHeading2"/>
        <w:rPr>
          <w:noProof/>
        </w:rPr>
      </w:pPr>
      <w:bookmarkStart w:id="4" w:name="_Toc514941972"/>
      <w:bookmarkStart w:id="5" w:name="_Toc46138677"/>
      <w:r>
        <w:t>1.1.</w:t>
      </w:r>
      <w:r>
        <w:tab/>
      </w:r>
      <w:r>
        <w:rPr>
          <w:noProof/>
        </w:rPr>
        <w:t>Наименование на предложението/инициативата</w:t>
      </w:r>
      <w:bookmarkEnd w:id="4"/>
      <w:bookmarkEnd w:id="5"/>
      <w:r>
        <w:rPr>
          <w:noProof/>
        </w:rPr>
        <w:t xml:space="preserve"> </w:t>
      </w:r>
      <w:bookmarkStart w:id="6" w:name="_Toc51494197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Регламент на Европейския парламент и на Съвета относно статистиката за селскостопанските влагани ресурси и продукция и за отмяна на регламенти (ЕО) № 1165/2008, (ЕО) № 543/2009, (ЕО) № 1185/2009 и Директива 96/16/ЕО</w:t>
            </w:r>
          </w:p>
        </w:tc>
      </w:tr>
    </w:tbl>
    <w:p>
      <w:pPr>
        <w:rPr>
          <w:noProof/>
        </w:rPr>
      </w:pPr>
    </w:p>
    <w:p>
      <w:pPr>
        <w:pStyle w:val="ManualHeading2"/>
        <w:rPr>
          <w:noProof/>
        </w:rPr>
      </w:pPr>
      <w:bookmarkStart w:id="7" w:name="_Toc46138678"/>
      <w:r>
        <w:t>1.2.</w:t>
      </w:r>
      <w:r>
        <w:tab/>
      </w:r>
      <w:r>
        <w:rPr>
          <w:noProof/>
        </w:rPr>
        <w:t xml:space="preserve">Съответни области на политиката </w:t>
      </w:r>
      <w:r>
        <w:rPr>
          <w:i/>
          <w:noProof/>
        </w:rPr>
        <w:t>(програмен клъстер)</w:t>
      </w:r>
      <w:bookmarkEnd w:id="6"/>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rPr>
        <w:t>Изготвяне на европейска статистика</w:t>
      </w:r>
    </w:p>
    <w:p>
      <w:pPr>
        <w:pStyle w:val="ManualHeading2"/>
        <w:rPr>
          <w:noProof/>
        </w:rPr>
      </w:pPr>
      <w:bookmarkStart w:id="9" w:name="_Toc46138679"/>
      <w:r>
        <w:t>1.3.</w:t>
      </w:r>
      <w:r>
        <w:tab/>
      </w:r>
      <w:r>
        <w:rPr>
          <w:noProof/>
        </w:rPr>
        <w:t>Предложението/инициативата е във връзка с:</w:t>
      </w:r>
      <w:bookmarkEnd w:id="8"/>
      <w:bookmarkEnd w:id="9"/>
      <w:r>
        <w:rPr>
          <w:noProof/>
        </w:rPr>
        <w:t xml:space="preserve">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35"/>
      </w:r>
      <w:r>
        <w:rPr>
          <w:noProof/>
          <w:sz w:val="22"/>
        </w:rPr>
        <w:t xml:space="preserve"> </w:t>
      </w:r>
    </w:p>
    <w:p>
      <w:pPr>
        <w:ind w:left="850"/>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b/>
          <w:noProof/>
          <w:sz w:val="22"/>
          <w:bdr w:val="single" w:sz="4" w:space="0" w:color="auto"/>
        </w:rPr>
        <w:t>X</w:t>
      </w:r>
      <w:r>
        <w:rPr>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rPr>
      </w:pPr>
      <w:bookmarkStart w:id="10" w:name="_Toc514941975"/>
      <w:bookmarkStart w:id="11" w:name="_Toc46138680"/>
      <w:r>
        <w:t>1.4.</w:t>
      </w:r>
      <w:r>
        <w:tab/>
      </w:r>
      <w:r>
        <w:rPr>
          <w:noProof/>
        </w:rPr>
        <w:t>Мотиви за предложението/инициативата</w:t>
      </w:r>
      <w:bookmarkEnd w:id="10"/>
      <w:bookmarkEnd w:id="11"/>
      <w:r>
        <w:rPr>
          <w:noProof/>
        </w:rPr>
        <w:t xml:space="preserve"> </w:t>
      </w:r>
    </w:p>
    <w:p>
      <w:pPr>
        <w:pStyle w:val="ManualHeading3"/>
        <w:rPr>
          <w:noProof/>
        </w:rPr>
      </w:pPr>
      <w:bookmarkStart w:id="12" w:name="_Toc514941976"/>
      <w:bookmarkStart w:id="13" w:name="_Toc46138681"/>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2"/>
      <w:bookmarkEnd w:id="1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Целта на настоящото предложение относно статистиката за селскостопанските влагани ресурси и продукция (ССВРП) е да се подобрят качеството, съпоставимостта и съгласуваността на европейската статистика за селското стопанство така, че отговорните политически фактори, предприятията и широката общественост да могат да вземат целесъобразни решения въз основата на факти.</w:t>
            </w:r>
          </w:p>
          <w:p>
            <w:pPr>
              <w:rPr>
                <w:noProof/>
              </w:rPr>
            </w:pPr>
            <w:r>
              <w:rPr>
                <w:noProof/>
              </w:rPr>
              <w:t>ССВРП обхваща събирането на статистически данни за селското стопанство в областта на растениевъдството и животновъдството, статистиката за селскостопанските цени, хранителните вещества и продуктите за растителна защита, като включва основен рамков регламент и актове за изпълнение. Тъй като е регламент, ССВРП ще се прилага пряко във всички държави членки. Четирите акта за изпълнение ще определят главно списъци с променливи, описания и методологически изисквания. Пакетът правни документи ще бъде приложен в отделните държави членки, като променливите и другите изисквания се транспонират в националните бази данни, въпросници и др. от момента на приемане на съответните актове. Очаква се Регламентът да се приеме от Европейския парламент и от Съвета през 2022 г., а актовете за изпълнение — през 2023 г.</w:t>
            </w:r>
          </w:p>
        </w:tc>
      </w:tr>
    </w:tbl>
    <w:p>
      <w:pPr>
        <w:ind w:left="850"/>
        <w:rPr>
          <w:noProof/>
        </w:rPr>
      </w:pPr>
    </w:p>
    <w:p>
      <w:pPr>
        <w:pStyle w:val="ManualHeading3"/>
        <w:rPr>
          <w:noProof/>
        </w:rPr>
      </w:pPr>
      <w:bookmarkStart w:id="14" w:name="_Toc514941977"/>
      <w:bookmarkStart w:id="15" w:name="_Toc46138682"/>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4"/>
      <w:bookmarkEnd w:id="15"/>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Важните общи политики на ЕС, като ОСП, се нуждаят неизменно от съпоставими, хармонизирани и висококачествени статистически данни за селското стопанство на европейско равнище. Те могат да бъдат осигурени най-добре посредством регламенти, които са пряко приложими в държавите членки и не е необходимо преди това да бъдат транспонирани в националното законодателство.</w:t>
            </w:r>
          </w:p>
          <w:p>
            <w:pPr>
              <w:rPr>
                <w:noProof/>
              </w:rPr>
            </w:pPr>
            <w:r>
              <w:rPr>
                <w:noProof/>
              </w:rPr>
              <w:t>След като ССВРП влезе изцяло в сила, ЕС и неговите държави членки следва да разполагат с висококачествени европейски статистически данни за селското стопанство, които са съпоставими и съгласувани и които налагат приемлива тежест върху респондентите и субектите, изготвящи данните, спрямо ползите от самите данни. Формирането на политиките въз основа на фактите е от решаващо значение за успеха на политики, като ОСП — важен двигател за създаването на работни места и за интелигентен, устойчив и приобщаващ растеж в Съюза.</w:t>
            </w:r>
          </w:p>
        </w:tc>
      </w:tr>
    </w:tbl>
    <w:p>
      <w:pPr>
        <w:ind w:left="850"/>
        <w:rPr>
          <w:noProof/>
        </w:rPr>
      </w:pPr>
    </w:p>
    <w:p>
      <w:pPr>
        <w:pStyle w:val="ManualHeading3"/>
        <w:rPr>
          <w:noProof/>
        </w:rPr>
      </w:pPr>
      <w:bookmarkStart w:id="16" w:name="_Toc514941978"/>
      <w:bookmarkStart w:id="17" w:name="_Toc46138683"/>
      <w:r>
        <w:t>1.4.3.</w:t>
      </w:r>
      <w:r>
        <w:tab/>
      </w:r>
      <w:r>
        <w:rPr>
          <w:noProof/>
        </w:rPr>
        <w:t>Изводи от подобен опит в миналото</w:t>
      </w:r>
      <w:bookmarkEnd w:id="16"/>
      <w:bookmarkEnd w:id="17"/>
    </w:p>
    <w:p>
      <w:pPr>
        <w:pBdr>
          <w:top w:val="single" w:sz="4" w:space="1" w:color="auto"/>
          <w:left w:val="single" w:sz="4" w:space="4" w:color="auto"/>
          <w:bottom w:val="single" w:sz="4" w:space="1" w:color="auto"/>
          <w:right w:val="single" w:sz="4" w:space="4" w:color="auto"/>
        </w:pBdr>
        <w:ind w:left="850"/>
        <w:rPr>
          <w:noProof/>
        </w:rPr>
      </w:pPr>
      <w:r>
        <w:rPr>
          <w:noProof/>
        </w:rPr>
        <w:t>Европейската статистика за селското стопанство е основен крайъгълен камък на ОСП и на много други важни политики на ЕС в продължение на десетилетия. Нейното правно основание обаче трябва да се актуализира, за да се отговори на промените в селското стопанство и да се отстранят основните проблемни аспекти, установени при оценка на настоящата европейска система за статистика за селското стопанство (ЕСССС). Тези проблемни аспекти са:</w:t>
      </w:r>
    </w:p>
    <w:p>
      <w:pPr>
        <w:pBdr>
          <w:top w:val="single" w:sz="4" w:space="1" w:color="auto"/>
          <w:left w:val="single" w:sz="4" w:space="4" w:color="auto"/>
          <w:bottom w:val="single" w:sz="4" w:space="1" w:color="auto"/>
          <w:right w:val="single" w:sz="4" w:space="4" w:color="auto"/>
        </w:pBdr>
        <w:ind w:left="850"/>
        <w:rPr>
          <w:noProof/>
        </w:rPr>
      </w:pPr>
      <w:r>
        <w:rPr>
          <w:noProof/>
        </w:rPr>
        <w:t>1. Настоящото законодателство в областта на статистиката за селското стопанство не удовлетворява адекватно новите нужди от данни.</w:t>
      </w:r>
    </w:p>
    <w:p>
      <w:pPr>
        <w:pBdr>
          <w:top w:val="single" w:sz="4" w:space="1" w:color="auto"/>
          <w:left w:val="single" w:sz="4" w:space="4" w:color="auto"/>
          <w:bottom w:val="single" w:sz="4" w:space="1" w:color="auto"/>
          <w:right w:val="single" w:sz="4" w:space="4" w:color="auto"/>
        </w:pBdr>
        <w:ind w:left="850"/>
        <w:rPr>
          <w:noProof/>
        </w:rPr>
      </w:pPr>
      <w:r>
        <w:rPr>
          <w:noProof/>
        </w:rPr>
        <w:t>2. ЕСССС не е достатъчно гъвкава и не реагира достатъчно бързо на новите нужди.</w:t>
      </w:r>
    </w:p>
    <w:p>
      <w:pPr>
        <w:pBdr>
          <w:top w:val="single" w:sz="4" w:space="1" w:color="auto"/>
          <w:left w:val="single" w:sz="4" w:space="4" w:color="auto"/>
          <w:bottom w:val="single" w:sz="4" w:space="1" w:color="auto"/>
          <w:right w:val="single" w:sz="4" w:space="4" w:color="auto"/>
        </w:pBdr>
        <w:ind w:left="850"/>
        <w:rPr>
          <w:noProof/>
        </w:rPr>
      </w:pPr>
      <w:r>
        <w:rPr>
          <w:noProof/>
        </w:rPr>
        <w:t>3. Събирането на данни не е хармонизирано и съгласувано в задоволителна степен.</w:t>
      </w:r>
    </w:p>
    <w:p>
      <w:pPr>
        <w:pBdr>
          <w:top w:val="single" w:sz="4" w:space="1" w:color="auto"/>
          <w:left w:val="single" w:sz="4" w:space="4" w:color="auto"/>
          <w:bottom w:val="single" w:sz="4" w:space="1" w:color="auto"/>
          <w:right w:val="single" w:sz="4" w:space="4" w:color="auto"/>
        </w:pBdr>
        <w:ind w:left="850"/>
        <w:rPr>
          <w:noProof/>
        </w:rPr>
      </w:pPr>
      <w:r>
        <w:rPr>
          <w:noProof/>
        </w:rPr>
        <w:t>4. Статистиката би могла да се изготвя по-ефективно.</w:t>
      </w:r>
    </w:p>
    <w:p>
      <w:pPr>
        <w:pBdr>
          <w:top w:val="single" w:sz="4" w:space="1" w:color="auto"/>
          <w:left w:val="single" w:sz="4" w:space="4" w:color="auto"/>
          <w:bottom w:val="single" w:sz="4" w:space="1" w:color="auto"/>
          <w:right w:val="single" w:sz="4" w:space="4" w:color="auto"/>
        </w:pBdr>
        <w:ind w:left="850"/>
        <w:rPr>
          <w:noProof/>
        </w:rPr>
      </w:pPr>
      <w:r>
        <w:rPr>
          <w:noProof/>
        </w:rPr>
        <w:t>5. Тежестта, свързана с предоставянето на данни, се възприема като голяма.</w:t>
      </w:r>
    </w:p>
    <w:p>
      <w:pPr>
        <w:ind w:left="850"/>
        <w:rPr>
          <w:noProof/>
        </w:rPr>
      </w:pPr>
    </w:p>
    <w:p>
      <w:pPr>
        <w:pStyle w:val="ManualHeading3"/>
        <w:rPr>
          <w:noProof/>
        </w:rPr>
      </w:pPr>
      <w:bookmarkStart w:id="18" w:name="_Toc514941979"/>
      <w:bookmarkStart w:id="19" w:name="_Toc46138684"/>
      <w:r>
        <w:t>1.4.4.</w:t>
      </w:r>
      <w:r>
        <w:tab/>
      </w:r>
      <w:r>
        <w:rPr>
          <w:noProof/>
        </w:rPr>
        <w:t>Съгласуваност и евентуална синергия с други актове</w:t>
      </w:r>
      <w:bookmarkEnd w:id="18"/>
      <w:bookmarkEnd w:id="19"/>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Предложеният регламент е част от стратегията на Евростат за статистиката за селското стопанство за 2020 г. и след това и се състои съответно от два рамкови регламента относно интегрираната статистика за земеделските стопанства (ИСЗС) и статистиката за селскостопанските влагани ресурси и продукция (ССВРП), както и от актуализиран регламент относно икономическите сметки за селското стопанство (ИССС). И трите регламента ще включват общо приложно поле, като една и съща техническа и методологическа документация ще се отнася за тях, и заедно ще обхванат всички аспекти на статистиката за селското стопанство.</w:t>
            </w:r>
          </w:p>
        </w:tc>
      </w:tr>
    </w:tbl>
    <w:p>
      <w:pPr>
        <w:ind w:left="850"/>
        <w:rPr>
          <w:noProof/>
        </w:rPr>
      </w:pPr>
    </w:p>
    <w:p>
      <w:pPr>
        <w:pStyle w:val="ManualHeading2"/>
        <w:rPr>
          <w:noProof/>
        </w:rPr>
      </w:pPr>
      <w:r>
        <w:rPr>
          <w:noProof/>
        </w:rPr>
        <w:br w:type="page"/>
      </w:r>
      <w:bookmarkStart w:id="20" w:name="_Toc514941980"/>
      <w:bookmarkStart w:id="21" w:name="_Toc46138685"/>
      <w:r>
        <w:t>1.5.</w:t>
      </w:r>
      <w:r>
        <w:tab/>
      </w:r>
      <w:r>
        <w:rPr>
          <w:noProof/>
        </w:rPr>
        <w:t>Срок на действие и финансово отражение</w:t>
      </w:r>
      <w:bookmarkEnd w:id="20"/>
      <w:bookmarkEnd w:id="21"/>
      <w:r>
        <w:rPr>
          <w:noProof/>
        </w:rPr>
        <w:t xml:space="preserve"> </w:t>
      </w:r>
    </w:p>
    <w:p>
      <w:pPr>
        <w:ind w:left="360"/>
        <w:rPr>
          <w:noProof/>
        </w:rPr>
      </w:pPr>
      <w:r>
        <w:rPr>
          <w:noProof/>
        </w:rPr>
        <w:sym w:font="Wingdings" w:char="F0A8"/>
      </w:r>
      <w:r>
        <w:rPr>
          <w:b/>
          <w:i/>
          <w:noProof/>
        </w:rPr>
        <w:t xml:space="preserve"> </w:t>
      </w:r>
      <w:r>
        <w:rPr>
          <w:b/>
          <w:noProof/>
        </w:rPr>
        <w:t xml:space="preserve">ограничен срок на действие </w:t>
      </w:r>
    </w:p>
    <w:p>
      <w:pPr>
        <w:ind w:left="360"/>
        <w:rPr>
          <w:rFonts w:eastAsia="Times New Roman"/>
          <w:noProof/>
        </w:rPr>
      </w:pPr>
      <w:r>
        <w:rPr>
          <w:noProof/>
        </w:rPr>
        <w:sym w:font="Wingdings" w:char="F0A8"/>
      </w:r>
      <w:r>
        <w:rPr>
          <w:noProof/>
        </w:rPr>
        <w:t xml:space="preserve"> в сила от [ДД/ММ]ГГГГ до [ДД/ММ]ГГГГ </w:t>
      </w:r>
    </w:p>
    <w:p>
      <w:pPr>
        <w:ind w:left="360"/>
        <w:rPr>
          <w:rFonts w:eastAsia="Times New Roman"/>
          <w:noProof/>
        </w:rPr>
      </w:pPr>
      <w:r>
        <w:rPr>
          <w:noProof/>
        </w:rPr>
        <w:sym w:font="Wingdings" w:char="F0A8"/>
      </w:r>
      <w:r>
        <w:rPr>
          <w:noProof/>
        </w:rPr>
        <w:t xml:space="preserve"> Финансово отражение от ГГГГ до ГГГГ за бюджетни кредити за поети задължения и от ГГГГ до ГГГГ за бюджетни кредити за плащания. </w:t>
      </w:r>
    </w:p>
    <w:p>
      <w:pPr>
        <w:ind w:left="360"/>
        <w:rPr>
          <w:noProof/>
        </w:rPr>
      </w:pPr>
      <w:r>
        <w:rPr>
          <w:noProof/>
          <w:bdr w:val="single" w:sz="4" w:space="0" w:color="auto"/>
        </w:rPr>
        <w:t>X</w:t>
      </w:r>
      <w:r>
        <w:rPr>
          <w:b/>
          <w:i/>
          <w:noProof/>
        </w:rPr>
        <w:t xml:space="preserve"> </w:t>
      </w:r>
      <w:r>
        <w:rPr>
          <w:b/>
          <w:noProof/>
        </w:rPr>
        <w:t>неограничен срок на действие</w:t>
      </w:r>
    </w:p>
    <w:p>
      <w:pPr>
        <w:ind w:left="360"/>
        <w:rPr>
          <w:rFonts w:eastAsia="Times New Roman"/>
          <w:noProof/>
        </w:rPr>
      </w:pPr>
      <w:r>
        <w:rPr>
          <w:noProof/>
        </w:rPr>
        <w:t>Осъществяване с период на започване на дейност от 2022 г. до 2024 г., последван от функциониране с пълен капацитет.</w:t>
      </w:r>
    </w:p>
    <w:p>
      <w:pPr>
        <w:pStyle w:val="ManualHeading2"/>
        <w:rPr>
          <w:noProof/>
        </w:rPr>
      </w:pPr>
      <w:bookmarkStart w:id="22" w:name="_Toc514941981"/>
      <w:bookmarkStart w:id="23" w:name="_Toc46138686"/>
      <w:r>
        <w:t>1.6.</w:t>
      </w:r>
      <w:r>
        <w:tab/>
      </w:r>
      <w:r>
        <w:rPr>
          <w:noProof/>
        </w:rPr>
        <w:t>Планирани методи на управление</w:t>
      </w:r>
      <w:r>
        <w:rPr>
          <w:rStyle w:val="FootnoteReference"/>
          <w:noProof/>
        </w:rPr>
        <w:footnoteReference w:id="36"/>
      </w:r>
      <w:bookmarkEnd w:id="22"/>
      <w:bookmarkEnd w:id="23"/>
      <w:r>
        <w:rPr>
          <w:noProof/>
        </w:rPr>
        <w:t xml:space="preserve"> </w:t>
      </w:r>
    </w:p>
    <w:p>
      <w:pPr>
        <w:ind w:left="360"/>
        <w:rPr>
          <w:noProof/>
        </w:rPr>
      </w:pPr>
      <w:r>
        <w:rPr>
          <w:noProof/>
          <w:bdr w:val="single" w:sz="4" w:space="0" w:color="auto"/>
        </w:rPr>
        <w:t>X</w:t>
      </w:r>
      <w:r>
        <w:rPr>
          <w:i/>
          <w:noProof/>
        </w:rPr>
        <w:t xml:space="preserve"> </w:t>
      </w:r>
      <w:r>
        <w:rPr>
          <w:b/>
          <w:noProof/>
        </w:rPr>
        <w:t>Пряко управление</w:t>
      </w:r>
      <w:r>
        <w:rPr>
          <w:noProof/>
        </w:rPr>
        <w:t xml:space="preserve"> от Комисията</w:t>
      </w:r>
    </w:p>
    <w:p>
      <w:pPr>
        <w:ind w:left="360"/>
        <w:rPr>
          <w:rFonts w:eastAsia="Times New Roman" w:cs="EUAlbertina"/>
          <w:noProof/>
        </w:rPr>
      </w:pPr>
      <w:r>
        <w:rPr>
          <w:noProof/>
          <w:bdr w:val="single" w:sz="4" w:space="0" w:color="auto"/>
        </w:rPr>
        <w:t>X</w:t>
      </w:r>
      <w:r>
        <w:rPr>
          <w:noProof/>
        </w:rPr>
        <w:t xml:space="preserve"> от нейните служби, включително от нейния персонал в делегациите на Съюза; </w:t>
      </w:r>
    </w:p>
    <w:p>
      <w:pPr>
        <w:ind w:left="360"/>
        <w:rPr>
          <w:rFonts w:eastAsia="Times New Roman"/>
          <w:noProof/>
        </w:rPr>
      </w:pPr>
      <w:r>
        <w:rPr>
          <w:noProof/>
        </w:rPr>
        <w:sym w:font="Wingdings" w:char="F0A8"/>
      </w:r>
      <w:r>
        <w:rPr>
          <w:noProof/>
        </w:rPr>
        <w:t xml:space="preserve"> от изпълнителните агенции </w:t>
      </w:r>
    </w:p>
    <w:p>
      <w:pPr>
        <w:ind w:left="36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360"/>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ind w:left="360"/>
        <w:rPr>
          <w:rFonts w:eastAsia="Times New Roman"/>
          <w:noProof/>
        </w:rPr>
      </w:pPr>
      <w:r>
        <w:rPr>
          <w:noProof/>
        </w:rPr>
        <w:sym w:font="Wingdings" w:char="F0A8"/>
      </w:r>
      <w:r>
        <w:rPr>
          <w:noProof/>
        </w:rPr>
        <w:t xml:space="preserve"> трети държави или на органите, определени от тях;</w:t>
      </w:r>
    </w:p>
    <w:p>
      <w:pPr>
        <w:ind w:left="360"/>
        <w:rPr>
          <w:rFonts w:eastAsia="Times New Roman"/>
          <w:noProof/>
        </w:rPr>
      </w:pPr>
      <w:r>
        <w:rPr>
          <w:noProof/>
        </w:rPr>
        <w:sym w:font="Wingdings" w:char="F0A8"/>
      </w:r>
      <w:r>
        <w:rPr>
          <w:noProof/>
        </w:rPr>
        <w:t xml:space="preserve"> международни организации и техните агенции (да се уточни);</w:t>
      </w:r>
    </w:p>
    <w:p>
      <w:pPr>
        <w:ind w:left="360"/>
        <w:rPr>
          <w:rFonts w:eastAsia="Times New Roman"/>
          <w:noProof/>
        </w:rPr>
      </w:pPr>
      <w:r>
        <w:rPr>
          <w:noProof/>
        </w:rPr>
        <w:sym w:font="Wingdings" w:char="F0A8"/>
      </w:r>
      <w:r>
        <w:rPr>
          <w:noProof/>
        </w:rPr>
        <w:t xml:space="preserve"> ЕИБ и Европейския инвестиционен фонд;</w:t>
      </w:r>
    </w:p>
    <w:p>
      <w:pPr>
        <w:ind w:left="360"/>
        <w:rPr>
          <w:rFonts w:eastAsia="Times New Roman"/>
          <w:noProof/>
        </w:rPr>
      </w:pPr>
      <w:r>
        <w:rPr>
          <w:noProof/>
        </w:rPr>
        <w:sym w:font="Wingdings" w:char="F0A8"/>
      </w:r>
      <w:r>
        <w:rPr>
          <w:noProof/>
        </w:rPr>
        <w:t xml:space="preserve"> органите, посочени в членове 70 и 71 от Финансовия регламент;</w:t>
      </w:r>
    </w:p>
    <w:p>
      <w:pPr>
        <w:ind w:left="360"/>
        <w:rPr>
          <w:rFonts w:eastAsia="Times New Roman"/>
          <w:noProof/>
        </w:rPr>
      </w:pPr>
      <w:r>
        <w:rPr>
          <w:noProof/>
        </w:rPr>
        <w:sym w:font="Wingdings" w:char="F0A8"/>
      </w:r>
      <w:r>
        <w:rPr>
          <w:noProof/>
        </w:rPr>
        <w:t xml:space="preserve"> публичноправни органи;</w:t>
      </w:r>
    </w:p>
    <w:p>
      <w:pPr>
        <w:ind w:left="360"/>
        <w:rPr>
          <w:rFonts w:eastAsia="Times New Roman"/>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ind w:left="360"/>
        <w:rPr>
          <w:rFonts w:eastAsia="Times New Roman"/>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ind w:left="360"/>
        <w:rPr>
          <w:rFonts w:eastAsia="Times New Roman"/>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ind w:left="360"/>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tabs>
          <w:tab w:val="left" w:pos="720"/>
        </w:tabs>
        <w:ind w:left="360"/>
        <w:rPr>
          <w:noProof/>
        </w:rPr>
      </w:pPr>
      <w:r>
        <w:rPr>
          <w:noProof/>
        </w:rPr>
        <w:t xml:space="preserve">Забележки </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4" w:name="_Toc514941982"/>
      <w:bookmarkStart w:id="25" w:name="_Toc46138687"/>
      <w:r>
        <w:t>2.</w:t>
      </w:r>
      <w:r>
        <w:tab/>
      </w:r>
      <w:r>
        <w:rPr>
          <w:noProof/>
        </w:rPr>
        <w:t>МЕРКИ ЗА УПРАВЛЕНИЕ</w:t>
      </w:r>
      <w:bookmarkEnd w:id="24"/>
      <w:bookmarkEnd w:id="25"/>
      <w:r>
        <w:rPr>
          <w:noProof/>
        </w:rPr>
        <w:t xml:space="preserve"> </w:t>
      </w:r>
    </w:p>
    <w:p>
      <w:pPr>
        <w:pStyle w:val="ManualHeading2"/>
        <w:rPr>
          <w:noProof/>
        </w:rPr>
      </w:pPr>
      <w:bookmarkStart w:id="26" w:name="_Toc514941983"/>
      <w:bookmarkStart w:id="27" w:name="_Toc46138688"/>
      <w:r>
        <w:t>2.1.</w:t>
      </w:r>
      <w:r>
        <w:tab/>
      </w:r>
      <w:r>
        <w:rPr>
          <w:noProof/>
        </w:rPr>
        <w:t>Правила за мониторинг и докладване</w:t>
      </w:r>
      <w:bookmarkEnd w:id="26"/>
      <w:bookmarkEnd w:id="27"/>
      <w:r>
        <w:rPr>
          <w:noProof/>
        </w:rPr>
        <w:t xml:space="preserve"> </w:t>
      </w:r>
    </w:p>
    <w:p>
      <w:pPr>
        <w:ind w:left="709"/>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1"/>
        <w:rPr>
          <w:noProof/>
        </w:rPr>
      </w:pPr>
      <w:r>
        <w:rPr>
          <w:noProof/>
        </w:rPr>
        <w:t>Получателите на безвъзмездни средства трябва да представят събраните данни, както и съответните доклади за качеството.</w:t>
      </w:r>
    </w:p>
    <w:p>
      <w:pPr>
        <w:pStyle w:val="ManualHeading2"/>
        <w:rPr>
          <w:noProof/>
        </w:rPr>
      </w:pPr>
      <w:bookmarkStart w:id="28" w:name="_Toc514941984"/>
      <w:bookmarkStart w:id="29" w:name="_Toc46138689"/>
      <w:r>
        <w:t>2.2.</w:t>
      </w:r>
      <w:r>
        <w:tab/>
      </w:r>
      <w:r>
        <w:rPr>
          <w:noProof/>
        </w:rPr>
        <w:t>Системи за управление и контрол</w:t>
      </w:r>
      <w:bookmarkEnd w:id="28"/>
      <w:bookmarkEnd w:id="29"/>
      <w:r>
        <w:rPr>
          <w:noProof/>
        </w:rPr>
        <w:t xml:space="preserve"> </w:t>
      </w:r>
    </w:p>
    <w:p>
      <w:pPr>
        <w:keepNext/>
        <w:ind w:left="1800"/>
        <w:outlineLvl w:val="2"/>
        <w:rPr>
          <w:rFonts w:eastAsiaTheme="majorEastAsia"/>
          <w:bCs/>
          <w:i/>
          <w:noProof/>
        </w:rPr>
      </w:pPr>
      <w:bookmarkStart w:id="30" w:name="_Toc514941985"/>
      <w:bookmarkStart w:id="31" w:name="_Toc46138690"/>
      <w:r>
        <w:rPr>
          <w:bCs/>
          <w:i/>
          <w:noProof/>
        </w:rPr>
        <w:t>Обосновка на предложените начини за управление, механизми за финансиране на изпълнението, начини за плащане и стратегия за контрол</w:t>
      </w:r>
      <w:bookmarkEnd w:id="30"/>
      <w:bookmarkEnd w:id="31"/>
    </w:p>
    <w:tbl>
      <w:tblPr>
        <w:tblStyle w:val="TableGrid1"/>
        <w:tblW w:w="0" w:type="auto"/>
        <w:tblInd w:w="850" w:type="dxa"/>
        <w:tblLook w:val="04A0" w:firstRow="1" w:lastRow="0" w:firstColumn="1" w:lastColumn="0" w:noHBand="0" w:noVBand="1"/>
      </w:tblPr>
      <w:tblGrid>
        <w:gridCol w:w="8437"/>
      </w:tblGrid>
      <w:tr>
        <w:tc>
          <w:tcPr>
            <w:tcW w:w="9287" w:type="dxa"/>
          </w:tcPr>
          <w:p>
            <w:pPr>
              <w:pBdr>
                <w:top w:val="nil"/>
                <w:left w:val="nil"/>
                <w:bottom w:val="nil"/>
                <w:right w:val="nil"/>
                <w:between w:val="nil"/>
                <w:bar w:val="nil"/>
              </w:pBdr>
              <w:spacing w:after="240"/>
              <w:ind w:left="1"/>
              <w:rPr>
                <w:noProof/>
              </w:rPr>
            </w:pPr>
            <w:r>
              <w:rPr>
                <w:noProof/>
              </w:rPr>
              <w:t>Принципът на субсидиарност се прилага, тъй като предложението не попада в изключителната компетентност на Съюза. Европейската статистическа система (ЕСС) осигурява инфраструктура за статистическата информация. Системата е структурирана така, че да удовлетворява нуждите на множество ползватели, за целите на вземането на решения в демократичните общества. Предложението за този регламент е изготвено с цел да се защитят основните дейности на партньорите от ЕСС, като същевременно се гарантира в по-голяма степен качеството и съпоставимостта на статистиката за селското стопанство.</w:t>
            </w:r>
          </w:p>
          <w:p>
            <w:pPr>
              <w:pBdr>
                <w:top w:val="nil"/>
                <w:left w:val="nil"/>
                <w:bottom w:val="nil"/>
                <w:right w:val="nil"/>
                <w:between w:val="nil"/>
                <w:bar w:val="nil"/>
              </w:pBdr>
              <w:spacing w:after="240"/>
              <w:ind w:left="1"/>
              <w:rPr>
                <w:noProof/>
              </w:rPr>
            </w:pPr>
            <w:r>
              <w:rPr>
                <w:noProof/>
              </w:rPr>
              <w:t xml:space="preserve">Един от основните критерии, на които трябва да отговарят статистическите данни, е да бъдат последователни и съпоставими. Държавите членки не могат да постигнат необходимата последователност и съпоставимост без ясна европейска рамка, т.е. законодателство на Съюза, което да регламентира общите статистически понятия, форматите за докладване и изискванията към качеството. </w:t>
            </w:r>
          </w:p>
          <w:p>
            <w:pPr>
              <w:ind w:left="1"/>
              <w:rPr>
                <w:noProof/>
              </w:rPr>
            </w:pPr>
            <w:r>
              <w:rPr>
                <w:noProof/>
              </w:rPr>
              <w:t>Целта на предложеното действие не може да бъде постигната в задоволителна степен, ако държавите членки действат самостоятелно. Може да бъде предприето по-ефективно действие на равнището на Съюза въз основа на правен акт на Съюза, който гарантира съпоставимостта на статистическата информация в статистическите области, обхванати от предложения акт. Междувременно самото събиране на данните може да се извършва от държавите членки.</w:t>
            </w:r>
          </w:p>
        </w:tc>
      </w:tr>
    </w:tbl>
    <w:p>
      <w:pPr>
        <w:pStyle w:val="ManualHeading3"/>
        <w:rPr>
          <w:noProof/>
        </w:rPr>
      </w:pPr>
      <w:bookmarkStart w:id="32" w:name="_Toc514941986"/>
      <w:bookmarkStart w:id="33" w:name="_Toc46138691"/>
      <w:r>
        <w:t>2.2.1.</w:t>
      </w:r>
      <w:r>
        <w:tab/>
      </w:r>
      <w:r>
        <w:rPr>
          <w:noProof/>
        </w:rPr>
        <w:t>Информация относно установените рискове и системите за вътрешен контрол, създадени с цел намаляването им</w:t>
      </w:r>
      <w:bookmarkEnd w:id="32"/>
      <w:bookmarkEnd w:id="33"/>
    </w:p>
    <w:p>
      <w:pPr>
        <w:pBdr>
          <w:top w:val="single" w:sz="4" w:space="1" w:color="auto"/>
          <w:left w:val="single" w:sz="4" w:space="4" w:color="auto"/>
          <w:bottom w:val="single" w:sz="4" w:space="1" w:color="auto"/>
          <w:right w:val="single" w:sz="4" w:space="4" w:color="auto"/>
        </w:pBdr>
        <w:tabs>
          <w:tab w:val="left" w:pos="720"/>
        </w:tabs>
        <w:spacing w:before="0" w:after="0"/>
        <w:ind w:left="851"/>
        <w:rPr>
          <w:noProof/>
        </w:rPr>
      </w:pPr>
      <w:r>
        <w:rPr>
          <w:noProof/>
        </w:rPr>
        <w:t>Рискове: потенциални проблеми, свързани с качеството и актуалността на данните.</w:t>
      </w:r>
    </w:p>
    <w:p>
      <w:pPr>
        <w:pBdr>
          <w:top w:val="single" w:sz="4" w:space="1" w:color="auto"/>
          <w:left w:val="single" w:sz="4" w:space="4" w:color="auto"/>
          <w:bottom w:val="single" w:sz="4" w:space="1" w:color="auto"/>
          <w:right w:val="single" w:sz="4" w:space="4" w:color="auto"/>
        </w:pBdr>
        <w:spacing w:before="0" w:after="0"/>
        <w:ind w:left="851"/>
        <w:rPr>
          <w:noProof/>
        </w:rPr>
      </w:pPr>
    </w:p>
    <w:p>
      <w:pPr>
        <w:pBdr>
          <w:top w:val="single" w:sz="4" w:space="1" w:color="auto"/>
          <w:left w:val="single" w:sz="4" w:space="4" w:color="auto"/>
          <w:bottom w:val="single" w:sz="4" w:space="1" w:color="auto"/>
          <w:right w:val="single" w:sz="4" w:space="4" w:color="auto"/>
        </w:pBdr>
        <w:spacing w:before="0" w:after="0"/>
        <w:ind w:left="851"/>
        <w:rPr>
          <w:noProof/>
        </w:rPr>
      </w:pPr>
      <w:r>
        <w:rPr>
          <w:noProof/>
        </w:rPr>
        <w:t>Системи за контрол, създадени с цел намаляване на рисковете: техническата и методологическата документация и насоки ще бъдат съобщени на държавите членки предварително. Ще се осъществява мониторинг за спазването на сроковете. Докладите за качеството ще бъдат подлагани на щателен преглед.</w:t>
      </w:r>
    </w:p>
    <w:p>
      <w:pPr>
        <w:rPr>
          <w:noProof/>
        </w:rPr>
      </w:pPr>
    </w:p>
    <w:p>
      <w:pPr>
        <w:pStyle w:val="ManualHeading3"/>
        <w:rPr>
          <w:noProof/>
        </w:rPr>
      </w:pPr>
      <w:bookmarkStart w:id="34" w:name="_Toc514941987"/>
      <w:bookmarkStart w:id="35" w:name="_Toc46138692"/>
      <w:r>
        <w:t>2.2.2.</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4"/>
      <w:bookmarkEnd w:id="35"/>
      <w:r>
        <w:rPr>
          <w:noProof/>
        </w:rPr>
        <w:t xml:space="preserve"> </w:t>
      </w:r>
    </w:p>
    <w:p>
      <w:pPr>
        <w:pBdr>
          <w:top w:val="single" w:sz="4" w:space="1" w:color="auto"/>
          <w:left w:val="single" w:sz="4" w:space="4" w:color="auto"/>
          <w:bottom w:val="single" w:sz="4" w:space="1" w:color="auto"/>
          <w:right w:val="single" w:sz="4" w:space="4" w:color="auto"/>
        </w:pBdr>
        <w:ind w:left="851"/>
        <w:rPr>
          <w:noProof/>
        </w:rPr>
      </w:pPr>
      <w:r>
        <w:rPr>
          <w:noProof/>
        </w:rPr>
        <w:t>Проверките ще се осъществяват от длъжностни лица на Комисията като част от редовните им задължения. Ползите от тях са повишено качество и съпоставимост на данните. Очакваното ниво на риск от грешки е ниско, тъй като събирането на данни във връзка със статистиката за селското стопанство се осъществява в добро сътрудничество с държавите членки от 50-те години на 20-и век насам. Приспособяването на техническите и другите системи би могло да доведе до леко повишаване на риска от грешка в краткосрочен план, но се очаква той да спадне до средна стойност в краткосрочен до средносрочен план.</w:t>
      </w:r>
    </w:p>
    <w:p>
      <w:pPr>
        <w:ind w:left="850"/>
        <w:rPr>
          <w:noProof/>
        </w:rPr>
      </w:pPr>
    </w:p>
    <w:p>
      <w:pPr>
        <w:pStyle w:val="ManualHeading2"/>
        <w:rPr>
          <w:noProof/>
        </w:rPr>
      </w:pPr>
      <w:bookmarkStart w:id="36" w:name="_Toc514941988"/>
      <w:bookmarkStart w:id="37" w:name="_Toc46138693"/>
      <w:r>
        <w:t>2.3.</w:t>
      </w:r>
      <w:r>
        <w:tab/>
      </w:r>
      <w:r>
        <w:rPr>
          <w:noProof/>
        </w:rPr>
        <w:t>Мерки за предотвратяване на измами и нередности</w:t>
      </w:r>
      <w:bookmarkEnd w:id="36"/>
      <w:bookmarkEnd w:id="37"/>
      <w:r>
        <w:rPr>
          <w:noProof/>
        </w:rPr>
        <w:t xml:space="preserve"> </w:t>
      </w:r>
    </w:p>
    <w:p>
      <w:pPr>
        <w:ind w:left="850"/>
        <w:rPr>
          <w:noProof/>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В допълнение към прилагането на всички механизми за регулаторен контрол, Евростат ще приложи стратегия за борба с измамите в съответствие с общите действия на Комисията в тази област. Така ще се гарантира, че подходът за управление на риска от измами е в състояние да идентифицира области, в които такъв риск съществува, както и подходящи ответни действия. При необходимост ще бъдат създадени групи за работа в мрежа и конкретни информационни инструменти, предназначени за анализиране на случаите на измами.</w:t>
      </w:r>
    </w:p>
    <w:p>
      <w:pPr>
        <w:pBdr>
          <w:top w:val="single" w:sz="4" w:space="1" w:color="auto"/>
          <w:left w:val="single" w:sz="4" w:space="4" w:color="auto"/>
          <w:bottom w:val="single" w:sz="4" w:space="1" w:color="auto"/>
          <w:right w:val="single" w:sz="4" w:space="4" w:color="auto"/>
        </w:pBdr>
        <w:ind w:left="850"/>
        <w:rPr>
          <w:noProof/>
        </w:rPr>
      </w:pPr>
      <w:r>
        <w:rPr>
          <w:noProof/>
        </w:rPr>
        <w:t>Евростат разполага със стратегия за контрол, придружаваща изпълнението на разходите. Включените в тази стратегия мерки и инструменти са изцяло приложими към предложения регламент. Намаляването на сложността, прилагането на рентабилни процедури за мониторинг и провеждането на основани на риска предварителни и последващи проверки ще имат за цел да намалят вероятността от извършване на измами и да допринесат за предотвратяването им. В стратегията за контрол са включени конкретни мерки за повишаване на информираността и подходящо обучение във връзка с предотвратяването на измами.</w:t>
      </w:r>
    </w:p>
    <w:p>
      <w:pPr>
        <w:ind w:left="850"/>
        <w:rPr>
          <w:noProof/>
        </w:rPr>
      </w:pPr>
    </w:p>
    <w:p>
      <w:pP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38" w:name="_Toc514941989"/>
      <w:bookmarkStart w:id="39" w:name="_Toc46138694"/>
      <w:r>
        <w:t>3.</w:t>
      </w:r>
      <w:r>
        <w:tab/>
      </w:r>
      <w:r>
        <w:rPr>
          <w:noProof/>
        </w:rPr>
        <w:t>ОЧАКВАНО ФИНАНСОВО ОТРАЖЕНИЕ НА ПРЕДЛОЖЕНИЕТО/ИНИЦИАТИВАТА</w:t>
      </w:r>
      <w:bookmarkEnd w:id="38"/>
      <w:bookmarkEnd w:id="39"/>
      <w:r>
        <w:rPr>
          <w:noProof/>
        </w:rPr>
        <w:t xml:space="preserve"> </w:t>
      </w:r>
    </w:p>
    <w:p>
      <w:pPr>
        <w:pStyle w:val="ManualHeading2"/>
        <w:rPr>
          <w:noProof/>
        </w:rPr>
      </w:pPr>
      <w:bookmarkStart w:id="40" w:name="_Toc514941990"/>
      <w:bookmarkStart w:id="41" w:name="_Toc46138695"/>
      <w:r>
        <w:t>3.1.</w:t>
      </w:r>
      <w:r>
        <w:tab/>
      </w:r>
      <w:r>
        <w:rPr>
          <w:noProof/>
        </w:rPr>
        <w:t>Функция от многогодишната финансова рамка и предложени нови разходни бюджетни редове</w:t>
      </w:r>
      <w:bookmarkEnd w:id="40"/>
      <w:bookmarkEnd w:id="41"/>
      <w:r>
        <w:rPr>
          <w:noProof/>
        </w:rPr>
        <w:t xml:space="preserve"> </w:t>
      </w:r>
    </w:p>
    <w:p>
      <w:pPr>
        <w:rPr>
          <w:noProof/>
        </w:rPr>
      </w:pPr>
      <w:r>
        <w:rPr>
          <w:noProof/>
        </w:rPr>
        <w:t xml:space="preserve">Финансовото отражение на предложението не е известно към момента на приемане на Регламента. Финансовият принос на Съюза не е приложим за събираните редовно статистически данни, а само за събирането на специални данни по член 6. Първото събиране на специални данни може да се извърши най-рано 2 години след първата референтна година, ако е установена добре обоснована неочаквана потребност от данни. Поради това на този етап не е възможно да се установи финансовото въздействие. </w:t>
      </w:r>
    </w:p>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365"/>
        <w:gridCol w:w="1044"/>
        <w:gridCol w:w="1134"/>
        <w:gridCol w:w="851"/>
        <w:gridCol w:w="1411"/>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675" w:type="dxa"/>
            <w:vAlign w:val="center"/>
          </w:tcPr>
          <w:p>
            <w:pPr>
              <w:spacing w:before="60" w:after="60"/>
              <w:jc w:val="center"/>
              <w:rPr>
                <w:noProof/>
              </w:rPr>
            </w:pPr>
            <w:r>
              <w:rPr>
                <w:noProof/>
                <w:sz w:val="20"/>
              </w:rPr>
              <w:t>Бюджетен ред</w:t>
            </w:r>
          </w:p>
        </w:tc>
        <w:tc>
          <w:tcPr>
            <w:tcW w:w="1365" w:type="dxa"/>
            <w:vAlign w:val="center"/>
          </w:tcPr>
          <w:p>
            <w:pPr>
              <w:spacing w:before="60" w:after="60"/>
              <w:jc w:val="center"/>
              <w:rPr>
                <w:noProof/>
              </w:rPr>
            </w:pPr>
            <w:r>
              <w:rPr>
                <w:noProof/>
              </w:rPr>
              <w:t>Вид разход</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675" w:type="dxa"/>
            <w:vAlign w:val="center"/>
          </w:tcPr>
          <w:p>
            <w:pPr>
              <w:rPr>
                <w:noProof/>
              </w:rPr>
            </w:pPr>
            <w:r>
              <w:rPr>
                <w:noProof/>
                <w:sz w:val="20"/>
              </w:rPr>
              <w:t xml:space="preserve">Номер </w:t>
            </w:r>
            <w:r>
              <w:rPr>
                <w:noProof/>
              </w:rPr>
              <w:br/>
            </w:r>
            <w:r>
              <w:rPr>
                <w:noProof/>
                <w:color w:val="0000FF"/>
                <w:sz w:val="22"/>
              </w:rPr>
              <w:t>[…]</w:t>
            </w:r>
            <w:r>
              <w:rPr>
                <w:noProof/>
                <w:sz w:val="20"/>
              </w:rPr>
              <w:t>[Функция………………………...…………]</w:t>
            </w:r>
          </w:p>
        </w:tc>
        <w:tc>
          <w:tcPr>
            <w:tcW w:w="1365" w:type="dxa"/>
            <w:vAlign w:val="center"/>
          </w:tcPr>
          <w:p>
            <w:pPr>
              <w:jc w:val="center"/>
              <w:rPr>
                <w:noProof/>
              </w:rPr>
            </w:pPr>
            <w:r>
              <w:rPr>
                <w:noProof/>
              </w:rPr>
              <w:t>Многогод./едногод</w:t>
            </w:r>
            <w:r>
              <w:rPr>
                <w:rStyle w:val="FootnoteReference"/>
                <w:noProof/>
              </w:rPr>
              <w:footnoteReference w:id="37"/>
            </w:r>
            <w:r>
              <w:rPr>
                <w:noProof/>
              </w:rPr>
              <w:t>.</w:t>
            </w:r>
          </w:p>
        </w:tc>
        <w:tc>
          <w:tcPr>
            <w:tcW w:w="1044" w:type="dxa"/>
            <w:vAlign w:val="center"/>
          </w:tcPr>
          <w:p>
            <w:pPr>
              <w:jc w:val="center"/>
              <w:rPr>
                <w:noProof/>
              </w:rPr>
            </w:pPr>
            <w:r>
              <w:rPr>
                <w:noProof/>
              </w:rPr>
              <w:t>от държави от ЕАСТ</w:t>
            </w:r>
            <w:r>
              <w:rPr>
                <w:rStyle w:val="FootnoteReference"/>
                <w:noProof/>
              </w:rPr>
              <w:footnoteReference w:id="38"/>
            </w:r>
          </w:p>
          <w:p>
            <w:pPr>
              <w:spacing w:before="0" w:after="0"/>
              <w:jc w:val="center"/>
              <w:rPr>
                <w:b/>
                <w:noProof/>
                <w:sz w:val="18"/>
              </w:rPr>
            </w:pPr>
          </w:p>
        </w:tc>
        <w:tc>
          <w:tcPr>
            <w:tcW w:w="1134" w:type="dxa"/>
            <w:vAlign w:val="center"/>
          </w:tcPr>
          <w:p>
            <w:pPr>
              <w:jc w:val="center"/>
              <w:rPr>
                <w:noProof/>
              </w:rPr>
            </w:pPr>
            <w:r>
              <w:rPr>
                <w:rStyle w:val="FootnoteReference"/>
                <w:noProof/>
              </w:rPr>
              <w:footnoteReference w:id="39"/>
            </w:r>
            <w:r>
              <w:rPr>
                <w:noProof/>
              </w:rPr>
              <w:t>от държави кандидатки</w:t>
            </w:r>
          </w:p>
          <w:p>
            <w:pPr>
              <w:spacing w:before="0" w:after="0"/>
              <w:jc w:val="center"/>
              <w:rPr>
                <w:noProof/>
                <w:sz w:val="18"/>
              </w:rPr>
            </w:pPr>
          </w:p>
        </w:tc>
        <w:tc>
          <w:tcPr>
            <w:tcW w:w="851" w:type="dxa"/>
            <w:vAlign w:val="center"/>
          </w:tcPr>
          <w:p>
            <w:pPr>
              <w:jc w:val="center"/>
              <w:rPr>
                <w:noProof/>
                <w:sz w:val="18"/>
              </w:rPr>
            </w:pPr>
            <w:r>
              <w:rPr>
                <w:noProof/>
                <w:sz w:val="18"/>
              </w:rPr>
              <w:t>от трети държави</w:t>
            </w:r>
          </w:p>
        </w:tc>
        <w:tc>
          <w:tcPr>
            <w:tcW w:w="1411"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675" w:type="dxa"/>
            <w:vAlign w:val="center"/>
          </w:tcPr>
          <w:p>
            <w:pPr>
              <w:spacing w:after="60"/>
              <w:rPr>
                <w:noProof/>
              </w:rPr>
            </w:pPr>
          </w:p>
        </w:tc>
        <w:tc>
          <w:tcPr>
            <w:tcW w:w="1365" w:type="dxa"/>
            <w:vAlign w:val="center"/>
          </w:tcPr>
          <w:p>
            <w:pPr>
              <w:jc w:val="center"/>
              <w:rPr>
                <w:noProof/>
                <w:color w:val="0000FF"/>
              </w:rPr>
            </w:pPr>
            <w:r>
              <w:rPr>
                <w:noProof/>
                <w:sz w:val="22"/>
              </w:rPr>
              <w:t>Многогод./едногод.</w:t>
            </w:r>
          </w:p>
        </w:tc>
        <w:tc>
          <w:tcPr>
            <w:tcW w:w="1044" w:type="dxa"/>
            <w:vAlign w:val="center"/>
          </w:tcPr>
          <w:p>
            <w:pPr>
              <w:jc w:val="center"/>
              <w:rPr>
                <w:noProof/>
              </w:rPr>
            </w:pPr>
            <w:r>
              <w:rPr>
                <w:noProof/>
                <w:sz w:val="22"/>
              </w:rPr>
              <w:t>ДА/НЕ</w:t>
            </w:r>
          </w:p>
        </w:tc>
        <w:tc>
          <w:tcPr>
            <w:tcW w:w="1134" w:type="dxa"/>
            <w:vAlign w:val="center"/>
          </w:tcPr>
          <w:p>
            <w:pPr>
              <w:jc w:val="center"/>
              <w:rPr>
                <w:noProof/>
              </w:rPr>
            </w:pPr>
            <w:r>
              <w:rPr>
                <w:noProof/>
                <w:sz w:val="22"/>
              </w:rPr>
              <w:t>ДА/НЕ</w:t>
            </w:r>
          </w:p>
        </w:tc>
        <w:tc>
          <w:tcPr>
            <w:tcW w:w="851" w:type="dxa"/>
            <w:vAlign w:val="center"/>
          </w:tcPr>
          <w:p>
            <w:pPr>
              <w:jc w:val="center"/>
              <w:rPr>
                <w:noProof/>
              </w:rPr>
            </w:pPr>
            <w:r>
              <w:rPr>
                <w:noProof/>
                <w:sz w:val="22"/>
              </w:rPr>
              <w:t>ДА/НЕ</w:t>
            </w:r>
          </w:p>
        </w:tc>
        <w:tc>
          <w:tcPr>
            <w:tcW w:w="1411"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bookmarkStart w:id="42" w:name="_Toc514941991"/>
      <w:bookmarkStart w:id="43" w:name="_Toc46138696"/>
      <w:r>
        <w:t>3.2.</w:t>
      </w:r>
      <w:r>
        <w:tab/>
      </w:r>
      <w:r>
        <w:rPr>
          <w:noProof/>
        </w:rPr>
        <w:t>Очаквано отражение върху разходите</w:t>
      </w:r>
      <w:bookmarkEnd w:id="42"/>
      <w:bookmarkEnd w:id="43"/>
      <w:r>
        <w:rPr>
          <w:noProof/>
        </w:rPr>
        <w:t xml:space="preserve"> </w:t>
      </w:r>
    </w:p>
    <w:p>
      <w:pPr>
        <w:pStyle w:val="ManualHeading3"/>
        <w:rPr>
          <w:noProof/>
          <w:u w:val="single"/>
        </w:rPr>
      </w:pPr>
      <w:bookmarkStart w:id="44" w:name="_Toc514941992"/>
      <w:bookmarkStart w:id="45" w:name="_Toc46138697"/>
      <w:r>
        <w:t>3.2.1.</w:t>
      </w:r>
      <w:r>
        <w:tab/>
      </w:r>
      <w:r>
        <w:rPr>
          <w:noProof/>
        </w:rPr>
        <w:t>Обобщение на очакваното отражение върху разходите</w:t>
      </w:r>
      <w:bookmarkEnd w:id="44"/>
      <w:bookmarkEnd w:id="45"/>
      <w:r>
        <w:rPr>
          <w:noProof/>
        </w:rPr>
        <w:t xml:space="preserve">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 рамка</w:t>
            </w:r>
            <w:r>
              <w:rPr>
                <w:b/>
                <w:noProof/>
                <w:sz w:val="22"/>
              </w:rPr>
              <w:t xml:space="preserve">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[…][Функция …...…]</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319"/>
          <w:jc w:val="center"/>
        </w:trPr>
        <w:tc>
          <w:tcPr>
            <w:tcW w:w="4103" w:type="dxa"/>
            <w:vAlign w:val="center"/>
          </w:tcPr>
          <w:p>
            <w:pPr>
              <w:spacing w:before="20" w:after="20"/>
              <w:jc w:val="left"/>
              <w:rPr>
                <w:noProof/>
              </w:rPr>
            </w:pPr>
            <w:r>
              <w:rPr>
                <w:noProof/>
              </w:rPr>
              <w:t>Бюджетни кредити за административни разходи, финансирани от пакета за програмата</w:t>
            </w:r>
            <w:r>
              <w:rPr>
                <w:rStyle w:val="FootnoteReference"/>
                <w:noProof/>
              </w:rPr>
              <w:footnoteReference w:id="40"/>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 рамка</w:t>
            </w:r>
            <w:r>
              <w:rPr>
                <w:b/>
                <w:noProof/>
                <w:sz w:val="22"/>
              </w:rPr>
              <w:t xml:space="preserve">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3" w:history="1">
        <w:r>
          <w:rPr>
            <w:noProof/>
            <w:color w:val="0000FF"/>
            <w:u w:val="single"/>
          </w:rPr>
          <w:t>приложението към финансовата обосновка</w:t>
        </w:r>
      </w:hyperlink>
      <w:r>
        <w:rPr>
          <w:noProof/>
        </w:rPr>
        <w:t>, което се качва в DECIDE за провеждането на вътрешни консултации между службите.</w:t>
      </w:r>
    </w:p>
    <w:p>
      <w:pPr>
        <w:jc w:val="left"/>
        <w:rPr>
          <w:noProof/>
          <w:color w:val="0000FF"/>
        </w:rPr>
      </w:pPr>
      <w:r>
        <w:rPr>
          <w:noProof/>
        </w:rPr>
        <w:br w:type="page"/>
      </w:r>
    </w:p>
    <w:p>
      <w:pPr>
        <w:jc w:val="left"/>
        <w:rPr>
          <w:noProof/>
        </w:rPr>
      </w:pPr>
    </w:p>
    <w:p>
      <w:pPr>
        <w:jc w:val="right"/>
        <w:rPr>
          <w:noProof/>
          <w:sz w:val="20"/>
        </w:rPr>
      </w:pPr>
      <w:r>
        <w:rPr>
          <w:noProof/>
          <w:sz w:val="20"/>
        </w:rPr>
        <w:t>млн. евро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 xml:space="preserve">0,300 </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 xml:space="preserve">0,300 </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87" w:type="dxa"/>
            <w:shd w:val="clear" w:color="auto" w:fill="A6A6A6"/>
          </w:tcPr>
          <w:p>
            <w:pPr>
              <w:spacing w:before="20" w:after="20"/>
              <w:jc w:val="right"/>
              <w:rPr>
                <w:noProof/>
                <w:sz w:val="20"/>
              </w:rPr>
            </w:pPr>
            <w:r>
              <w:rPr>
                <w:noProof/>
                <w:sz w:val="20"/>
              </w:rPr>
              <w:t>2,100 p.a.</w:t>
            </w:r>
          </w:p>
        </w:tc>
        <w:tc>
          <w:tcPr>
            <w:tcW w:w="1291" w:type="dxa"/>
            <w:vAlign w:val="center"/>
          </w:tcPr>
          <w:p>
            <w:pPr>
              <w:spacing w:before="20" w:after="20"/>
              <w:jc w:val="right"/>
              <w:rPr>
                <w:b/>
                <w:noProof/>
                <w:sz w:val="20"/>
              </w:rPr>
            </w:pPr>
            <w:r>
              <w:rPr>
                <w:b/>
                <w:noProof/>
                <w:sz w:val="20"/>
              </w:rPr>
              <w:t>9,300</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87" w:type="dxa"/>
            <w:shd w:val="clear" w:color="auto" w:fill="A6A6A6"/>
          </w:tcPr>
          <w:p>
            <w:pPr>
              <w:spacing w:before="20" w:after="20"/>
              <w:jc w:val="right"/>
              <w:rPr>
                <w:noProof/>
                <w:sz w:val="20"/>
              </w:rPr>
            </w:pPr>
            <w:r>
              <w:rPr>
                <w:noProof/>
                <w:sz w:val="20"/>
              </w:rPr>
              <w:t>0,030 p.a.</w:t>
            </w:r>
          </w:p>
        </w:tc>
        <w:tc>
          <w:tcPr>
            <w:tcW w:w="1291" w:type="dxa"/>
            <w:vAlign w:val="center"/>
          </w:tcPr>
          <w:p>
            <w:pPr>
              <w:spacing w:before="20" w:after="20"/>
              <w:jc w:val="right"/>
              <w:rPr>
                <w:b/>
                <w:noProof/>
                <w:sz w:val="20"/>
              </w:rPr>
            </w:pPr>
            <w:r>
              <w:rPr>
                <w:b/>
                <w:noProof/>
                <w:sz w:val="20"/>
              </w:rPr>
              <w:t>0,210</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9,510</w:t>
            </w:r>
          </w:p>
        </w:tc>
      </w:tr>
    </w:tbl>
    <w:p>
      <w:pPr>
        <w:jc w:val="right"/>
        <w:rPr>
          <w:noProof/>
          <w:sz w:val="20"/>
        </w:rPr>
      </w:pPr>
      <w:r>
        <w:rPr>
          <w:noProof/>
          <w:sz w:val="20"/>
        </w:rPr>
        <w:t>млн. евро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rPr>
              <w:t>ОБЩО бюджетни кредити за всички ФУНКЦИИ</w:t>
            </w:r>
            <w:r>
              <w:rPr>
                <w:noProof/>
              </w:rPr>
              <w:t xml:space="preserve"> 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77" w:type="dxa"/>
            <w:shd w:val="clear" w:color="auto" w:fill="A6A6A6"/>
          </w:tcPr>
          <w:p>
            <w:pPr>
              <w:spacing w:before="60" w:after="60"/>
              <w:jc w:val="right"/>
              <w:rPr>
                <w:noProof/>
                <w:sz w:val="20"/>
              </w:rPr>
            </w:pPr>
            <w:r>
              <w:rPr>
                <w:noProof/>
                <w:sz w:val="20"/>
              </w:rPr>
              <w:t>2,130 p.a.</w:t>
            </w:r>
          </w:p>
        </w:tc>
        <w:tc>
          <w:tcPr>
            <w:tcW w:w="1292" w:type="dxa"/>
            <w:vAlign w:val="center"/>
          </w:tcPr>
          <w:p>
            <w:pPr>
              <w:spacing w:before="60" w:after="60"/>
              <w:jc w:val="right"/>
              <w:rPr>
                <w:b/>
                <w:noProof/>
                <w:sz w:val="20"/>
              </w:rPr>
            </w:pPr>
            <w:r>
              <w:rPr>
                <w:b/>
                <w:noProof/>
                <w:sz w:val="20"/>
              </w:rPr>
              <w:t>9,510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szCs w:val="24"/>
        </w:rPr>
      </w:pPr>
      <w:bookmarkStart w:id="46" w:name="_Toc514941993"/>
      <w:bookmarkStart w:id="47" w:name="_Toc46138698"/>
      <w:r>
        <w:t>3.2.2.</w:t>
      </w:r>
      <w:r>
        <w:tab/>
      </w:r>
      <w:r>
        <w:rPr>
          <w:noProof/>
        </w:rPr>
        <w:t>Резюме на очаквано отражение върху бюджетните кредити за административни разходи</w:t>
      </w:r>
      <w:bookmarkEnd w:id="46"/>
      <w:bookmarkEnd w:id="47"/>
    </w:p>
    <w:p>
      <w:pPr>
        <w:tabs>
          <w:tab w:val="num" w:pos="1134"/>
        </w:tabs>
        <w:ind w:left="1134"/>
        <w:rPr>
          <w:rFonts w:eastAsia="Times New Roman"/>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tabs>
          <w:tab w:val="num" w:pos="1134"/>
        </w:tabs>
        <w:ind w:left="1134"/>
        <w:rPr>
          <w:rFonts w:eastAsia="Times New Roman"/>
          <w:noProof/>
        </w:rPr>
      </w:pPr>
      <w:r>
        <w:rPr>
          <w:noProof/>
          <w:bdr w:val="single" w:sz="4" w:space="0" w:color="auto"/>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60" w:after="60" w:line="200" w:lineRule="exact"/>
              <w:jc w:val="right"/>
              <w:rPr>
                <w:b/>
                <w:noProof/>
                <w:sz w:val="20"/>
                <w:szCs w:val="20"/>
              </w:rPr>
            </w:pPr>
            <w:r>
              <w:rPr>
                <w:b/>
                <w:noProof/>
                <w:sz w:val="20"/>
                <w:szCs w:val="20"/>
              </w:rPr>
              <w:t>9,300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60" w:after="60" w:line="200" w:lineRule="exact"/>
              <w:jc w:val="right"/>
              <w:rPr>
                <w:b/>
                <w:noProof/>
                <w:sz w:val="20"/>
                <w:szCs w:val="20"/>
              </w:rPr>
            </w:pPr>
            <w:r>
              <w:rPr>
                <w:b/>
                <w:noProof/>
                <w:sz w:val="20"/>
                <w:szCs w:val="20"/>
              </w:rPr>
              <w:t>0,210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line="200" w:lineRule="exact"/>
              <w:jc w:val="right"/>
              <w:rPr>
                <w:b/>
                <w:noProof/>
                <w:sz w:val="20"/>
                <w:szCs w:val="20"/>
              </w:rPr>
            </w:pPr>
            <w:r>
              <w:rPr>
                <w:b/>
                <w:noProof/>
                <w:sz w:val="20"/>
                <w:szCs w:val="20"/>
              </w:rPr>
              <w:t>9,510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rPr>
              <w:t>Извън ФУНКЦИЯ 7</w:t>
            </w:r>
            <w:r>
              <w:rPr>
                <w:rStyle w:val="FootnoteReference"/>
                <w:noProof/>
              </w:rPr>
              <w:footnoteReference w:id="41"/>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 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16"/>
              </w:rPr>
              <w:t>9,510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noProof/>
          <w:szCs w:val="24"/>
        </w:rPr>
      </w:pPr>
      <w:r>
        <w:t>3.2.2.1.</w:t>
      </w:r>
      <w:r>
        <w:tab/>
      </w:r>
      <w:r>
        <w:rPr>
          <w:noProof/>
        </w:rPr>
        <w:t>Очаквани нужди от човешки ресурси</w:t>
      </w:r>
    </w:p>
    <w:p>
      <w:pPr>
        <w:tabs>
          <w:tab w:val="num" w:pos="1134"/>
        </w:tabs>
        <w:ind w:left="1134"/>
        <w:rPr>
          <w:rFonts w:eastAsia="Times New Roman"/>
          <w:noProof/>
        </w:rPr>
      </w:pPr>
      <w:r>
        <w:rPr>
          <w:noProof/>
        </w:rPr>
        <w:sym w:font="Wingdings" w:char="F0A8"/>
      </w:r>
      <w:r>
        <w:rPr>
          <w:noProof/>
        </w:rPr>
        <w:t xml:space="preserve"> Предложението/инициативата не налага използване на човешки ресурси </w:t>
      </w:r>
    </w:p>
    <w:p>
      <w:pPr>
        <w:tabs>
          <w:tab w:val="num" w:pos="1134"/>
        </w:tabs>
        <w:ind w:left="1134"/>
        <w:rPr>
          <w:rFonts w:eastAsia="Times New Roman"/>
          <w:noProof/>
        </w:rPr>
      </w:pPr>
      <w:r>
        <w:rPr>
          <w:noProof/>
          <w:bdr w:val="single" w:sz="4" w:space="0" w:color="auto"/>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14</w:t>
            </w:r>
          </w:p>
        </w:tc>
      </w:tr>
      <w:tr>
        <w:trPr>
          <w:trHeight w:val="289"/>
        </w:trPr>
        <w:tc>
          <w:tcPr>
            <w:tcW w:w="1472" w:type="pct"/>
            <w:gridSpan w:val="2"/>
          </w:tcPr>
          <w:p>
            <w:pPr>
              <w:spacing w:beforeLines="20" w:before="48" w:afterLines="20" w:after="48"/>
              <w:ind w:left="134"/>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rPr>
                <w:b/>
                <w:noProof/>
                <w:sz w:val="16"/>
                <w:szCs w:val="16"/>
              </w:rPr>
            </w:pPr>
            <w:r>
              <w:rPr>
                <w:b/>
                <w:noProof/>
                <w:sz w:val="16"/>
              </w:rPr>
              <w:t>Външен персонал (в еквивалент на пълно работно време: ЕПРВ) — ДНП, МП, КНЕ, ПНА и МЕД</w:t>
            </w:r>
            <w:r>
              <w:rPr>
                <w:noProof/>
                <w:sz w:val="16"/>
              </w:rPr>
              <w:t xml:space="preserve"> </w:t>
            </w:r>
            <w:r>
              <w:rPr>
                <w:rStyle w:val="FootnoteReference"/>
                <w:noProof/>
              </w:rPr>
              <w:footnoteReference w:id="42"/>
            </w:r>
          </w:p>
          <w:p>
            <w:pPr>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rPr>
                <w:noProof/>
                <w:sz w:val="16"/>
                <w:szCs w:val="16"/>
              </w:rPr>
            </w:pPr>
          </w:p>
        </w:tc>
        <w:tc>
          <w:tcPr>
            <w:tcW w:w="737" w:type="pct"/>
            <w:vAlign w:val="center"/>
          </w:tcPr>
          <w:p>
            <w:pPr>
              <w:spacing w:beforeLines="20" w:before="48" w:afterLines="20" w:after="48"/>
              <w:ind w:left="136"/>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rPr>
                <w:b/>
                <w:noProof/>
                <w:sz w:val="16"/>
                <w:szCs w:val="16"/>
              </w:rPr>
            </w:pPr>
            <w:r>
              <w:rPr>
                <w:noProof/>
              </w:rPr>
              <w:t>Финансирани от финансовия пакет на програмата</w:t>
            </w:r>
            <w:r>
              <w:rPr>
                <w:rStyle w:val="FootnoteReference"/>
                <w:noProof/>
              </w:rPr>
              <w:footnoteReference w:id="43"/>
            </w:r>
          </w:p>
        </w:tc>
        <w:tc>
          <w:tcPr>
            <w:tcW w:w="737" w:type="pct"/>
            <w:shd w:val="clear" w:color="auto" w:fill="auto"/>
            <w:vAlign w:val="center"/>
          </w:tcPr>
          <w:p>
            <w:pPr>
              <w:spacing w:beforeLines="20" w:before="48" w:afterLines="20" w:after="48"/>
              <w:ind w:left="136"/>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rPr>
                <w:b/>
                <w:noProof/>
                <w:sz w:val="16"/>
                <w:szCs w:val="16"/>
              </w:rPr>
            </w:pPr>
          </w:p>
        </w:tc>
        <w:tc>
          <w:tcPr>
            <w:tcW w:w="737" w:type="pct"/>
            <w:shd w:val="clear" w:color="auto" w:fill="auto"/>
            <w:vAlign w:val="center"/>
          </w:tcPr>
          <w:p>
            <w:pPr>
              <w:spacing w:beforeLines="20" w:before="48" w:afterLines="20" w:after="48"/>
              <w:ind w:left="136"/>
              <w:rPr>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r>
    </w:tbl>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spacing w:after="0"/>
              <w:rPr>
                <w:noProof/>
                <w:sz w:val="20"/>
              </w:rPr>
            </w:pPr>
            <w:r>
              <w:rPr>
                <w:noProof/>
                <w:sz w:val="20"/>
              </w:rPr>
              <w:t>- валидиране на данни</w:t>
            </w:r>
          </w:p>
          <w:p>
            <w:pPr>
              <w:spacing w:after="0"/>
              <w:rPr>
                <w:noProof/>
                <w:sz w:val="20"/>
              </w:rPr>
            </w:pPr>
            <w:r>
              <w:rPr>
                <w:noProof/>
                <w:sz w:val="20"/>
              </w:rPr>
              <w:t>- подкрепа и методологическа работа</w:t>
            </w:r>
          </w:p>
          <w:p>
            <w:pPr>
              <w:spacing w:after="0"/>
              <w:rPr>
                <w:noProof/>
                <w:sz w:val="20"/>
              </w:rPr>
            </w:pPr>
            <w:r>
              <w:rPr>
                <w:noProof/>
                <w:sz w:val="20"/>
              </w:rPr>
              <w:t>- анализ на доклади</w:t>
            </w:r>
          </w:p>
          <w:p>
            <w:pPr>
              <w:spacing w:after="0"/>
              <w:rPr>
                <w:noProof/>
                <w:sz w:val="20"/>
              </w:rPr>
            </w:pPr>
            <w:r>
              <w:rPr>
                <w:noProof/>
                <w:sz w:val="20"/>
              </w:rPr>
              <w:t>- разпространение на данни</w:t>
            </w:r>
          </w:p>
          <w:p>
            <w:pPr>
              <w:spacing w:after="0"/>
              <w:rPr>
                <w:noProof/>
                <w:sz w:val="20"/>
              </w:rPr>
            </w:pPr>
            <w:r>
              <w:rPr>
                <w:noProof/>
                <w:sz w:val="20"/>
              </w:rPr>
              <w:t>- управление на безвъзмездни средства, свързани с инициативата</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rPr>
          <w:noProof/>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3"/>
        <w:rPr>
          <w:noProof/>
          <w:szCs w:val="24"/>
        </w:rPr>
      </w:pPr>
      <w:bookmarkStart w:id="48" w:name="_Toc514941994"/>
      <w:bookmarkStart w:id="49" w:name="_Toc46138699"/>
      <w:r>
        <w:t>3.2.3.</w:t>
      </w:r>
      <w:r>
        <w:tab/>
      </w:r>
      <w:r>
        <w:rPr>
          <w:noProof/>
        </w:rPr>
        <w:t>Финансов принос от трети страни</w:t>
      </w:r>
      <w:bookmarkEnd w:id="48"/>
      <w:bookmarkEnd w:id="49"/>
      <w:r>
        <w:rPr>
          <w:noProof/>
        </w:rPr>
        <w:t xml:space="preserve"> </w:t>
      </w:r>
    </w:p>
    <w:p>
      <w:pPr>
        <w:spacing w:before="0" w:after="240"/>
        <w:ind w:left="1202"/>
        <w:rPr>
          <w:noProof/>
          <w:szCs w:val="20"/>
        </w:rPr>
      </w:pPr>
      <w:r>
        <w:rPr>
          <w:noProof/>
        </w:rPr>
        <w:t>Предложението/инициативата:</w:t>
      </w:r>
    </w:p>
    <w:p>
      <w:pPr>
        <w:spacing w:before="0" w:after="240"/>
        <w:ind w:left="1202"/>
        <w:rPr>
          <w:rFonts w:eastAsia="Times New Roman"/>
          <w:noProof/>
          <w:szCs w:val="20"/>
        </w:rPr>
      </w:pPr>
      <w:r>
        <w:rPr>
          <w:noProof/>
          <w:szCs w:val="20"/>
          <w:bdr w:val="single" w:sz="4" w:space="0" w:color="auto"/>
        </w:rPr>
        <w:t>x</w:t>
      </w:r>
      <w:r>
        <w:rPr>
          <w:noProof/>
        </w:rPr>
        <w:tab/>
        <w:t>не предвижда съфинансиране от трети страни</w:t>
      </w:r>
    </w:p>
    <w:p>
      <w:pPr>
        <w:spacing w:before="0" w:after="240"/>
        <w:ind w:left="1202"/>
        <w:rPr>
          <w:rFonts w:eastAsia="Times New Roman"/>
          <w:noProof/>
          <w:szCs w:val="20"/>
        </w:rPr>
      </w:pPr>
      <w:r>
        <w:rPr>
          <w:noProof/>
        </w:rPr>
        <w:sym w:font="Wingdings" w:char="F0A8"/>
      </w:r>
      <w:r>
        <w:rPr>
          <w:noProof/>
        </w:rPr>
        <w:t xml:space="preserve"> предвижда следното съфинансиране от трети страни, като оценките са дадени по-долу:</w:t>
      </w:r>
    </w:p>
    <w:p>
      <w:pPr>
        <w:spacing w:before="0" w:after="240"/>
        <w:ind w:left="1202"/>
        <w:rPr>
          <w:noProof/>
          <w:szCs w:val="20"/>
        </w:rPr>
      </w:pPr>
      <w:r>
        <w:rPr>
          <w:noProof/>
        </w:rPr>
        <w:t>Бюджетни кредити в млн. евро (до третия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0" w:name="_Toc514941995"/>
      <w:bookmarkStart w:id="51" w:name="_Toc46138700"/>
      <w:r>
        <w:t>3.3.</w:t>
      </w:r>
      <w:r>
        <w:tab/>
      </w:r>
      <w:r>
        <w:rPr>
          <w:noProof/>
        </w:rPr>
        <w:t>Очаквано отражение върху приходите</w:t>
      </w:r>
      <w:bookmarkEnd w:id="50"/>
      <w:bookmarkEnd w:id="51"/>
      <w:r>
        <w:rPr>
          <w:noProof/>
        </w:rPr>
        <w:t xml:space="preserve"> </w:t>
      </w:r>
    </w:p>
    <w:p>
      <w:pPr>
        <w:tabs>
          <w:tab w:val="num" w:pos="1134"/>
        </w:tabs>
        <w:ind w:left="1134"/>
        <w:rPr>
          <w:rFonts w:eastAsia="Times New Roman"/>
          <w:noProof/>
        </w:rPr>
      </w:pPr>
      <w:r>
        <w:rPr>
          <w:noProof/>
          <w:bdr w:val="single" w:sz="4" w:space="0" w:color="auto"/>
        </w:rPr>
        <w:t>x</w:t>
      </w:r>
      <w:r>
        <w:rPr>
          <w:noProof/>
        </w:rPr>
        <w:tab/>
        <w:t>Предложението/инициативата няма финансово отражение върху приходите.</w:t>
      </w:r>
    </w:p>
    <w:p>
      <w:pPr>
        <w:tabs>
          <w:tab w:val="num" w:pos="1134"/>
        </w:tabs>
        <w:ind w:left="1134"/>
        <w:rPr>
          <w:rFonts w:eastAsia="Times New Roman"/>
          <w:noProof/>
        </w:rPr>
      </w:pPr>
      <w:r>
        <w:rPr>
          <w:noProof/>
        </w:rPr>
        <w:sym w:font="Wingdings" w:char="F0A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върху другите приходи </w:t>
      </w:r>
    </w:p>
    <w:p>
      <w:pPr>
        <w:rPr>
          <w:noProof/>
        </w:rPr>
      </w:pPr>
      <w:r>
        <w:rPr>
          <w:noProof/>
        </w:rPr>
        <w:t>Моля, посочете дали приходите са записани по разходни бюджетни редове</w:t>
      </w:r>
      <w:r>
        <w:rPr>
          <w:noProof/>
        </w:rPr>
        <w:sym w:font="Wingdings" w:char="F0A8"/>
      </w:r>
      <w:r>
        <w:rPr>
          <w:noProof/>
        </w:rPr>
        <w:tab/>
      </w:r>
    </w:p>
    <w:p>
      <w:pPr>
        <w:jc w:val="right"/>
        <w:rPr>
          <w:i/>
          <w:noProof/>
          <w:sz w:val="20"/>
        </w:rPr>
      </w:pPr>
      <w:r>
        <w:rPr>
          <w:noProof/>
        </w:rPr>
        <w:t>млн. евро (до третия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rPr>
              <w:t>Отражение на предложението/инициативата</w:t>
            </w:r>
            <w:r>
              <w:rPr>
                <w:rStyle w:val="FootnoteReference"/>
                <w:noProof/>
              </w:rPr>
              <w:footnoteReference w:id="4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rPr>
        <w:t>Не е приложимо</w:t>
      </w:r>
    </w:p>
    <w:p>
      <w:pPr>
        <w:ind w:left="850"/>
        <w:rPr>
          <w:noProof/>
          <w:sz w:val="16"/>
          <w:szCs w:val="16"/>
        </w:rPr>
      </w:pPr>
      <w:r>
        <w:rPr>
          <w:noProof/>
          <w:sz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Не е приложимо</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SWD(2017)96 — Оценка на работния документ на службите на Комисията, придружаващ документа „Стратегия за статистиката за селското стопанство за 2020 г. и след това“ и последващи евентуални законодателни варианти (на разположение само на английски език).</w:t>
      </w:r>
    </w:p>
  </w:footnote>
  <w:footnote w:id="2">
    <w:p>
      <w:pPr>
        <w:pStyle w:val="FootnoteText"/>
      </w:pPr>
      <w:r>
        <w:rPr>
          <w:rStyle w:val="FootnoteReference"/>
        </w:rPr>
        <w:footnoteRef/>
      </w:r>
      <w:r>
        <w:tab/>
      </w:r>
      <w:hyperlink r:id="rId1" w:history="1">
        <w:r>
          <w:rPr>
            <w:rStyle w:val="Hyperlink"/>
          </w:rPr>
          <w:t>https://ec.europa.eu/eurostat/web/agriculture/methodology/strategy-beyond-2020</w:t>
        </w:r>
      </w:hyperlink>
      <w:r>
        <w:t xml:space="preserve"> (на разположение само на английски език).</w:t>
      </w:r>
    </w:p>
  </w:footnote>
  <w:footnote w:id="3">
    <w:p>
      <w:pPr>
        <w:pStyle w:val="FootnoteText"/>
      </w:pPr>
      <w:r>
        <w:rPr>
          <w:rStyle w:val="FootnoteReference"/>
        </w:rPr>
        <w:footnoteRef/>
      </w:r>
      <w:r>
        <w:tab/>
        <w:t>Регламент (ЕС) 2018/1091 на Европейския парламент и на Съвета от 18 юли 2018 г. относно интегрирана статистика за земеделските стопанства и за отмяна на регламенти (ЕО) № 1166/2008 и (ЕС) № 1337/2011 (ОВ L 200, 7.8.2018 г., стр. 1).</w:t>
      </w:r>
    </w:p>
  </w:footnote>
  <w:footnote w:id="4">
    <w:p>
      <w:pPr>
        <w:pStyle w:val="FootnoteText"/>
      </w:pPr>
      <w:r>
        <w:rPr>
          <w:rStyle w:val="FootnoteReference"/>
        </w:rPr>
        <w:footnoteRef/>
      </w:r>
      <w:r>
        <w:tab/>
        <w:t>Регламент (ЕО) № 138/2004 на Европейския парламент и на Съвета от 5 декември 2003 г. относно икономическите сметки за селското стопанство (ИССС) в Общността (ОВ L 33, 5.2.2004 г., стр. 1).</w:t>
      </w:r>
    </w:p>
  </w:footnote>
  <w:footnote w:id="5">
    <w:p>
      <w:pPr>
        <w:pStyle w:val="FootnoteText"/>
      </w:pPr>
      <w:r>
        <w:rPr>
          <w:rStyle w:val="FootnoteReference"/>
        </w:rPr>
        <w:footnoteRef/>
      </w:r>
      <w:r>
        <w:tab/>
        <w:t xml:space="preserve">Регламент (ЕС) № 99/2013 на Европейския парламент и на Съвета от 15 януари 2013 г. относно Европейската статистическа програма за периода 2013 — 2017 г. (ОВ L 39, 9.2.2013 г., стр. 12). </w:t>
      </w:r>
    </w:p>
  </w:footnote>
  <w:footnote w:id="6">
    <w:p>
      <w:pPr>
        <w:pStyle w:val="FootnoteText"/>
      </w:pPr>
      <w:r>
        <w:rPr>
          <w:rStyle w:val="FootnoteReference"/>
        </w:rPr>
        <w:footnoteRef/>
      </w:r>
      <w:r>
        <w:tab/>
        <w:t xml:space="preserve">Регламент (ЕС) 2017/1951 на Европейския парламент и на Съвета от 25 октомври 2017 г. за изменение на Регламент (ЕС) № 99/2013 относно Европейската статистическа програма за периода 2013 — 2017 г. чрез удължаване на програмата до 2020 г. (ОВ L 284, 31.10.2017 г., стр. 1). </w:t>
      </w:r>
    </w:p>
  </w:footnote>
  <w:footnote w:id="7">
    <w:p>
      <w:pPr>
        <w:pStyle w:val="FootnoteText"/>
      </w:pPr>
      <w:r>
        <w:rPr>
          <w:rStyle w:val="FootnoteReference"/>
        </w:rPr>
        <w:footnoteRef/>
      </w:r>
      <w:r>
        <w:tab/>
        <w:t xml:space="preserve">COM(2018) 441 final. </w:t>
      </w:r>
    </w:p>
  </w:footnote>
  <w:footnote w:id="8">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9">
    <w:p>
      <w:pPr>
        <w:pStyle w:val="FootnoteText"/>
        <w:jc w:val="left"/>
      </w:pPr>
      <w:r>
        <w:rPr>
          <w:rStyle w:val="FootnoteReference"/>
        </w:rPr>
        <w:footnoteRef/>
      </w:r>
      <w:r>
        <w:tab/>
        <w:t xml:space="preserve">Уебстраница на Евростат, посветена на обществената консултация: </w:t>
      </w:r>
      <w:hyperlink r:id="rId2" w:history="1">
        <w:r>
          <w:rPr>
            <w:color w:val="0000FF"/>
            <w:u w:val="single"/>
          </w:rPr>
          <w:t>http://ec.europa.eu/eurostat/about/opportunities/consultations/eass</w:t>
        </w:r>
      </w:hyperlink>
      <w:r>
        <w:t>.</w:t>
      </w:r>
    </w:p>
    <w:p>
      <w:pPr>
        <w:pStyle w:val="FootnoteText"/>
      </w:pPr>
      <w:r>
        <w:tab/>
        <w:t>Доклад от откритата обществена консултация:</w:t>
      </w:r>
    </w:p>
    <w:p>
      <w:pPr>
        <w:pStyle w:val="FootnoteText"/>
      </w:pPr>
      <w:r>
        <w:tab/>
      </w:r>
      <w:hyperlink r:id="rId3" w:history="1">
        <w:r>
          <w:rPr>
            <w:rStyle w:val="Hyperlink"/>
          </w:rPr>
          <w:t>http://ec.europa.eu/eurostat/documents/10186/6937766/Agricultural-Statistics-Strategy-2020-Report.docx</w:t>
        </w:r>
      </w:hyperlink>
      <w:r>
        <w:t xml:space="preserve"> (на разположение само на английски език).</w:t>
      </w:r>
    </w:p>
  </w:footnote>
  <w:footnote w:id="10">
    <w:p>
      <w:pPr>
        <w:pStyle w:val="FootnoteText"/>
      </w:pPr>
      <w:r>
        <w:rPr>
          <w:rStyle w:val="FootnoteReference"/>
        </w:rPr>
        <w:footnoteRef/>
      </w:r>
      <w:r>
        <w:tab/>
      </w:r>
      <w:hyperlink r:id="rId4" w:history="1">
        <w:r>
          <w:t>SWD (2016)430</w:t>
        </w:r>
      </w:hyperlink>
      <w:r>
        <w:t xml:space="preserve">. </w:t>
      </w:r>
    </w:p>
  </w:footnote>
  <w:footnote w:id="11">
    <w:p>
      <w:pPr>
        <w:pStyle w:val="FootnoteText"/>
      </w:pPr>
      <w:r>
        <w:rPr>
          <w:rStyle w:val="FootnoteReference"/>
        </w:rPr>
        <w:footnoteRef/>
      </w:r>
      <w:r>
        <w:tab/>
      </w:r>
      <w:hyperlink r:id="rId5" w:history="1">
        <w:r>
          <w:rPr>
            <w:rStyle w:val="Hyperlink"/>
          </w:rPr>
          <w:t>Оценка на въздействието</w:t>
        </w:r>
      </w:hyperlink>
      <w:r>
        <w:t xml:space="preserve">, </w:t>
      </w:r>
      <w:hyperlink r:id="rId6" w:history="1">
        <w:r>
          <w:rPr>
            <w:rStyle w:val="Hyperlink"/>
          </w:rPr>
          <w:t>обобщена оценка на въздействието</w:t>
        </w:r>
      </w:hyperlink>
      <w:r>
        <w:t xml:space="preserve">, </w:t>
      </w:r>
      <w:hyperlink r:id="rId7" w:history="1">
        <w:r>
          <w:rPr>
            <w:rStyle w:val="Hyperlink"/>
          </w:rPr>
          <w:t>становище на Комитета за регулаторен контрол</w:t>
        </w:r>
      </w:hyperlink>
      <w:r>
        <w:rPr>
          <w:rStyle w:val="Hyperlink"/>
        </w:rPr>
        <w:t xml:space="preserve"> (на разположение само на английски език).</w:t>
      </w:r>
      <w:r>
        <w:t xml:space="preserve"> </w:t>
      </w:r>
    </w:p>
  </w:footnote>
  <w:footnote w:id="12">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13">
    <w:p>
      <w:pPr>
        <w:pStyle w:val="FootnoteText"/>
      </w:pPr>
      <w:r>
        <w:rPr>
          <w:rStyle w:val="FootnoteReference"/>
        </w:rPr>
        <w:footnoteRef/>
      </w:r>
      <w:r>
        <w:tab/>
      </w:r>
      <w:hyperlink r:id="rId8" w:history="1">
        <w:r>
          <w:rPr>
            <w:rStyle w:val="Hyperlink"/>
          </w:rPr>
          <w:t>https://ec.europa.eu/eurostat/web/agriculture/methodology/strategy-beyond-2020</w:t>
        </w:r>
      </w:hyperlink>
      <w:r>
        <w:t xml:space="preserve">. </w:t>
      </w:r>
    </w:p>
  </w:footnote>
  <w:footnote w:id="14">
    <w:p>
      <w:pPr>
        <w:pStyle w:val="FootnoteText"/>
      </w:pPr>
      <w:r>
        <w:rPr>
          <w:rStyle w:val="FootnoteReference"/>
        </w:rPr>
        <w:footnoteRef/>
      </w:r>
      <w:r>
        <w:tab/>
        <w:t>Регламент (ЕС) 2018/1091 на Европейския парламент и на Съвета от 18 юли 2018 г. относно интегрирана статистика за земеделските стопанства и за отмяна на регламенти (ЕО) № 1166/2008 и (ЕС) № 1337/2011 (ОВ L 200, 7.8.2018 г., стр. 1).</w:t>
      </w:r>
    </w:p>
  </w:footnote>
  <w:footnote w:id="15">
    <w:p>
      <w:pPr>
        <w:pStyle w:val="FootnoteText"/>
      </w:pPr>
      <w:r>
        <w:rPr>
          <w:rStyle w:val="FootnoteReference"/>
        </w:rPr>
        <w:footnoteRef/>
      </w:r>
      <w:r>
        <w:tab/>
        <w:t>Регламент (ЕО) № 1165/2008 на Европейския парламент и на Съвета от 19 ноември 2008 г. относно статистиката за селскостопанските животни и месото и за отмяна на директиви 93/23/ЕИО, 93/24/ЕИО и 93/25/ЕИО на Съвета (ОВ L 321, 1.12.2008 г., стр. 1).</w:t>
      </w:r>
    </w:p>
  </w:footnote>
  <w:footnote w:id="16">
    <w:p>
      <w:pPr>
        <w:pStyle w:val="FootnoteText"/>
      </w:pPr>
      <w:r>
        <w:rPr>
          <w:rStyle w:val="FootnoteReference"/>
        </w:rPr>
        <w:footnoteRef/>
      </w:r>
      <w:r>
        <w:tab/>
        <w:t>Регламент (ЕО) № 543/2009 на Европейския парламент и на Съвета от 18 юни 2009 г. относно статистиката за растителните култури и за отмяна на регламенти (ЕИО) № 837/90 и (ЕИО) № 959/93 на Съвета (ОВ L 167, 29.6.2009 г., стр. 1).</w:t>
      </w:r>
    </w:p>
  </w:footnote>
  <w:footnote w:id="17">
    <w:p>
      <w:pPr>
        <w:pStyle w:val="FootnoteText"/>
      </w:pPr>
      <w:r>
        <w:rPr>
          <w:rStyle w:val="FootnoteReference"/>
        </w:rPr>
        <w:footnoteRef/>
      </w:r>
      <w:r>
        <w:tab/>
        <w:t>Регламент (ЕО) № 1185/2009 на Европейския парламент и на Съвета от 25 ноември 2009 г. относно статистиката за пестициди (ОВ L 324, 10.12.2009 г., стр. 1).</w:t>
      </w:r>
    </w:p>
  </w:footnote>
  <w:footnote w:id="18">
    <w:p>
      <w:pPr>
        <w:pStyle w:val="FootnoteText"/>
      </w:pPr>
      <w:r>
        <w:rPr>
          <w:rStyle w:val="FootnoteReference"/>
        </w:rPr>
        <w:footnoteRef/>
      </w:r>
      <w:r>
        <w:tab/>
        <w:t xml:space="preserve">Директива 96/16/ЕО на Съвета от 19 март 1996 г. относно статистическите изследвания на млякото и млечните продукти (ОВ L 78, 28.3.1996 г., стр. 27). </w:t>
      </w:r>
    </w:p>
  </w:footnote>
  <w:footnote w:id="19">
    <w:p>
      <w:pPr>
        <w:pStyle w:val="FootnoteText"/>
      </w:pPr>
      <w:r>
        <w:rPr>
          <w:rStyle w:val="FootnoteReference"/>
        </w:rPr>
        <w:footnoteRef/>
      </w:r>
      <w:r>
        <w:tab/>
        <w:t>Регламент (ЕО) № 617/2008 на Комисията от 27 юни 2008 г. за определяне на подробни правила за прилагане на Регламент (ЕО) № 1234/2007 на Съвета по отношение на стандартите за търговия с яйца за люпене и пилета от домашни птици, отглеждани в птицеферми (ОВ L 168, 28.6.2008 г., стр. 5).</w:t>
      </w:r>
    </w:p>
  </w:footnote>
  <w:footnote w:id="20">
    <w:p>
      <w:pPr>
        <w:pStyle w:val="FootnoteText"/>
      </w:pPr>
      <w:r>
        <w:rPr>
          <w:rStyle w:val="FootnoteReference"/>
        </w:rPr>
        <w:footnoteRef/>
      </w:r>
      <w:r>
        <w:tab/>
        <w:t>Регламент (ЕО) № 138/2004 на Европейския парламент и на Съвета от 5 декември 2003 г. относно икономическите сметки за селското стопанство (ИССС) в Общността (ОВ L 33, 5.2.2004 г., стр. 1).</w:t>
      </w:r>
    </w:p>
  </w:footnote>
  <w:footnote w:id="21">
    <w:p>
      <w:pPr>
        <w:pStyle w:val="FootnoteText"/>
      </w:pPr>
      <w:r>
        <w:rPr>
          <w:rStyle w:val="FootnoteReference"/>
        </w:rPr>
        <w:footnoteRef/>
      </w:r>
      <w:r>
        <w:tab/>
        <w:t>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(ОВ L 309, 24.11.2009 г., стр. 71).</w:t>
      </w:r>
    </w:p>
  </w:footnote>
  <w:footnote w:id="22">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23">
    <w:p>
      <w:pPr>
        <w:pStyle w:val="FootnoteText"/>
      </w:pPr>
      <w:r>
        <w:rPr>
          <w:rStyle w:val="FootnoteReference"/>
        </w:rPr>
        <w:footnoteRef/>
      </w:r>
      <w: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14.6.2018 г., стр. 1).</w:t>
      </w:r>
    </w:p>
  </w:footnote>
  <w:footnote w:id="24">
    <w:p>
      <w:pPr>
        <w:pStyle w:val="FootnoteText"/>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w:t>
      </w:r>
    </w:p>
  </w:footnote>
  <w:footnote w:id="25">
    <w:p>
      <w:pPr>
        <w:pStyle w:val="FootnoteText"/>
        <w:rPr>
          <w:sz w:val="18"/>
          <w:szCs w:val="18"/>
        </w:rPr>
      </w:pPr>
      <w:r>
        <w:rPr>
          <w:rStyle w:val="FootnoteReference"/>
        </w:rPr>
        <w:footnoteRef/>
      </w:r>
      <w:r>
        <w:tab/>
        <w:t>OB L 123, 12.5.2016 г., стр. 1.</w:t>
      </w:r>
    </w:p>
  </w:footnote>
  <w:footnote w:id="26">
    <w:p>
      <w:pPr>
        <w:pStyle w:val="FootnoteText"/>
        <w:rPr>
          <w:sz w:val="18"/>
          <w:szCs w:val="18"/>
        </w:rPr>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7">
    <w:p>
      <w:pPr>
        <w:pStyle w:val="FootnoteText"/>
      </w:pPr>
      <w:r>
        <w:rPr>
          <w:rStyle w:val="FootnoteReference"/>
        </w:rPr>
        <w:footnoteRef/>
      </w:r>
      <w:r>
        <w:tab/>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28">
    <w:p>
      <w:pPr>
        <w:pStyle w:val="FootnoteText"/>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29">
    <w:p>
      <w:pPr>
        <w:pStyle w:val="FootnoteText"/>
        <w:spacing w:after="60"/>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30">
    <w:p>
      <w:pPr>
        <w:pStyle w:val="FootnoteText"/>
        <w:spacing w:after="60"/>
        <w:ind w:left="709" w:hanging="709"/>
      </w:pPr>
      <w:r>
        <w:rPr>
          <w:rStyle w:val="FootnoteReference"/>
        </w:rPr>
        <w:footnoteRef/>
      </w:r>
      <w:r>
        <w:tab/>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(ОВ L 204, 11.8.2000 г., стр. 1).</w:t>
      </w:r>
    </w:p>
  </w:footnote>
  <w:footnote w:id="31">
    <w:p>
      <w:pPr>
        <w:pStyle w:val="FootnoteText"/>
        <w:spacing w:after="60"/>
        <w:ind w:left="709" w:hanging="709"/>
      </w:pPr>
      <w:r>
        <w:rPr>
          <w:rStyle w:val="FootnoteReference"/>
        </w:rPr>
        <w:footnoteRef/>
      </w:r>
      <w:r>
        <w:tab/>
        <w:t>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(EO) № 1782/2003 и на Директиви 92/102/ЕИО и 64/432/ЕИО (ОВ L 5, 9.1.2004 г., стр. 8).</w:t>
      </w:r>
    </w:p>
  </w:footnote>
  <w:footnote w:id="32">
    <w:p>
      <w:pPr>
        <w:pStyle w:val="FootnoteText"/>
        <w:spacing w:after="60"/>
        <w:ind w:left="709" w:hanging="709"/>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33">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34">
    <w:p>
      <w:pPr>
        <w:pStyle w:val="FootnoteText"/>
        <w:rPr>
          <w:sz w:val="24"/>
          <w:szCs w:val="24"/>
        </w:rPr>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5">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6">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9" w:history="1">
        <w:r>
          <w:rPr>
            <w:rStyle w:val="Hyperlink"/>
          </w:rPr>
          <w:t>https://myintracomm.ec.europa.eu/budgweb/EN/man/budgmanag/Pages/budgmanag.aspx</w:t>
        </w:r>
      </w:hyperlink>
      <w:r>
        <w:t xml:space="preserve">. </w:t>
      </w:r>
    </w:p>
  </w:footnote>
  <w:footnote w:id="3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8">
    <w:p>
      <w:pPr>
        <w:pStyle w:val="FootnoteText"/>
        <w:rPr>
          <w:szCs w:val="24"/>
        </w:rPr>
      </w:pPr>
      <w:r>
        <w:rPr>
          <w:rStyle w:val="FootnoteReference"/>
        </w:rPr>
        <w:footnoteRef/>
      </w:r>
      <w:r>
        <w:tab/>
        <w:t xml:space="preserve">ЕАСТ: Европейска асоциация за свободна търговия. </w:t>
      </w:r>
    </w:p>
  </w:footnote>
  <w:footnote w:id="39">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4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oNotTrackFormatting/>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6 09:39: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6"/>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0AD94E-71F4-4B60-A073-165375110632"/>
    <w:docVar w:name="LW_COVERPAGE_TYPE" w:val="1"/>
    <w:docVar w:name="LW_CROSSREFERENCE" w:val="&lt;UNUSED&gt;"/>
    <w:docVar w:name="LW_DocType" w:val="COM"/>
    <w:docVar w:name="LW_EMISSION" w:val="2.2.2021"/>
    <w:docVar w:name="LW_EMISSION_ISODATE" w:val="2021-02-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20"/>
    <w:docVar w:name="LW_REF.II.NEW.CP_YEAR" w:val="2021"/>
    <w:docVar w:name="LW_REF.INST.NEW" w:val="COM"/>
    <w:docVar w:name="LW_REF.INST.NEW_ADOPTED" w:val="final"/>
    <w:docVar w:name="LW_REF.INST.NEW_TEXT" w:val="(2021)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90?\u1072?\u1090?\u1080?\u1089?\u1090?\u1080?\u1082?\u1072?\u1090?\u1072? \u1079?\u1072? \u1089?\u1077?\u1083?\u1089?\u1082?\u1086?\u1089?\u1090?\u1086?\u1087?\u1072?\u1085?\u1089?\u1082?\u1080?\u1090?\u1077? \u1074?\u1083?\u1072?\u1075?\u1072?\u1085?\u1080? \u1088?\u1077?\u1089?\u1091?\u1088?\u1089?\u1080? \u1080? \u1087?\u1088?\u1086?\u1076?\u1091?\u1082?\u1094?\u1080?\u1103? \u1080? \u1079?\u1072? \u1086?\u1090?\u1084?\u1103?\u1085?\u1072? \u1085?\u1072? \u1088?\u1077?\u1075?\u1083?\u1072?\u1084?\u1077?\u1085?\u1090?\u1080? (\u1045?\u1054?) \u8470? 1165/2008, (\u1045?\u1054?) \u8470? 543/2009, (\u1045?\u1054?) \u8470? 1185/2009 \u1080? \u1044?\u1080?\u1088?\u1077?\u1082?\u1090?\u1080?\u1074?\u1072? 96/16/\u1045?\u1054? \u1085?\u1072? \u1057?\u1098?\u1074?\u1077?\u1090?\u1072?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6886">
      <w:bodyDiv w:val="1"/>
      <w:marLeft w:val="0"/>
      <w:marRight w:val="0"/>
      <w:marTop w:val="0"/>
      <w:marBottom w:val="0"/>
      <w:divBdr>
        <w:top w:val="none" w:sz="0" w:space="0" w:color="auto"/>
        <w:left w:val="none" w:sz="0" w:space="0" w:color="auto"/>
        <w:bottom w:val="none" w:sz="0" w:space="0" w:color="auto"/>
        <w:right w:val="none" w:sz="0" w:space="0" w:color="auto"/>
      </w:divBdr>
    </w:div>
    <w:div w:id="12981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bud/mff/Pages/mff-post-2020.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agriculture/methodology/strategy-beyond-2020" TargetMode="External"/><Relationship Id="rId3" Type="http://schemas.openxmlformats.org/officeDocument/2006/relationships/hyperlink" Target="http://ec.europa.eu/eurostat/documents/10186/6937766/Agricultural-Statistics-Strategy-2020-Report.docx"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ec.europa.eu/eurostat/about/opportunities/consultations/eass" TargetMode="External"/><Relationship Id="rId1" Type="http://schemas.openxmlformats.org/officeDocument/2006/relationships/hyperlink" Target="https://ec.europa.eu/eurostat/web/agriculture/methodology/strategy-beyond-2020." TargetMode="External"/><Relationship Id="rId6" Type="http://schemas.openxmlformats.org/officeDocument/2006/relationships/hyperlink" Target="http://ec.europa.eu/transparency/regdoc/index.cfm;jsessionid=3EAB7C00BF4B14D59E2D411F4A3934A7.cfusion14601?fuseaction=list&amp;n=10&amp;adv=0&amp;coteId=10102&amp;year=2016&amp;number=429&amp;version=F&amp;dateFrom=&amp;dateTo=&amp;serviceId=&amp;documentType=&amp;title=&amp;titleLanguage=&amp;titleSearch=EXACT&amp;sortBy=NUMBER&amp;sortOrder=DESC" TargetMode="External"/><Relationship Id="rId5" Type="http://schemas.openxmlformats.org/officeDocument/2006/relationships/hyperlink" Target="https://ec.europa.eu/transparency/regdoc/index.cfm;jsessionid=3EAB7C00BF4B14D59E2D411F4A3934A7.cfusion14601?fuseaction=list&amp;n=10&amp;adv=0&amp;coteId=10102&amp;year=2016&amp;number=430&amp;version=F&amp;dateFrom=&amp;dateTo=&amp;serviceId=&amp;documentType=&amp;title=&amp;titleLanguage=&amp;titleSearch=EXACT&amp;sortBy=NUMBER&amp;sortOrder=DESC.&amp;language=bg" TargetMode="External"/><Relationship Id="rId4" Type="http://schemas.openxmlformats.org/officeDocument/2006/relationships/hyperlink" Target="https://ec.europa.eu/transparency/regdoc/rep/10102/2016/EN/SWD-2016-430-F1-EN-MAIN-PART-1.PDF." TargetMode="External"/><Relationship Id="rId9"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A4ACD8-122B-4F84-BD67-65854A7D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34</Pages>
  <Words>12504</Words>
  <Characters>75525</Characters>
  <Application>Microsoft Office Word</Application>
  <DocSecurity>0</DocSecurity>
  <Lines>1888</Lines>
  <Paragraphs>765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2021-01-22T15:09:00Z</dcterms:created>
  <dcterms:modified xsi:type="dcterms:W3CDTF">2021-01-26T08:39:00Z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