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BD02D08-DE09-4935-91B9-0EADE852E15B" style="width:450.7pt;height:410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jc w:val="center"/>
        <w:rPr>
          <w:b/>
          <w:noProof/>
        </w:rPr>
      </w:pPr>
      <w:r>
        <w:rPr>
          <w:b/>
          <w:noProof/>
        </w:rPr>
        <w:t>Domaines, thèmes et thèmes détaillés, fréquences de transmission et périodes de référence par thème détaillé</w:t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Statistiques sur la production animale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1"/>
        <w:gridCol w:w="3136"/>
        <w:gridCol w:w="2135"/>
        <w:gridCol w:w="2057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Thèmes détaillés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Fréquences de transmission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Périodes de référence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Cheptel et viande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Cheptels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Deux fois par an, tous les ans ou trois fois par décennie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Dates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Production de viande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Chaque mois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Mois civil 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Livraison d’animaux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Deux fois par an ou tous les ans</w:t>
            </w:r>
          </w:p>
        </w:tc>
        <w:tc>
          <w:tcPr>
            <w:tcW w:w="1107" w:type="pct"/>
          </w:tcPr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Trimestres civils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Semestres civils</w:t>
            </w:r>
          </w:p>
          <w:p>
            <w:pPr>
              <w:spacing w:before="0" w:after="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Années civiles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Œufs et poussins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Œufs à consommer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 ou trois fois par décennie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Œufs à couver et poussins de volailles de basse-cour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Chaque mois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Mois civil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Structure des couvoirs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Dates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Lait et produits laitiers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Lait produit et utilisé dans les exploitations agricoles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 ou trois fois par décennie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Disponibilités laitières pour le secteur laitier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Utilisations du lait et des matières laitières par le secteur laitier et produits obtenus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Utilisations mensuelles du lait de vache par le secteur laitier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Chaque mois ou deux fois par an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Mois civil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Structure des exploitations laitières</w:t>
            </w:r>
          </w:p>
        </w:tc>
        <w:tc>
          <w:tcPr>
            <w:tcW w:w="1149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Trois par décennie</w:t>
            </w:r>
          </w:p>
        </w:tc>
        <w:tc>
          <w:tcPr>
            <w:tcW w:w="1107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Statistiques sur la production végétale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Thèmes détaillés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Fréquences de transmission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Périodes de référence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Production végétale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Production des cultures arables et prairies permanentes 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Sous-annuellement et annuellement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Production horticole sauf les cultures permanentes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Sous-annuellement et annuellement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Production des cultures permanentes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Sous-annuellement et annuellement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Bilans végétaux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Bilans des céréales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Bilan des oléagineux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</w:t>
            </w:r>
          </w:p>
        </w:tc>
      </w:tr>
      <w:tr>
        <w:trPr>
          <w:cantSplit/>
        </w:trPr>
        <w:tc>
          <w:tcPr>
            <w:tcW w:w="105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Prairies et pâturages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Gestion des pâturages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3 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  <w:t>Statistiques sur les prix agricoles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3136"/>
        <w:gridCol w:w="2127"/>
        <w:gridCol w:w="2064"/>
      </w:tblGrid>
      <w:tr>
        <w:trPr>
          <w:cantSplit/>
          <w:tblHeader/>
        </w:trPr>
        <w:tc>
          <w:tcPr>
            <w:tcW w:w="1056" w:type="pct"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Thèmes détaillés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Fréquences de transmission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Périodes de référence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Indices de prix agricoles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Indices initiaux et finaux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Trimestrielle et annuelle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Trimestres civils</w:t>
            </w:r>
          </w:p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Pondérations et indices rébasés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5 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Trimestre civil et année civile </w:t>
            </w:r>
          </w:p>
        </w:tc>
      </w:tr>
      <w:tr>
        <w:trPr>
          <w:cantSplit/>
        </w:trPr>
        <w:tc>
          <w:tcPr>
            <w:tcW w:w="1056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Prix absolus des intrants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Engrais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Alimentation animale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Énergie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Prix des terres agricoles et fermages</w:t>
            </w: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Prix des terres agricoles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56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88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Fermages</w:t>
            </w:r>
          </w:p>
        </w:tc>
        <w:tc>
          <w:tcPr>
            <w:tcW w:w="1145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11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  <w:t>Statistiques sur les éléments nutritifs et les produits phytopharmaceutiques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3114"/>
        <w:gridCol w:w="2105"/>
        <w:gridCol w:w="2044"/>
      </w:tblGrid>
      <w:tr>
        <w:trPr>
          <w:cantSplit/>
          <w:tblHeader/>
        </w:trPr>
        <w:tc>
          <w:tcPr>
            <w:tcW w:w="1091" w:type="pct"/>
            <w:tcBorders>
              <w:bottom w:val="single" w:sz="4" w:space="0" w:color="auto"/>
            </w:tcBorders>
          </w:tcPr>
          <w:p>
            <w:pPr>
              <w:keepNext/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Thèmes détaillés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Fréquences de transmission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Périodes de référence</w:t>
            </w: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Éléments nutritifs contenus dans les engrais agricoles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Engrais inorganiques pour l’agriculture 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Engrais organiques pour l’agriculture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  <w:tcBorders>
              <w:top w:val="single" w:sz="4" w:space="0" w:color="auto"/>
            </w:tcBorders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Bilans des éléments nutritifs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Coefficients relatifs aux teneurs en éléments nutritifs des cultures et des fourrages</w:t>
            </w:r>
          </w:p>
        </w:tc>
        <w:tc>
          <w:tcPr>
            <w:tcW w:w="1133" w:type="pct"/>
            <w:vMerge w:val="restart"/>
          </w:tcPr>
          <w:p>
            <w:pPr>
              <w:spacing w:before="0" w:after="10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Tous les cinq ans </w:t>
            </w:r>
          </w:p>
        </w:tc>
        <w:tc>
          <w:tcPr>
            <w:tcW w:w="1100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Années civiles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Volumes de résidus des cultures et coefficients de teneur en éléments nutritifs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 xml:space="preserve">Coefficients biologiques de fixation de l’azote 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Coefficients de dépôt d’azote atmosphérique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Coefficients de teneur en éléments nutritifs utilisés par les semences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Coefficients d’éléments nutritifs issus d’excrétions animales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Volumes d’extraction des effluents d’élevage et coefficients de teneur en éléments nutritifs</w:t>
            </w:r>
          </w:p>
        </w:tc>
        <w:tc>
          <w:tcPr>
            <w:tcW w:w="1133" w:type="pct"/>
            <w:vMerge/>
          </w:tcPr>
          <w:p>
            <w:pPr>
              <w:spacing w:before="0" w:after="100"/>
              <w:rPr>
                <w:noProof/>
              </w:rPr>
            </w:pPr>
          </w:p>
        </w:tc>
        <w:tc>
          <w:tcPr>
            <w:tcW w:w="1100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</w:tr>
      <w:tr>
        <w:trPr>
          <w:cantSplit/>
        </w:trPr>
        <w:tc>
          <w:tcPr>
            <w:tcW w:w="1091" w:type="pct"/>
            <w:vMerge w:val="restar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Produits phytopharmaceutiques</w:t>
            </w: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Produits phytopharmaceutiques mis sur le marché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  <w:tr>
        <w:trPr>
          <w:cantSplit/>
        </w:trPr>
        <w:tc>
          <w:tcPr>
            <w:tcW w:w="1091" w:type="pct"/>
            <w:vMerge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</w:p>
        </w:tc>
        <w:tc>
          <w:tcPr>
            <w:tcW w:w="1676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Utilisation de produits phytopharmaceutiques en agriculture</w:t>
            </w:r>
          </w:p>
        </w:tc>
        <w:tc>
          <w:tcPr>
            <w:tcW w:w="1133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Tous les ans</w:t>
            </w:r>
          </w:p>
        </w:tc>
        <w:tc>
          <w:tcPr>
            <w:tcW w:w="1100" w:type="pct"/>
          </w:tcPr>
          <w:p>
            <w:pPr>
              <w:spacing w:before="0" w:after="100"/>
              <w:jc w:val="left"/>
              <w:rPr>
                <w:noProof/>
                <w:szCs w:val="20"/>
              </w:rPr>
            </w:pPr>
            <w:r>
              <w:rPr>
                <w:noProof/>
              </w:rPr>
              <w:t>Année civile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5C3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BFAC1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B22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CE78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1A0CB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B8462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7EF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47C63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6 09:41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BD02D08-DE09-4935-91B9-0EADE852E15B"/>
    <w:docVar w:name="LW_COVERPAGE_TYPE" w:val="1"/>
    <w:docVar w:name="LW_CROSSREFERENCE" w:val="&lt;UNUSED&gt;"/>
    <w:docVar w:name="LW_DocType" w:val="ANNEX"/>
    <w:docVar w:name="LW_EMISSION" w:val="2.2.2021"/>
    <w:docVar w:name="LW_EMISSION_ISODATE" w:val="2021-02-0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f aux statistiques sur les intrants et les produits agricoles et abrogeant les règlements (CE) nº 1165/2008, (CE) nº 543/2009, (CE) nº 1185/2009 et la directive 96/16/CE du Conseil_x000d__x000d__x000d__x000d__x000d__x000b_"/>
    <w:docVar w:name="LW_OBJETACTEPRINCIPAL.CP" w:val="relatif aux statistiques sur les intrants et les produits agricoles et abrogeant les règlements (CE) nº 1165/2008, (CE) nº 543/2009, (CE) nº 1185/2009 et la directive 96/16/CE du Conseil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508</Words>
  <Characters>3007</Characters>
  <Application>Microsoft Office Word</Application>
  <DocSecurity>0</DocSecurity>
  <Lines>273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Giuliana (ESTAT)</dc:creator>
  <cp:keywords/>
  <dc:description/>
  <cp:lastModifiedBy>WES PDFC Administrator</cp:lastModifiedBy>
  <cp:revision>9</cp:revision>
  <dcterms:created xsi:type="dcterms:W3CDTF">2021-01-22T09:43:00Z</dcterms:created>
  <dcterms:modified xsi:type="dcterms:W3CDTF">2021-01-26T08:41:00Z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