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9D41913-3E4B-4228-B7F4-05A8342C314F" style="width:450.75pt;height:5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ANNEXE</w:t>
      </w:r>
    </w:p>
    <w:p>
      <w:pPr>
        <w:rPr>
          <w:noProof/>
        </w:rPr>
      </w:pPr>
    </w:p>
    <w:tbl>
      <w:tblPr>
        <w:tblW w:w="9196" w:type="dxa"/>
        <w:tblInd w:w="93" w:type="dxa"/>
        <w:tblLook w:val="04A0" w:firstRow="1" w:lastRow="0" w:firstColumn="1" w:lastColumn="0" w:noHBand="0" w:noVBand="1"/>
      </w:tblPr>
      <w:tblGrid>
        <w:gridCol w:w="1205"/>
        <w:gridCol w:w="3951"/>
        <w:gridCol w:w="4040"/>
      </w:tblGrid>
      <w:tr>
        <w:trPr>
          <w:trHeight w:val="630"/>
        </w:trPr>
        <w:tc>
          <w:tcPr>
            <w:tcW w:w="1205"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Règlement nº</w:t>
            </w:r>
          </w:p>
        </w:tc>
        <w:tc>
          <w:tcPr>
            <w:tcW w:w="395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404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Référence du document</w:t>
            </w:r>
            <w:r>
              <w:rPr>
                <w:rStyle w:val="FootnoteReference"/>
                <w:rFonts w:eastAsia="Times New Roman"/>
                <w:b/>
                <w:bCs/>
                <w:noProof/>
                <w:sz w:val="20"/>
                <w:szCs w:val="20"/>
                <w:lang w:eastAsia="en-GB"/>
              </w:rPr>
              <w:footnoteReference w:id="1"/>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18 à la série 11 d’amendements au règlement ONU nº 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13-H</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01 d’amendements au règlement ONU nº 13-H</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04 à la série 03 d’amendements au règlement ONU nº 18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30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23 à la série 02 d’amendements au règlement ONU nº 30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nouvelle série 05 d'amendements au règlement ONU nº 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9 à la série 04 d’amendements au règlement ONU nº 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46</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9 à la série 04 d’amendements au règlement ONU nº 46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19 à la série 04 d’amendements au règlement ONU nº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14 à la série 05 d’amendements au règlement ONU nº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14 à la série 06 d’amendements au règlement ONU nº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1 à la série 07 d’amendements au règlement ONU nº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53</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4 à la série 02 d’amendements au règlement ONU nº 53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53</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Proposition de complément 1 à la série 03 d’amendements au règlement ONU nº 53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54</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 xml:space="preserve">Proposition de complément 24 à la série initiale d’amendements au règlement ONU nº 54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67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série 03 d’amendements au règlement ONU nº 67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67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série 02 d’amendements au règlement ONU nº 67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74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13 à la série 01 d’amendements au règlement ONU nº 74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74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série 02 d’amendements au règlement ONU nº 74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75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19 à la série initiale d’amendements au règlement ONU nº 75</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79</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4 à la série 03 d’amendements au règlement ONU nº 79</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86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série 01 d’amendements au règlement ONU nº 86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97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9 à la série 01 d’amendements au règlement ONU nº 97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98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10 à la série 01 d’amendements au règlement ONU nº 98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98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02 d’amendements au règlement ONU nº 98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ECE/TRANS/WP.29/2021/39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106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19 à la série initiale d’amendements au règlement ONU nº 106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6"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107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09 d’amendements au règlement ONU nº 107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7"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26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7 à la série 01 d’amendements au règlement ONU nº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8"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40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série 02 d’amendements au règlement ONU nº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9"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41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03 d’amendements au règlement ONU nº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20"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42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08 à la version initiale du règlement ONU nº 116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21" w:tgtFrame="_blank" w:tooltip="Ouvre le lien interne dans la fenêtre actuelle" w:history="1">
              <w:r>
                <w:rPr>
                  <w:rFonts w:ascii="Times New Roman" w:hAnsi="Times New Roman"/>
                  <w:noProof/>
                  <w:sz w:val="20"/>
                  <w:szCs w:val="20"/>
                </w:rPr>
                <w:t>ECE/TRANS/WP.29/2021/</w:t>
              </w:r>
            </w:hyperlink>
            <w:r>
              <w:rPr>
                <w:rFonts w:ascii="Times New Roman" w:hAnsi="Times New Roman"/>
                <w:noProof/>
                <w:sz w:val="20"/>
                <w:szCs w:val="20"/>
              </w:rPr>
              <w:t>25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13 à la série 02 d’amendements au règlement ONU nº 117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118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04 d’amendements au règlement ONU nº 118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123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10 à la série 01 d’amendements au règlement ONU nº 123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123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02 d’amendements au règlement ONU nº 123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124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initiale d’amendements au règlement ONU nº 124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125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série 01 d’amendements au règlement ONU nº 125</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ECE/TRANS/WP.29/2021/22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nouvelle série 01 d'amendements au règlement ONU nº 141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ECE/TRANS/WP.29/2021/10/Rev.1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142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nouvelle série 01 d'amendements au règlement ONU nº 142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148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série initiale d’amendements au règlement ONU nº 148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149</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série initiale d’amendements au règlement ONU nº 149</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3 à la série initiale d’amendements au règlement ONU nº 150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3 à la version initiale du règlement ONU nº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2 à la série 01 d’amendements au règlement ONU nº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02 d’amendements au règlement ONU nº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version initiale du règlement ONU nº 154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série 01 d’amendements au règlement ONU nº 154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157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à la version initiale du règlement ONU nº 157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ECE/TRANS/WP.29/2021/17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Nouveau règlement ONU</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nouveau règlement ONU sur les enregistreurs de données d’événement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ECE/TRANS/WP.29/2020/123/Rev.1</w:t>
            </w:r>
          </w:p>
          <w:p>
            <w:pPr>
              <w:pStyle w:val="SingleTxtG"/>
              <w:spacing w:after="0"/>
              <w:ind w:left="0" w:right="141"/>
              <w:rPr>
                <w:rFonts w:ascii="Times New Roman" w:hAnsi="Times New Roman" w:cs="Times New Roman"/>
                <w:noProof/>
                <w:sz w:val="20"/>
                <w:szCs w:val="20"/>
              </w:rPr>
            </w:pP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Nouveau règlement ONU</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01 d’amendements au règlement ONU sur les enregistreurs de données d’événement</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ECE/TRANS/WP.29/2021/58, </w:t>
            </w:r>
          </w:p>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WP29-183-03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Nouveau règlement ONU</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nouveau règlement ONU établissant des prescriptions uniformes concernant la protection des véhicules à moteur contre une utilisation non autorisée et l’homologation du dispositif contre une utilisation non autorisée (au moyen d’un système de verrouillage)</w:t>
            </w:r>
          </w:p>
          <w:p>
            <w:pPr>
              <w:pStyle w:val="SingleTxtG"/>
              <w:spacing w:after="0"/>
              <w:ind w:left="0" w:right="141"/>
              <w:rPr>
                <w:rFonts w:ascii="Times New Roman" w:hAnsi="Times New Roman" w:cs="Times New Roman"/>
                <w:noProof/>
                <w:sz w:val="20"/>
                <w:szCs w:val="20"/>
              </w:rPr>
            </w:pP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Nouveau règlement ONU</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nouveau règlement ONU établissant des prescriptions techniques uniformes relatives à l’homologation des dispositifs d’immobilisation et à l’homologation d’un véhicule en ce qui concerne son dispositif d’immobilisation </w:t>
            </w:r>
          </w:p>
          <w:p>
            <w:pPr>
              <w:pStyle w:val="SingleTxtG"/>
              <w:spacing w:after="0"/>
              <w:ind w:left="0" w:right="141"/>
              <w:rPr>
                <w:rFonts w:ascii="Times New Roman" w:hAnsi="Times New Roman" w:cs="Times New Roman"/>
                <w:noProof/>
                <w:sz w:val="20"/>
                <w:szCs w:val="20"/>
              </w:rPr>
            </w:pP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ECE/TRANS/WP.29/2021/49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Nouveau règlement ONU</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bookmarkStart w:id="1" w:name="_Hlk58848709"/>
            <w:r>
              <w:rPr>
                <w:rFonts w:ascii="Times New Roman" w:hAnsi="Times New Roman"/>
                <w:noProof/>
                <w:sz w:val="20"/>
                <w:szCs w:val="20"/>
              </w:rPr>
              <w:t>Proposition de nouveau règlement ONU établissant des prescriptions techniques uniformes relatives à l’homologation des systèmes d’alarme pour véhicule et à l’homologation d’un véhicule en ce qui concerne son système d’alarme</w:t>
            </w:r>
            <w:bookmarkEnd w:id="1"/>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ECE/TRANS/WP.29/2021/50</w:t>
            </w:r>
          </w:p>
        </w:tc>
      </w:tr>
    </w:tbl>
    <w:p>
      <w:pPr>
        <w:pStyle w:val="Default"/>
        <w:rPr>
          <w:rFonts w:eastAsia="MS Mincho"/>
          <w:noProof/>
          <w:color w:val="auto"/>
          <w:sz w:val="20"/>
          <w:szCs w:val="20"/>
          <w:lang w:eastAsia="ja-JP"/>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RTM nº</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9</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d’amendement 3 au RTM ONU nº 9</w:t>
            </w:r>
          </w:p>
          <w:p>
            <w:pPr>
              <w:pStyle w:val="SingleTxtG"/>
              <w:spacing w:after="0"/>
              <w:ind w:left="0" w:right="141"/>
              <w:rPr>
                <w:rFonts w:ascii="Times New Roman" w:hAnsi="Times New Roman" w:cs="Times New Roman"/>
                <w:noProof/>
                <w:sz w:val="20"/>
                <w:szCs w:val="20"/>
              </w:rPr>
            </w:pP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ECE/TRANS/WP.29/2021/53, </w:t>
            </w:r>
          </w:p>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ECE/TRANS/WP.29/2021/54</w:t>
            </w:r>
          </w:p>
          <w:p>
            <w:pPr>
              <w:pStyle w:val="SingleTxtG"/>
              <w:spacing w:after="0"/>
              <w:ind w:left="0" w:right="141"/>
              <w:rPr>
                <w:rFonts w:ascii="Times New Roman" w:hAnsi="Times New Roman" w:cs="Times New Roman"/>
                <w:noProof/>
                <w:sz w:val="20"/>
                <w:szCs w:val="20"/>
              </w:rPr>
            </w:pPr>
          </w:p>
        </w:tc>
      </w:tr>
    </w:tbl>
    <w:p>
      <w:pPr>
        <w:pStyle w:val="Default"/>
        <w:rPr>
          <w:rFonts w:eastAsia="MS Mincho"/>
          <w:noProof/>
          <w:color w:val="auto"/>
          <w:sz w:val="20"/>
          <w:szCs w:val="20"/>
        </w:rPr>
      </w:pPr>
      <w:r>
        <w:rPr>
          <w:noProof/>
          <w:color w:val="auto"/>
          <w:sz w:val="20"/>
          <w:szCs w:val="20"/>
        </w:rPr>
        <w:t xml:space="preserve"> </w:t>
      </w: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Résolution nº </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R.E.5</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d’amendement 6 à la résolution d’ensemble sur une spécification commune des catégories de sources lumineuses</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ECE/TRANS/WP.29/2021/51</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M.R.4</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nouvelle résolution mutuelle concernant les vitrages de toit panoramique</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ECE/TRANS/WP.29/2021/52,</w:t>
            </w:r>
          </w:p>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ECE/TRANS/WP.29/2021/55</w:t>
            </w:r>
          </w:p>
          <w:p>
            <w:pPr>
              <w:pStyle w:val="SingleTxtG"/>
              <w:spacing w:after="0"/>
              <w:ind w:left="0" w:right="141"/>
              <w:rPr>
                <w:rFonts w:ascii="Times New Roman" w:hAnsi="Times New Roman" w:cs="Times New Roman"/>
                <w:noProof/>
                <w:sz w:val="20"/>
                <w:szCs w:val="20"/>
              </w:rPr>
            </w:pPr>
          </w:p>
        </w:tc>
      </w:tr>
    </w:tbl>
    <w:p>
      <w:pPr>
        <w:spacing w:before="0"/>
        <w:rPr>
          <w:noProof/>
          <w:sz w:val="20"/>
          <w:szCs w:val="20"/>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Divers</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Document d’interprétation</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pour le document d’interprétation du règlement ONU nº 155 établissant des prescriptions uniformes relatives à l’homologation des véhicules en ce qui concerne la cybersécurité et leurs systèmes de gestion de la cybersécurité </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ECE/TRANS/WP.29/2021/59</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Document d’interprétation</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pour le document d’interprétation du règlement ONU nº 156 établissant des prescriptions uniformes relatives aux mises à jour logicielles et aux systèmes de gestion des mises à jour logicielles</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ECE/TRANS/WP.29/2021/60</w:t>
            </w:r>
          </w:p>
        </w:tc>
      </w:tr>
    </w:tbl>
    <w:p>
      <w:pPr>
        <w:tabs>
          <w:tab w:val="left" w:pos="1340"/>
        </w:tabs>
        <w:rPr>
          <w:noProof/>
        </w:rPr>
      </w:pPr>
    </w:p>
    <w:sectPr>
      <w:footerReference w:type="default" r:id="rId22"/>
      <w:footerReference w:type="first" r:id="rId23"/>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Tous les documents auxquels il est fait référence dans le tableau sont disponibles à l’adresse: </w:t>
      </w:r>
    </w:p>
    <w:p>
      <w:pPr>
        <w:pStyle w:val="FootnoteText"/>
      </w:pPr>
      <w:hyperlink r:id="rId1" w:history="1">
        <w:r>
          <w:rPr>
            <w:rStyle w:val="Hyperlink"/>
          </w:rPr>
          <w:t>https://unece.org/transport/events/wp29-world-forum-harmonization-vehicle-regulations-183rd-session</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3 12:26: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A9D41913-3E4B-4228-B7F4-05A8342C314F"/>
    <w:docVar w:name="LW_COVERPAGE_TYPE" w:val="1"/>
    <w:docVar w:name="LW_CROSSREFERENCE" w:val="&lt;UNUSED&gt;"/>
    <w:docVar w:name="LW_DocType" w:val="ANNEX"/>
    <w:docVar w:name="LW_EMISSION" w:val="5.2.2021"/>
    <w:docVar w:name="LW_EMISSION_ISODATE" w:val="2021-02-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Forum mondial de l\u8217?harmonisation des règlements concernant les véhicules de la Commission économique pour l\u8217?Europe des Nations unies, sur les propositions de modifications aux règlements ONU n&lt;FMT:Superscript&gt;os&lt;/FMT&gt; 13, 13-H, 18, 30, 41, 46, 48, 53, 54, 67, 74, 75, 79, 86, 97, 98, 106, 107, 113, 116, 117, 118, 123, 124, 125, 141, 142, 148, 149, 150, 152, 154, 157 et au règlement ONU sur les enregistreurs de données d\u8217?événement, sur la proposition de modifications au règlement technique mondial nº 9, sur la proposition d\u8217?amendements à la résolution d\u8217?ensemble R.E.5, sur les propositions de quatre nouveaux règlements ONU concernant les enregistreurs de données d\u8217?événement, la protection des véhicules à moteur contre une utilisation non autorisée et l\u8217?homologation du dispositif contre une utilisation non autorisée, l\u8217?homologation des dispositifs d\u8217?immobilisation et l\u8217?homologation d\u8217?un véhicule en ce qui concerne son dispositif d\u8217?immobilisation, l\u8217?homologation des systèmes d\u8217?alarme pour véhicule et l\u8217?homologation d\u8217?un véhicule en ce qui concerne son système d\u8217?alarme, sur la proposition de nouvelle résolution mutuelle M.R.4, ainsi que sur les propositions de documents d\u8217?interprétation pour les règlements ONU n&lt;FMT:Superscript&gt;os&lt;/FMT&gt; 155 et 156"/>
    <w:docVar w:name="LW_OBJETACTEPRINCIPAL.CP" w:val="relative à la position à prendre, au nom de l\u8217?Union européenne, au sein du Forum mondial de l\u8217?harmonisation des règlements concernant les véhicules de la Commission économique pour l\u8217?Europe des Nations unies, sur les propositions de modifications aux règlements ONU n&lt;FMT:Superscript&gt;os&lt;/FMT&gt; 13, 13-H, 18, 30, 41, 46, 48, 53, 54, 67, 74, 75, 79, 86, 97, 98, 106, 107, 113, 116, 117, 118, 123, 124, 125, 141, 142, 148, 149, 150, 152, 154, 157 et au règlement ONU sur les enregistreurs de données d\u8217?événement, sur la proposition de modifications au règlement technique mondial nº 9, sur la proposition d\u8217?amendements à la résolution d\u8217?ensemble R.E.5, sur les propositions de quatre nouveaux règlements ONU concernant les enregistreurs de données d\u8217?événement, la protection des véhicules à moteur contre une utilisation non autorisée et l\u8217?homologation du dispositif contre une utilisation non autorisée, l\u8217?homologation des dispositifs d\u8217?immobilisation et l\u8217?homologation d\u8217?un véhicule en ce qui concerne son dispositif d\u8217?immobilisation, l\u8217?homologation des systèmes d\u8217?alarme pour véhicule et l\u8217?homologation d\u8217?un véhicule en ce qui concerne son système d\u8217?alarme, sur la proposition de nouvelle résolution mutuelle M.R.4, ainsi que sur les propositions de documents d\u8217?interprétation pour les règlements ONU n&lt;FMT:Superscript&gt;os&lt;/FMT&gt; 155 et 156"/>
    <w:docVar w:name="LW_PART_NBR" w:val="1"/>
    <w:docVar w:name="LW_PART_NBR_TOTAL" w:val="1"/>
    <w:docVar w:name="LW_REF.INST.NEW" w:val="COM"/>
    <w:docVar w:name="LW_REF.INST.NEW_ADOPTED" w:val="final"/>
    <w:docVar w:name="LW_REF.INST.NEW_TEXT" w:val="(2021)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59239628">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undocs.org/ECE/TRANS/WP.29/2020/132" TargetMode="External"/><Relationship Id="rId3" Type="http://schemas.openxmlformats.org/officeDocument/2006/relationships/styles" Target="styles.xml"/><Relationship Id="rId21" Type="http://schemas.openxmlformats.org/officeDocument/2006/relationships/hyperlink" Target="https://undocs.org/ECE/TRANS/WP.29/2020/13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ndocs.org/ECE/TRANS/WP.29/2020/1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ECE/TRANS/WP.29/2020/132" TargetMode="External"/><Relationship Id="rId20" Type="http://schemas.openxmlformats.org/officeDocument/2006/relationships/hyperlink" Target="https://undocs.org/ECE/TRANS/WP.29/2020/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undocs.org/ECE/TRANS/WP.29/2020/13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events/wp29-world-forum-harmonization-vehicle-regulations-183rd-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741C-B3A9-4E4A-8397-7047D3DB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1143</Words>
  <Characters>7034</Characters>
  <Application>Microsoft Office Word</Application>
  <DocSecurity>0</DocSecurity>
  <Lines>351</Lines>
  <Paragraphs>240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DIGIT/C6</cp:lastModifiedBy>
  <cp:revision>9</cp:revision>
  <cp:lastPrinted>2019-09-12T14:28:00Z</cp:lastPrinted>
  <dcterms:created xsi:type="dcterms:W3CDTF">2021-01-29T14:48:00Z</dcterms:created>
  <dcterms:modified xsi:type="dcterms:W3CDTF">2021-02-03T11:26:00Z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