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A6547EF-E5CD-462A-AF8E-C4ADC9BD040A" style="width:450.75pt;height:54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ManualHeading1"/>
        <w:ind w:left="0" w:firstLine="0"/>
        <w:rPr>
          <w:b w:val="0"/>
          <w:smallCaps w:val="0"/>
          <w:noProof/>
        </w:rPr>
      </w:pPr>
      <w:r>
        <w:rPr>
          <w:b w:val="0"/>
          <w:smallCaps w:val="0"/>
          <w:noProof/>
        </w:rPr>
        <w:t>Настоящото предложение се отнася до решение за установяване на позицията, която трябва да бъде заета от името на Съюза на Световния форум за хармонизация на правилата за превозните средства на Икономическата комисия за Европа на Организацията на обединените нации (WP.29) по отношение на приемането на нови правила на ООН и изменения на съществуващи правила на ООН, изменения на съществуващо техническо правило на ООН и нова обща резолюция и изменения на консолидирана резолюция.</w:t>
      </w:r>
    </w:p>
    <w:p>
      <w:pPr>
        <w:pStyle w:val="ManualHeading1"/>
        <w:rPr>
          <w:noProof/>
        </w:rPr>
      </w:pPr>
      <w:r>
        <w:rPr>
          <w:noProof/>
        </w:rPr>
        <w:t>2</w:t>
      </w:r>
      <w:r>
        <w:rPr>
          <w:noProof/>
        </w:rPr>
        <w:tab/>
        <w:t>КОНТЕКСТ НА ПРЕДЛОЖЕНИЕТО</w:t>
      </w:r>
    </w:p>
    <w:p>
      <w:pPr>
        <w:pStyle w:val="ManualHeading1"/>
        <w:rPr>
          <w:noProof/>
        </w:rPr>
      </w:pPr>
      <w:r>
        <w:rPr>
          <w:noProof/>
        </w:rPr>
        <w:t>2.1</w:t>
      </w:r>
      <w:r>
        <w:rPr>
          <w:noProof/>
        </w:rPr>
        <w:tab/>
      </w:r>
      <w:r>
        <w:rPr>
          <w:smallCaps w:val="0"/>
          <w:noProof/>
        </w:rPr>
        <w:t>Споразумението от 1958 г. и Споразумението от 1998 г.</w:t>
      </w:r>
    </w:p>
    <w:p>
      <w:pPr>
        <w:rPr>
          <w:noProof/>
        </w:rPr>
      </w:pPr>
      <w:r>
        <w:rPr>
          <w:noProof/>
        </w:rPr>
        <w:t>Целта на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и на Споразумението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е да бъдат изготвени хармонизирани изисквания, предназначени да премахнат техническите пречки пред търговията с моторни превозни средства между договарящите се страни на ИКЕ на ООН и да гарантират, че тези превозни средства осигуряват висока степен на безопасност и опазване на околната среда. Споразуменията влязоха в сила за ЕС съответно на 24 март 1998 г. и на 15 февруари 2000 г. Прилагането им се осъществява под ръководството на Световния форум за хармонизация на правилата за превозните средства към ИКЕ на ООН (Работна група 29 или WP.29).</w:t>
      </w:r>
    </w:p>
    <w:p>
      <w:pPr>
        <w:pStyle w:val="ManualHeading1"/>
        <w:ind w:left="0" w:firstLine="0"/>
        <w:rPr>
          <w:noProof/>
        </w:rPr>
      </w:pPr>
      <w:r>
        <w:rPr>
          <w:noProof/>
        </w:rPr>
        <w:t xml:space="preserve">2.2 </w:t>
      </w:r>
      <w:r>
        <w:rPr>
          <w:noProof/>
        </w:rPr>
        <w:tab/>
      </w:r>
      <w:r>
        <w:rPr>
          <w:smallCaps w:val="0"/>
          <w:noProof/>
        </w:rPr>
        <w:t>Световният форум за хармонизация на правилата за превозните средства към Икономическа комисия за Европа на Организацията на обединените нации (ИКЕ на ООН) — Работна група 29 или WP. 29</w:t>
      </w:r>
    </w:p>
    <w:p>
      <w:pPr>
        <w:rPr>
          <w:noProof/>
        </w:rPr>
      </w:pPr>
      <w:r>
        <w:rPr>
          <w:noProof/>
        </w:rPr>
        <w:t xml:space="preserve">Работна група 29 предлага единствена по рода си рамка за хармонизирани в световен мащаб правила за превозните средства. Тя е постоянна работна група в институционалната рамка на Обединените нации с определен мандат и правилник за дейността. Работната група функционира като световен форум, който дава възможност за провеждането на открити разисквания относно правилата за МПС, както и за обсъждане на прилагането на Ревизираното споразумение от 1958 г. и на Паралелното споразумение. Всяка държава — членка на Организацията на обединените нации, както и всяка регионална организация за икономическа интеграция, създадена от държави — членки на Организацията на Обединените нации, може да участва пълноценно в дейностите на Работна група 29 и да стане договаряща се страна по споразуменията </w:t>
      </w:r>
      <w:r>
        <w:rPr>
          <w:noProof/>
        </w:rPr>
        <w:lastRenderedPageBreak/>
        <w:t>относно превозните средства, чието прилагане се ръководи от тази работна група. Европейският съюз е страна по тези споразумения</w:t>
      </w:r>
      <w:r>
        <w:rPr>
          <w:rStyle w:val="FootnoteReference"/>
          <w:noProof/>
        </w:rPr>
        <w:footnoteReference w:id="1"/>
      </w:r>
      <w:r>
        <w:rPr>
          <w:noProof/>
        </w:rPr>
        <w:t xml:space="preserve">. </w:t>
      </w:r>
    </w:p>
    <w:p>
      <w:pPr>
        <w:rPr>
          <w:noProof/>
        </w:rPr>
      </w:pPr>
      <w:r>
        <w:rPr>
          <w:noProof/>
        </w:rPr>
        <w:t>Заседанията на Работна група 29 на ИКЕ на ООН се провеждат три пъти годишно — през март, юни и ноември. На всяко заседание е възможно да се приемат нови правила на ООН, нови глобални технически правила на ООН (ГТП на ООН), промени в действащи правила и резолюции на ООН съгласно Ревизираното споразумение от 1958 г. и промени в действащи ГТП на ООН и резолюции на ООН съгласно Паралелното споразумение, за да се осигури технически напредък. Преди всяко заседание на Работна група 29 тези промени първо се обсъждат на техническо равнище в рамките на специализирани спомагателни органи към работната група.</w:t>
      </w:r>
    </w:p>
    <w:p>
      <w:pPr>
        <w:rPr>
          <w:noProof/>
        </w:rPr>
      </w:pPr>
      <w:r>
        <w:rPr>
          <w:noProof/>
        </w:rPr>
        <w:t xml:space="preserve">Впоследствие се провежда гласуване на равнището на Работна група 29 (т.е. чрез квалифицирано мнозинство на присъстващите и гласуващи договарящи се страни — за предложенията съгласно Ревизираното споразумение от 1958 г. и с консенсус на присъстващите и гласуващи договарящи се страни — за предложенията съгласно Паралелното споразумение). </w:t>
      </w:r>
    </w:p>
    <w:p>
      <w:pPr>
        <w:rPr>
          <w:noProof/>
        </w:rPr>
      </w:pPr>
      <w:r>
        <w:rPr>
          <w:noProof/>
        </w:rPr>
        <w:t xml:space="preserve">Позицията, която трябва да се заеме от името на Съюза по отношение на новите правила и ГТП, техните изменения, допълнения и поправки, както и на резолюциите, се установява преди всяко заседание на Работна група 29 чрез решение на Съвета съгласно член 218, параграф 9 от ДФЕС. </w:t>
      </w:r>
    </w:p>
    <w:p>
      <w:pPr>
        <w:pStyle w:val="ManualHeading1"/>
        <w:rPr>
          <w:smallCaps w:val="0"/>
          <w:noProof/>
        </w:rPr>
      </w:pPr>
      <w:r>
        <w:rPr>
          <w:smallCaps w:val="0"/>
          <w:noProof/>
        </w:rPr>
        <w:t xml:space="preserve">2.3. </w:t>
      </w:r>
      <w:r>
        <w:rPr>
          <w:noProof/>
        </w:rPr>
        <w:tab/>
      </w:r>
      <w:r>
        <w:rPr>
          <w:smallCaps w:val="0"/>
          <w:noProof/>
        </w:rPr>
        <w:t>Предвиденият акт на Работна група 29</w:t>
      </w:r>
    </w:p>
    <w:p>
      <w:pPr>
        <w:rPr>
          <w:noProof/>
        </w:rPr>
      </w:pPr>
      <w:r>
        <w:rPr>
          <w:noProof/>
        </w:rPr>
        <w:t>Между 9 и 11 март 2021 г. на своята 183-та сесия Работната група 29 може да приеме предложенията за изменения на правилата на ООН с номера 13, 13-H, 18, 30, 41, 46, 48, 53, 54, 65, 67, 74, 75, 79, 86, 97, 98, 106, 107, 113, 116, 117, 118, 123, 124, 125, 141, 142, 148, 149, 150, 152, 154, 157 и Правилото на ООН за записващите устройства за данни от инциденти, предложенията за изменения на Глобалното техническо правило № 9, предложението за изменения в обща резолюция R.E.5, предложенията за четири нови правила на ООН във връзка със записващите устройства за данни от инциденти, защитата на моторните превозни средства от неразрешено използване и за одобряването на устройството срещу неразрешено използване, одобряването на имобилайзери и одобряването на превозно средство по отношение на неговия имобилайзер, както и одобряването на алармена система за превозни средства и одобряването на превозното средство по отношение на неговата алармена система, предложението за нова Обща резолюция M.R.4, предложенията за изменения на правила на ООН № 155 и № 156, както и предложение за насоки за функционалните елементите на записващите устройства за данни от инциденти.</w:t>
      </w:r>
    </w:p>
    <w:p>
      <w:pPr>
        <w:pStyle w:val="ManualHeading1"/>
        <w:rPr>
          <w:noProof/>
        </w:rPr>
      </w:pPr>
      <w:r>
        <w:rPr>
          <w:noProof/>
        </w:rPr>
        <w:lastRenderedPageBreak/>
        <w:t xml:space="preserve">3 </w:t>
      </w:r>
      <w:r>
        <w:rPr>
          <w:noProof/>
        </w:rPr>
        <w:tab/>
        <w:t>ПОЗИЦИЯ, КОЯТО ТРЯБВА ДА БЪДЕ ЗАЕТА ОТ ИМЕТО НА СЪЮЗА</w:t>
      </w:r>
    </w:p>
    <w:p>
      <w:pPr>
        <w:rPr>
          <w:noProof/>
        </w:rPr>
      </w:pPr>
      <w:r>
        <w:rPr>
          <w:noProof/>
        </w:rPr>
        <w:t>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комплект от правила за одобряване на типа със съзнанието, че договарящите се страни ще признаят съответствието на продуктите им с националното си законодателство. Тази схема например направи възможно с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се прилага в Регламент (ЕС) 2018/858 на Европейския парламент и на Съвета</w:t>
      </w:r>
      <w:r>
        <w:rPr>
          <w:rStyle w:val="FootnoteReference"/>
          <w:noProof/>
        </w:rPr>
        <w:footnoteReference w:id="2"/>
      </w:r>
      <w:r>
        <w:rPr>
          <w:noProof/>
        </w:rPr>
        <w:t xml:space="preserve">, с който се определят административните разпоредби и техническите изисквания за одобряването на типа и пускането на пазара на всички нови превозни средства, системи, компоненти и отделни технически възли. С въпросния регламент се инкорпорират правилата, приети съгласно Ревизираното споразумение от 1958 г. („правилата на ООН“), в системата на ЕС за одобряване на типа или като изисквания за одобряване на типа, или като алтернативи на законодателството на Съюза. </w:t>
      </w:r>
    </w:p>
    <w:p>
      <w:pPr>
        <w:rPr>
          <w:noProof/>
        </w:rPr>
      </w:pPr>
      <w:r>
        <w:rPr>
          <w:noProof/>
        </w:rPr>
        <w:t xml:space="preserve">След като предложенията за изменения или за нови правила на ООН бъдат приети от Работна група 29 и след като тези актове се съобщят на договарящите се страни от изпълнителния секретар на ИКЕ на ООН, шест месеца по-късно и при отсъствието на възражения от страна на договарящите се страни, представляващи блокиращо малцинство, актовете могат да влязат в сила и да се транспонират в приложимите национални правила на всяка от договарящите се страни. В ЕС транспонирането се смята за извършено след публикуването на тези актове в Официален вестник на ЕС. </w:t>
      </w:r>
    </w:p>
    <w:p>
      <w:pPr>
        <w:pStyle w:val="ManualHeading1"/>
        <w:rPr>
          <w:b w:val="0"/>
          <w:smallCaps w:val="0"/>
          <w:noProof/>
        </w:rPr>
      </w:pPr>
      <w:r>
        <w:rPr>
          <w:b w:val="0"/>
          <w:smallCaps w:val="0"/>
          <w:noProof/>
        </w:rPr>
        <w:t>Следователно е необходимо да се установи позицията на Съюза по следните актове:</w:t>
      </w:r>
    </w:p>
    <w:p>
      <w:pPr>
        <w:pStyle w:val="Tiret0"/>
        <w:numPr>
          <w:ilvl w:val="0"/>
          <w:numId w:val="2"/>
        </w:numPr>
        <w:rPr>
          <w:noProof/>
        </w:rPr>
      </w:pPr>
      <w:r>
        <w:rPr>
          <w:noProof/>
        </w:rPr>
        <w:t xml:space="preserve">предложенията за изменение на правила на ООН с номера 13, 13-H, 18, 30, 41, 46, 48, 53, 54, 67, 74, 75, 79, 86, 97, 98, 106, 107, 113, 116, 117, 118, 123, 124, 125, 141, 142, 148, 149, 150, 152, 154, 157 и Правилото на ООН за записващите устройства за данни от инциденти, които са свързани с осъвременяването на разпоредбите за спирачките на тежкотоварните превозни средства, спирачките на превозните средства от категории M1 и N1, защитата от неразрешено използване на превозните средства, гумите на превозните средства за превоз на пътници, превозните средства за превоз на товари, селскостопанските превозни средства, техните ремаркета, превозните средства от категория L, емисиите на шум от мотоциклетите, устройствата за непряко виждане, монтирането на устройства за осветяване и светлинна сигнализация на моторните превозни средства, превозните средства от категория L3, мотопедите и селскостопанските превозни средства, превозните средства, задвижвани с ВПГ, кормилното оборудване, алармената система, предните светлини с газоразрядни светлинни източници, общите изискванията към конструкцията на автобусите, предните светлини, излъчващи симетрична къса светлина, системите за защита от неразрешено ползване и алармените системи, </w:t>
      </w:r>
      <w:r>
        <w:rPr>
          <w:noProof/>
        </w:rPr>
        <w:lastRenderedPageBreak/>
        <w:t>съпротивлението при търкаляне на гумите, шума, излъчван при търкаляне, сцеплението с влажна повърхност, огнеустойчивостта на материалите, адаптиращите се системи за предно осветяване, резервните колела за превозните средства за превоз на пътници, полето на видимост напред, системата за следене на налягането в гумите, монтирането на гумите, устройствата за светлинна сигнализация, устройствата за осветяване на пътя, светлоотражателите, усъвършенстваните спирачни уредби за превозни средства от категории M1 и N1, автоматизираната система за поддържане в границите на пътната лента,  хармонизираното в световен мащаб изпитване на лекотоварни превозни средства и записващото устройство за данни за инциденти;</w:t>
      </w:r>
    </w:p>
    <w:p>
      <w:pPr>
        <w:pStyle w:val="Tiret0"/>
        <w:numPr>
          <w:ilvl w:val="0"/>
          <w:numId w:val="2"/>
        </w:numPr>
        <w:rPr>
          <w:noProof/>
        </w:rPr>
      </w:pPr>
      <w:r>
        <w:rPr>
          <w:noProof/>
        </w:rPr>
        <w:t>предложението за ново правило на ООН относно записващото устройство за данни за инциденти;</w:t>
      </w:r>
    </w:p>
    <w:p>
      <w:pPr>
        <w:pStyle w:val="Tiret0"/>
        <w:numPr>
          <w:ilvl w:val="0"/>
          <w:numId w:val="2"/>
        </w:numPr>
        <w:rPr>
          <w:noProof/>
        </w:rPr>
      </w:pPr>
      <w:r>
        <w:rPr>
          <w:noProof/>
        </w:rPr>
        <w:t>предложението за ново правило на ООН относно защитата на моторните превозни средства от неразрешено използване и одобряването на устройството срещу непозволено използване;</w:t>
      </w:r>
    </w:p>
    <w:p>
      <w:pPr>
        <w:pStyle w:val="Tiret0"/>
        <w:numPr>
          <w:ilvl w:val="0"/>
          <w:numId w:val="2"/>
        </w:numPr>
        <w:rPr>
          <w:noProof/>
        </w:rPr>
      </w:pPr>
      <w:r>
        <w:rPr>
          <w:noProof/>
        </w:rPr>
        <w:t>предложението за ново правило на ООН относно одобряването на имобилайзерите и одобряването на превозното средство по отношение на неговия имобилайзер;</w:t>
      </w:r>
    </w:p>
    <w:p>
      <w:pPr>
        <w:pStyle w:val="Tiret0"/>
        <w:numPr>
          <w:ilvl w:val="0"/>
          <w:numId w:val="2"/>
        </w:numPr>
        <w:rPr>
          <w:noProof/>
        </w:rPr>
      </w:pPr>
      <w:r>
        <w:rPr>
          <w:noProof/>
        </w:rPr>
        <w:t>предложението за ново правило на ООН относно одобряването на алармената система на превозното средство и одобряването на превозното средство по отношение на неговата алармена система</w:t>
      </w:r>
    </w:p>
    <w:p>
      <w:pPr>
        <w:pStyle w:val="Tiret0"/>
        <w:numPr>
          <w:ilvl w:val="0"/>
          <w:numId w:val="2"/>
        </w:numPr>
        <w:rPr>
          <w:noProof/>
        </w:rPr>
      </w:pPr>
      <w:r>
        <w:rPr>
          <w:noProof/>
        </w:rPr>
        <w:t>предложението за промени на глобалното техническо правило (ГТП на ООН) № 9 относно безопасността на пешеходците;</w:t>
      </w:r>
    </w:p>
    <w:p>
      <w:pPr>
        <w:pStyle w:val="Tiret0"/>
        <w:numPr>
          <w:ilvl w:val="0"/>
          <w:numId w:val="2"/>
        </w:numPr>
        <w:rPr>
          <w:noProof/>
        </w:rPr>
      </w:pPr>
      <w:r>
        <w:rPr>
          <w:noProof/>
        </w:rPr>
        <w:t>предложението за изменение на Консолидираната резолюция (R.E.5) за общата спецификация на категориите светлинни източници;</w:t>
      </w:r>
    </w:p>
    <w:p>
      <w:pPr>
        <w:pStyle w:val="Tiret0"/>
        <w:numPr>
          <w:ilvl w:val="0"/>
          <w:numId w:val="2"/>
        </w:numPr>
        <w:rPr>
          <w:noProof/>
        </w:rPr>
      </w:pPr>
      <w:r>
        <w:rPr>
          <w:noProof/>
        </w:rPr>
        <w:t>предложението за нова обща резолюция (M.R.4) по отношение на остъкляването на панорамния покрив;</w:t>
      </w:r>
    </w:p>
    <w:p>
      <w:pPr>
        <w:rPr>
          <w:noProof/>
        </w:rPr>
      </w:pPr>
      <w:r>
        <w:rPr>
          <w:noProof/>
        </w:rPr>
        <w:t>внесени за гласуване на заседанието през март 2021 г. на Работна група 29, което ще се проведе в периода 9—11 март 2021 г. Освен това е необходимо да се установи позицията на Съюза относно:</w:t>
      </w:r>
    </w:p>
    <w:p>
      <w:pPr>
        <w:pStyle w:val="Tiret0"/>
        <w:numPr>
          <w:ilvl w:val="0"/>
          <w:numId w:val="2"/>
        </w:numPr>
        <w:rPr>
          <w:noProof/>
        </w:rPr>
      </w:pPr>
      <w:r>
        <w:rPr>
          <w:noProof/>
        </w:rPr>
        <w:t>предложенията за тълкувателни документи за правила № 155 и № 156 на ООН.</w:t>
      </w:r>
    </w:p>
    <w:p>
      <w:pPr>
        <w:spacing w:before="0" w:after="0"/>
        <w:rPr>
          <w:noProof/>
          <w:szCs w:val="24"/>
        </w:rPr>
      </w:pPr>
      <w:r>
        <w:rPr>
          <w:noProof/>
        </w:rPr>
        <w:t xml:space="preserve">Съюзът следва да подкрепи гореизброените актове, защото те са в съответствие с политиката на Съюза в областта на вътрешния пазар по отношение на автомобилната промишленост и са съвместими с политиките на Съюза в областта на транспорта, климата и енергетиката. За да може обаче Съюзът да гласува в подкрепа на ново правило на ООН относно устройството за записване на данни от инциденти и серията от изменения 01 към него, неофициалният документ, внесен от Европейската комисия, който изменя преходните разпоредби, трябва да бъде разгледан заедно със серия изменения 01 към правилото на ООН. Предложеното изменение има за цел да приведе датите на прилагане на измененото правило на ООН в съответствие с Регламент (ЕС) 2019/2144 на Европейския парламент и на Съвета, в което се изисква превозните средства да бъдат оборудвани с устройство за записване на данни за инциденти от 6 юли 2022 г. за новите типове превозни средства и от 7 юли 2024 г. за всички превозни средства. </w:t>
      </w:r>
    </w:p>
    <w:p>
      <w:pPr>
        <w:spacing w:before="0" w:after="0"/>
        <w:rPr>
          <w:noProof/>
          <w:szCs w:val="24"/>
          <w:lang w:eastAsia="ja-JP"/>
        </w:rPr>
      </w:pPr>
    </w:p>
    <w:p>
      <w:pPr>
        <w:spacing w:before="0" w:after="0"/>
        <w:rPr>
          <w:noProof/>
        </w:rPr>
      </w:pPr>
      <w:r>
        <w:rPr>
          <w:noProof/>
        </w:rPr>
        <w:lastRenderedPageBreak/>
        <w:t xml:space="preserve">Всички тези актове имат много положително въздействие върху конкурентоспособността на автомобилната промишленост на ЕС и върху международната търговия. Гласуването в подкрепа на тези актове ще насърчи техническия напредък, ще генерира ползи от икономиите от мащаба, ще предотврати разпокъсването на вътрешния пазар и ще гарантира еднаквото прилагане на стандартите в автомобилостроенето в целия Съюз. </w:t>
      </w:r>
    </w:p>
    <w:p>
      <w:pPr>
        <w:spacing w:before="0" w:after="0"/>
        <w:rPr>
          <w:noProof/>
        </w:rPr>
      </w:pPr>
    </w:p>
    <w:p>
      <w:pPr>
        <w:rPr>
          <w:noProof/>
        </w:rPr>
      </w:pPr>
      <w:r>
        <w:rPr>
          <w:noProof/>
        </w:rPr>
        <w:t>От друга страна, като се има предвид, че ЕС не прилага единните предписания на правилото на ООН относно специалните предупредителни светлини, не е необходимо да се установява позиция на Съюза по предложението за изменения на Правило № 65, разглеждано от Работна група 29 на ИКЕ на ООН.</w:t>
      </w:r>
    </w:p>
    <w:p>
      <w:pPr>
        <w:rPr>
          <w:noProof/>
        </w:rPr>
      </w:pPr>
      <w:r>
        <w:rPr>
          <w:noProof/>
        </w:rPr>
        <w:t>Предложението за насоки относно функционалните елементи на устройството за записване на данни от инциденти не е готово за гласуване на заседанието на Работна група 29 през март 2021 г. и трябва да бъде обсъдено допълнително в специален помощен орган на Работна група 29.</w:t>
      </w:r>
    </w:p>
    <w:p>
      <w:pPr>
        <w:rPr>
          <w:noProof/>
        </w:rPr>
      </w:pPr>
      <w:r>
        <w:rPr>
          <w:noProof/>
        </w:rPr>
        <w:t>Външни експертни становища не са приложими за целите на настоящото предложение. То обаче ще бъде разгледано от Техническия комитет по моторните превозни средства.</w:t>
      </w:r>
    </w:p>
    <w:p>
      <w:pPr>
        <w:rPr>
          <w:noProof/>
        </w:rPr>
      </w:pPr>
    </w:p>
    <w:p>
      <w:pPr>
        <w:pStyle w:val="ManualHeading1"/>
        <w:rPr>
          <w:noProof/>
        </w:rPr>
      </w:pPr>
      <w:r>
        <w:rPr>
          <w:noProof/>
        </w:rPr>
        <w:t>4</w:t>
      </w:r>
      <w:r>
        <w:rPr>
          <w:noProof/>
        </w:rPr>
        <w:tab/>
        <w:t>ПРАВНО ОСНОВАНИЕ</w:t>
      </w:r>
    </w:p>
    <w:p>
      <w:pPr>
        <w:pStyle w:val="Text1"/>
        <w:ind w:left="0"/>
        <w:rPr>
          <w:noProof/>
        </w:rPr>
      </w:pPr>
    </w:p>
    <w:p>
      <w:pPr>
        <w:pStyle w:val="Text1"/>
        <w:ind w:left="0"/>
        <w:rPr>
          <w:b/>
          <w:noProof/>
        </w:rPr>
      </w:pPr>
      <w:r>
        <w:rPr>
          <w:b/>
          <w:noProof/>
        </w:rPr>
        <w:t xml:space="preserve">4.1. </w:t>
      </w:r>
      <w:r>
        <w:rPr>
          <w:noProof/>
        </w:rPr>
        <w:tab/>
      </w:r>
      <w:r>
        <w:rPr>
          <w:b/>
          <w:noProof/>
        </w:rPr>
        <w:t xml:space="preserve">Процесуалноправно основание </w:t>
      </w:r>
    </w:p>
    <w:p>
      <w:pPr>
        <w:pStyle w:val="Text1"/>
        <w:ind w:left="0"/>
        <w:rPr>
          <w:i/>
          <w:noProof/>
        </w:rPr>
      </w:pPr>
      <w:r>
        <w:rPr>
          <w:i/>
          <w:noProof/>
        </w:rPr>
        <w:t xml:space="preserve">4.1.1. </w:t>
      </w:r>
      <w:r>
        <w:rPr>
          <w:noProof/>
        </w:rPr>
        <w:tab/>
      </w:r>
      <w:r>
        <w:rPr>
          <w:i/>
          <w:noProof/>
        </w:rPr>
        <w:t xml:space="preserve">Принципи </w:t>
      </w:r>
    </w:p>
    <w:p>
      <w:pPr>
        <w:pStyle w:val="Text1"/>
        <w:ind w:left="0"/>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 </w:t>
      </w:r>
    </w:p>
    <w:p>
      <w:pPr>
        <w:pStyle w:val="Text1"/>
        <w:ind w:left="0"/>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Text1"/>
        <w:ind w:left="0"/>
        <w:rPr>
          <w:noProof/>
        </w:rPr>
      </w:pPr>
    </w:p>
    <w:p>
      <w:pPr>
        <w:pStyle w:val="Text1"/>
        <w:ind w:left="0"/>
        <w:rPr>
          <w:i/>
          <w:noProof/>
        </w:rPr>
      </w:pPr>
      <w:r>
        <w:rPr>
          <w:i/>
          <w:noProof/>
        </w:rPr>
        <w:t xml:space="preserve">4.1.2. </w:t>
      </w:r>
      <w:r>
        <w:rPr>
          <w:noProof/>
        </w:rPr>
        <w:tab/>
      </w:r>
      <w:r>
        <w:rPr>
          <w:i/>
          <w:noProof/>
        </w:rPr>
        <w:t xml:space="preserve">Приложение в конкретния случай </w:t>
      </w:r>
    </w:p>
    <w:p>
      <w:pPr>
        <w:pStyle w:val="Text1"/>
        <w:ind w:left="0"/>
        <w:rPr>
          <w:noProof/>
        </w:rPr>
      </w:pPr>
      <w:r>
        <w:rPr>
          <w:noProof/>
        </w:rPr>
        <w:t xml:space="preserve">Работна група 29 е орган, в рамките на който договарящите се страни на ИКЕ на ООН обсъждат изпълнението на Ревизираното споразумение от 1958 г. и на Паралелното споразумение.  </w:t>
      </w:r>
    </w:p>
    <w:p>
      <w:pPr>
        <w:pStyle w:val="Text1"/>
        <w:ind w:left="0"/>
        <w:rPr>
          <w:noProof/>
        </w:rPr>
      </w:pPr>
      <w:r>
        <w:rPr>
          <w:noProof/>
        </w:rPr>
        <w:t xml:space="preserve">Актовете, които Работна група 29 има за задача да приема, представляват актове с правно действие. </w:t>
      </w:r>
    </w:p>
    <w:p>
      <w:pPr>
        <w:pStyle w:val="Text1"/>
        <w:ind w:left="0"/>
        <w:rPr>
          <w:noProof/>
        </w:rPr>
      </w:pPr>
      <w:r>
        <w:rPr>
          <w:noProof/>
        </w:rPr>
        <w:lastRenderedPageBreak/>
        <w:t xml:space="preserve">Правилата на ООН, съдържащи се в предвидения акт, ще бъдат обвързващи за Съюза и заедно с ГТП на ООН и резолюциите могат да окажат съществено въздействие върху съдържанието на законодателството на ЕС в областта на одобряването на типа на превозните средства. </w:t>
      </w:r>
    </w:p>
    <w:p>
      <w:pPr>
        <w:pStyle w:val="Text1"/>
        <w:ind w:left="0"/>
        <w:rPr>
          <w:noProof/>
        </w:rPr>
      </w:pPr>
      <w:r>
        <w:rPr>
          <w:noProof/>
        </w:rPr>
        <w:t xml:space="preserve">Предвидените актове не допълват, нито изменят институционалната рамка на споразумението. </w:t>
      </w:r>
    </w:p>
    <w:p>
      <w:pPr>
        <w:pStyle w:val="Text1"/>
        <w:ind w:left="0"/>
        <w:rPr>
          <w:noProof/>
        </w:rPr>
      </w:pPr>
      <w:r>
        <w:rPr>
          <w:noProof/>
        </w:rPr>
        <w:t>Поради това процесуалноправното основание за предложеното решение е член 218, параграф 9 от ДФЕС.</w:t>
      </w:r>
    </w:p>
    <w:p>
      <w:pPr>
        <w:pStyle w:val="Text1"/>
        <w:ind w:left="0"/>
        <w:rPr>
          <w:noProof/>
        </w:rPr>
      </w:pPr>
    </w:p>
    <w:p>
      <w:pPr>
        <w:pStyle w:val="Text1"/>
        <w:ind w:left="0"/>
        <w:rPr>
          <w:b/>
          <w:noProof/>
        </w:rPr>
      </w:pPr>
      <w:r>
        <w:rPr>
          <w:b/>
          <w:noProof/>
        </w:rPr>
        <w:t xml:space="preserve">4.2. </w:t>
      </w:r>
      <w:r>
        <w:rPr>
          <w:noProof/>
        </w:rPr>
        <w:tab/>
      </w:r>
      <w:r>
        <w:rPr>
          <w:b/>
          <w:noProof/>
        </w:rPr>
        <w:t xml:space="preserve">Материалноправно основание </w:t>
      </w:r>
    </w:p>
    <w:p>
      <w:pPr>
        <w:pStyle w:val="Text1"/>
        <w:ind w:left="0"/>
        <w:rPr>
          <w:i/>
          <w:noProof/>
        </w:rPr>
      </w:pPr>
      <w:r>
        <w:rPr>
          <w:i/>
          <w:noProof/>
        </w:rPr>
        <w:t xml:space="preserve">4.2.1. </w:t>
      </w:r>
      <w:r>
        <w:rPr>
          <w:noProof/>
        </w:rPr>
        <w:tab/>
      </w:r>
      <w:r>
        <w:rPr>
          <w:i/>
          <w:noProof/>
        </w:rPr>
        <w:t xml:space="preserve">Принципи </w:t>
      </w:r>
    </w:p>
    <w:p>
      <w:pPr>
        <w:pStyle w:val="Text1"/>
        <w:ind w:left="0"/>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 </w:t>
      </w:r>
    </w:p>
    <w:p>
      <w:pPr>
        <w:pStyle w:val="Text1"/>
        <w:ind w:left="0"/>
        <w:rPr>
          <w:noProof/>
        </w:rPr>
      </w:pPr>
    </w:p>
    <w:p>
      <w:pPr>
        <w:pStyle w:val="Text1"/>
        <w:ind w:left="0"/>
        <w:rPr>
          <w:i/>
          <w:noProof/>
        </w:rPr>
      </w:pPr>
      <w:r>
        <w:rPr>
          <w:i/>
          <w:noProof/>
        </w:rPr>
        <w:t xml:space="preserve">4.2.2. Приложение в конкретния случай </w:t>
      </w:r>
    </w:p>
    <w:p>
      <w:pPr>
        <w:pStyle w:val="Text1"/>
        <w:ind w:left="0"/>
        <w:rPr>
          <w:noProof/>
        </w:rPr>
      </w:pPr>
      <w:r>
        <w:rPr>
          <w:noProof/>
        </w:rPr>
        <w:t xml:space="preserve">Основната цел и съдържанието на предвидения акт са свързани със сближаване на законодателството. Поради това материалноправното основание за предложеното решение е член 114 от ДФЕС. </w:t>
      </w:r>
    </w:p>
    <w:p>
      <w:pPr>
        <w:pStyle w:val="Text1"/>
        <w:ind w:left="0"/>
        <w:rPr>
          <w:i/>
          <w:noProof/>
        </w:rPr>
      </w:pPr>
    </w:p>
    <w:p>
      <w:pPr>
        <w:pStyle w:val="Text1"/>
        <w:ind w:left="0"/>
        <w:rPr>
          <w:i/>
          <w:noProof/>
        </w:rPr>
      </w:pPr>
      <w:r>
        <w:rPr>
          <w:i/>
          <w:noProof/>
        </w:rPr>
        <w:t xml:space="preserve">4.3. </w:t>
      </w:r>
      <w:r>
        <w:rPr>
          <w:noProof/>
        </w:rPr>
        <w:tab/>
      </w:r>
      <w:r>
        <w:rPr>
          <w:i/>
          <w:noProof/>
        </w:rPr>
        <w:t xml:space="preserve">Заключение </w:t>
      </w:r>
    </w:p>
    <w:p>
      <w:pPr>
        <w:pStyle w:val="Text1"/>
        <w:ind w:left="0"/>
        <w:rPr>
          <w:noProof/>
        </w:rPr>
      </w:pPr>
      <w:r>
        <w:rPr>
          <w:noProof/>
        </w:rPr>
        <w:t>Правното основание на предложеното решение следва да бъде член 114 от ДФЕС във връзка с член 218, параграф 9 от ДФЕС.</w:t>
      </w:r>
    </w:p>
    <w:p>
      <w:pPr>
        <w:pStyle w:val="Text1"/>
        <w:ind w:left="0"/>
        <w:rPr>
          <w:noProof/>
        </w:rPr>
      </w:pPr>
    </w:p>
    <w:p>
      <w:pPr>
        <w:spacing w:before="0" w:after="200" w:line="276" w:lineRule="auto"/>
        <w:jc w:val="cente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2021/0032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бъде заета от името на Европейския съюз на световния форум за хармонизация на правилата за превозните средства на ИКЕ на ООН във връзка с предложенията за изменения на правилата на ООН с номера 13, 13-H, 18, 30, 41, 46, 48, 53, 54, 65, 67, 74, 75, 79, 86, 97, 98, 106, 107, 113, 116, 117, 118, 123, 124, 125, 141, 142, 148, 149, 150, 152, 154, 157 и Правилото на ООН за записващите устройства за данни от инциденти, предложенията за изменения на Глобалното техническо правило № 9, предложението за изменения в обща резолюция R.E.5 по отношение на предложенията за четири нови правила на ООН във връзка със записващите устройства за данни от инциденти, защитата на моторните превозни средства от неразрешено използване и одобряването на устройството срещу неразрешено използване, одобряването на имобилайзери и одобряването на превозно средство по отношение на неговия имобилайзер, както и одобряването на алармена система за превозни средства и одобряването на превозното средство по отношение на неговата алармена система, предложението за нова Обща резолюция M.R.4, а също и по отношение на предложенията за тълкувателни документи за правила на ООН № 155 и № 156</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97/836/ЕО на Съвета</w:t>
      </w:r>
      <w:r>
        <w:rPr>
          <w:rStyle w:val="FootnoteReference"/>
          <w:noProof/>
        </w:rPr>
        <w:footnoteReference w:id="4"/>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 („Ревизирано споразумение от 1958 година“). Ревизираното споразумение от 1958 г. влезе в сила на 24 март 1998 г.</w:t>
      </w:r>
    </w:p>
    <w:p>
      <w:pPr>
        <w:pStyle w:val="ManualConsidrant"/>
        <w:rPr>
          <w:noProof/>
        </w:rPr>
      </w:pPr>
      <w:r>
        <w:t>(2)</w:t>
      </w:r>
      <w:r>
        <w:tab/>
      </w:r>
      <w:r>
        <w:rPr>
          <w:noProof/>
        </w:rPr>
        <w:t>С Решение 2000/125/ЕО на Съвета</w:t>
      </w:r>
      <w:r>
        <w:rPr>
          <w:rStyle w:val="FootnoteReference"/>
          <w:noProof/>
        </w:rPr>
        <w:footnoteReference w:id="5"/>
      </w:r>
      <w:r>
        <w:rPr>
          <w:noProof/>
        </w:rPr>
        <w:t xml:space="preserve"> Съюзът се присъедини към Споразумението относно създаването на глобални технически правила за колесните пътни </w:t>
      </w:r>
      <w:r>
        <w:rPr>
          <w:noProof/>
        </w:rPr>
        <w:lastRenderedPageBreak/>
        <w:t>превозни средства, оборудване и части, които могат да бъдат монтирани и/или използвани на колесните пътни превозни средства („Паралелно споразумение“). Паралелното споразумение влезе в сила на 15 февруари 2000 г.</w:t>
      </w:r>
    </w:p>
    <w:p>
      <w:pPr>
        <w:pStyle w:val="ManualConsidrant"/>
        <w:rPr>
          <w:noProof/>
        </w:rPr>
      </w:pPr>
      <w:r>
        <w:t>(3)</w:t>
      </w:r>
      <w:r>
        <w:tab/>
      </w:r>
      <w:r>
        <w:rPr>
          <w:noProof/>
        </w:rPr>
        <w:t>С Регламент (ЕС) 2018/858 на Европейския парламент и на Съвета</w:t>
      </w:r>
      <w:r>
        <w:rPr>
          <w:rStyle w:val="FootnoteReference"/>
          <w:noProof/>
        </w:rPr>
        <w:footnoteReference w:id="6"/>
      </w:r>
      <w:r>
        <w:rPr>
          <w:noProof/>
        </w:rPr>
        <w:t xml:space="preserve"> се определят административните разпоредби и техническите изисквания за одобряването на типа и пускането на пазара на всички нови превозни средства, системи, компоненти и отделни технически възли. С въпросния регламент се инкорпорират правилата, приети съгласно Ревизираното споразумение от 1958 г. („правилата на ООН“), в системата на ЕС за одобряване на типа или като изисквания за одобряване на типа, или като алтернативи на законодателството на Съюза.  </w:t>
      </w:r>
    </w:p>
    <w:p>
      <w:pPr>
        <w:pStyle w:val="ManualConsidrant"/>
        <w:rPr>
          <w:noProof/>
        </w:rPr>
      </w:pPr>
      <w:r>
        <w:t>(4)</w:t>
      </w:r>
      <w:r>
        <w:tab/>
      </w:r>
      <w:r>
        <w:rPr>
          <w:noProof/>
        </w:rPr>
        <w:t>В съответствие с член 1 от Ревизираното споразумение от 1958 г. и член 6 от Паралелното споразумение Световният форум за хармонизиране на правилата за превозните средства към ИКЕ на ООН (Работна група 29 на ИКЕ на ООН) може да приема предложения за промени в правилата на ООН, в глобалните технически правила на ООН (ГТП на ООН) и в резолюциите на ООН, както и предложения за нови правила на ООН, ГТП на ООН и резолюции на ООН във връзка с одобряването на превозните средства. Освен това в съответствие с посочените разпоредби Работна група 29 на ИКЕ на ООН може да приема предложения за разрешения за изготвяне на изменения на ГТП на ООН или за изготвяне на нови ГТП на ООН и може да приема предложения за удължаване на мандатите относно ГТП на ООН.</w:t>
      </w:r>
    </w:p>
    <w:p>
      <w:pPr>
        <w:pStyle w:val="ManualConsidrant"/>
        <w:rPr>
          <w:noProof/>
        </w:rPr>
      </w:pPr>
      <w:r>
        <w:t>(5)</w:t>
      </w:r>
      <w:r>
        <w:tab/>
      </w:r>
      <w:r>
        <w:rPr>
          <w:noProof/>
        </w:rPr>
        <w:t>На 183-то заседание на Световния форум, която ще се проведе между 9 и 11 март 2021 г., Работна група 29 на ИКЕ на ООН може да приеме предложенията за изменения на правилата на ООН с номера 13, 13-H, 18, 30, 41, 46, 48, 53, 54, 67, 74, 75, 79, 86, 97, 98, 106, 107, 113, 116, 117, 118, 123, 124, 125, 141, 142, 148, 149, 150, 152, 154, 157 и Правилото на ООН за записващите устройства за данни от инциденти, предложението за изменения на Глобалното техническо правило № 9, предложението за изменения в обща резолюция R.E.5, предложенията за четири нови правила на ООН във връзка със записващите устройства за данни от инциденти, защитата на моторните превозни средства от неразрешено използване и за одобряването на устройството срещу неразрешено използване, одобряването на имобилайзери и одобряването на превозно средство по отношение на неговия имобилайзер, както и одобряването на алармената система за превозни средства и одобряването на превозното средство по отношение на неговата алармена система, предложението за нова Обща резолюция M.R.4. Освен това, Работна група 29 на ИКЕ на ООН трябва да приеме предложенията за тълкувателни документи за правила на ООН № 155 и № 156.</w:t>
      </w:r>
    </w:p>
    <w:p>
      <w:pPr>
        <w:pStyle w:val="ManualConsidrant"/>
        <w:rPr>
          <w:noProof/>
        </w:rPr>
      </w:pPr>
      <w:r>
        <w:t>(6)</w:t>
      </w:r>
      <w:r>
        <w:tab/>
      </w:r>
      <w:r>
        <w:rPr>
          <w:noProof/>
        </w:rPr>
        <w:t xml:space="preserve">Целесъобразно е да се установи позицията, която трябва да бъде заета от името на Съюза в рамките на Работна група 29 на ИКЕ на ООН по отношение на </w:t>
      </w:r>
      <w:r>
        <w:rPr>
          <w:noProof/>
        </w:rPr>
        <w:lastRenderedPageBreak/>
        <w:t>приемането на посочените предложения, тъй като правилата на ООН ще бъдат обвързващи за Съюза и заедно с ГТП на ООН, Консолидираната резолюция и Общата резолюция и могат да имат съществено въздействие върху съдържанието на правото на Съюза в областта на одобряването на типа на превозните средства.</w:t>
      </w:r>
    </w:p>
    <w:p>
      <w:pPr>
        <w:pStyle w:val="ManualConsidrant"/>
        <w:rPr>
          <w:i/>
          <w:noProof/>
        </w:rPr>
      </w:pPr>
      <w:r>
        <w:t>(7)</w:t>
      </w:r>
      <w:r>
        <w:tab/>
      </w:r>
      <w:r>
        <w:rPr>
          <w:noProof/>
        </w:rPr>
        <w:t xml:space="preserve">Предвид натрупания опит и постигнатия технически напредък е необходимо да бъдат изменени или допълнени изискванията относно някои елементи или характеристики, обхванати от правила № 13, 13-H, 18, 30, 41, 46, 48, 53, 54, 67, 74, 75, 79, 86, 97, 98, 106, 107, 113, 116, 117, 118, 123, 124, 125, 141, 142, 148, 149, 150, 152, 154, 157 и Правилото на ООН относно устройствата за записване на данни за инциденти, както и Консолидираната резолюция R.E.5. </w:t>
      </w:r>
    </w:p>
    <w:p>
      <w:pPr>
        <w:pStyle w:val="ManualConsidrant"/>
        <w:rPr>
          <w:i/>
          <w:noProof/>
        </w:rPr>
      </w:pPr>
      <w:r>
        <w:t>(8)</w:t>
      </w:r>
      <w:r>
        <w:tab/>
      </w:r>
      <w:r>
        <w:rPr>
          <w:noProof/>
        </w:rPr>
        <w:t>Освен това е необходимо да бъдат изменени някои разпоредби в ГТП № 9 на ООН.</w:t>
      </w:r>
    </w:p>
    <w:p>
      <w:pPr>
        <w:pStyle w:val="ManualConsidrant"/>
        <w:rPr>
          <w:i/>
          <w:noProof/>
        </w:rPr>
      </w:pPr>
      <w:r>
        <w:t>(9)</w:t>
      </w:r>
      <w:r>
        <w:tab/>
      </w:r>
      <w:r>
        <w:rPr>
          <w:noProof/>
        </w:rPr>
        <w:t>За да се даде възможност за постигане на технически напредък и да се подобри безопасността на превозните средства, е необходимо да се приемат четири нови правила на ООН във връзка със записващите устройства за данни от инциденти, защитата на моторните превозни средства от неразрешено използване и за одобряването на устройството срещу неразрешено използване, одобряването на имобилайзери и одобряването на превозно средство по отношение на неговия имобилайзер, както и одобряването на алармена система за превозни средства и одобряването на превозното средство по отношение на неговата алармена система Наред с това, необходимо е да се приеме нова обща резолюция M.R.4 за остъкляването на панорамния покрив.</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бъде заета от името на Съюза на 183-рото заседание на Световния форум за хармонизация на правилата за превозните средства към ИКЕ на ООН, насрочено за 11 март 2021 г., е да се гласува в подкрепа на предложенията, изброени в приложението към настоящото решение.</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p>
    <w:p>
      <w:pPr>
        <w:pStyle w:val="Institutionquisigne"/>
        <w:spacing w:before="120"/>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97/836/ОЕ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 (ОВ L 346, 17.12.1997 г., стр. 78).</w:t>
      </w:r>
    </w:p>
    <w:p>
      <w:pPr>
        <w:pStyle w:val="FootnoteText"/>
        <w:ind w:firstLine="0"/>
      </w:pPr>
      <w:r>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2">
    <w:p>
      <w:pPr>
        <w:pStyle w:val="FootnoteText"/>
      </w:pPr>
      <w:r>
        <w:rPr>
          <w:rStyle w:val="FootnoteReference"/>
        </w:rPr>
        <w:footnoteRef/>
      </w:r>
      <w: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14.6.2018 г., стр. 1).</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pPr>
      <w:r>
        <w:rPr>
          <w:rStyle w:val="FootnoteReference"/>
        </w:rPr>
        <w:footnoteRef/>
      </w:r>
      <w:r>
        <w:tab/>
        <w:t>Решение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 („Ревизирано споразумение от 1958 година“) (ОВ L 346, 17.12.1997 г., стр. 78).</w:t>
      </w:r>
    </w:p>
  </w:footnote>
  <w:footnote w:id="5">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6">
    <w:p>
      <w:pPr>
        <w:pStyle w:val="FootnoteText"/>
      </w:pPr>
      <w:r>
        <w:rPr>
          <w:rStyle w:val="FootnoteReference"/>
        </w:rPr>
        <w:footnoteRef/>
      </w:r>
      <w: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14.6.2018 г., стр.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64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BA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085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068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E7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E45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E0D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12A6B1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8 11:52: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1"/>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A6547EF-E5CD-462A-AF8E-C4ADC9BD040A"/>
    <w:docVar w:name="LW_COVERPAGE_TYPE" w:val="1"/>
    <w:docVar w:name="LW_CROSSREFERENCE" w:val="&lt;UNUSED&gt;"/>
    <w:docVar w:name="LW_DocType" w:val="COM"/>
    <w:docVar w:name="LW_EMISSION" w:val="5.2.2021"/>
    <w:docVar w:name="LW_EMISSION_ISODATE" w:val="2021-02-0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2"/>
    <w:docVar w:name="LW_REF.II.NEW.CP_YEAR" w:val="2021"/>
    <w:docVar w:name="LW_REF.INST.NEW" w:val="COM"/>
    <w:docVar w:name="LW_REF.INST.NEW_ADOPTED" w:val="final"/>
    <w:docVar w:name="LW_REF.INST.NEW_TEXT" w:val="(2021)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54?\u1090?\u1085?\u1086?\u1089?\u1085?\u1086? \u1087?\u1086?\u1079?\u1080?\u1094?\u1080?\u1103?\u1090?\u1072?, \u1082?\u1086?\u1103?\u1090?\u1086? \u1090?\u1088?\u1103?\u1073?\u1074?\u1072? \u1076?\u1072? \u1073?\u1098?\u1076?\u1077? \u1079?\u1072?\u1077?\u1090?\u1072? \u1086?\u1090? \u1080?\u1084?\u1077?\u1090?\u1086? \u1085?\u1072? \u1045?\u1074?\u1088?\u1086?\u1087?\u1077?\u1081?\u1089?\u1082?\u1080?\u1103? \u1089?\u1098?\u1102?\u1079? \u1085?\u1072? \u1089?\u1074?\u1077?\u1090?\u1086?\u1074?\u1085?\u1080?\u1103? \u1092?\u1086?\u1088?\u1091?\u1084? \u1079?\u1072? \u1093?\u1072?\u1088?\u1084?\u1086?\u1085?\u1080?\u1079?\u1072?\u1094?\u1080?\u1103? \u1085?\u1072? \u1087?\u1088?\u1072?\u1074?\u1080?\u1083?\u1072?\u1090?\u1072? \u1079?\u1072? \u1087?\u1088?\u1077?\u1074?\u1086?\u1079?\u1085?\u1080?\u1090?\u1077? \u1089?\u1088?\u1077?\u1076?\u1089?\u1090?\u1074?\u1072? \u1085?\u1072? \u1048?\u1050?\u1045? \u1085?\u1072? \u1054?\u1054?\u1053? \u1074?\u1098?\u1074? \u1074?\u1088?\u1098?\u1079?\u1082?\u1072? \u1089? \u1087?\u1088?\u1077?\u1076?\u1083?\u1086?\u1078?\u1077?\u1085?\u1080?\u1103?\u1090?\u1072? \u1079?\u1072? \u1080?\u1079?\u1084?\u1077?\u1085?\u1077?\u1085?\u1080?\u1103? \u1085?\u1072? \u1087?\u1088?\u1072?\u1074?\u1080?\u1083?\u1072?\u1090?\u1072? \u1085?\u1072? \u1054?\u1054?\u1053? \u1089? \u1085?\u1086?\u1084?\u1077?\u1088?\u1072? 13, 13-H, 18, 30, 41, 46, 48, 53, 54, 65, 67, 74, 75, 79, 86, 97, 98, 106, 107, 113, 116, 117, 118, 123, 124, 125, 141, 142, 148, 149, 150, 152, 154, 157 \u1080? \u1055?\u1088?\u1072?\u1074?\u1080?\u1083?\u1086?\u1090?\u1086? \u1085?\u1072? \u1054?\u1054?\u1053? \u1079?\u1072? \u1079?\u1072?\u1087?\u1080?\u1089?\u1074?\u1072?\u1097?\u1080?\u1090?\u1077? \u1091?\u1089?\u1090?\u1088?\u1086?\u1081?\u1089?\u1090?\u1074?\u1072? \u1079?\u1072? \u1076?\u1072?\u1085?\u1085?\u1080? \u1086?\u1090? \u1080?\u1085?\u1094?\u1080?\u1076?\u1077?\u1085?\u1090?\u1080?, \u1087?\u1088?\u1077?\u1076?\u1083?\u1086?\u1078?\u1077?\u1085?\u1080?\u1103?\u1090?\u1072? \u1079?\u1072? \u1080?\u1079?\u1084?\u1077?\u1085?\u1077?\u1085?\u1080?\u1103? \u1085?\u1072? \u1043?\u1083?\u1086?\u1073?\u1072?\u1083?\u1085?\u1086?\u1090?\u1086? \u1090?\u1077?\u1093?\u1085?\u1080?\u1095?\u1077?\u1089?\u1082?\u1086? \u1087?\u1088?\u1072?\u1074?\u1080?\u1083?\u1086? \u8470? 9, \u1087?\u1088?\u1077?\u1076?\u1083?\u1086?\u1078?\u1077?\u1085?\u1080?\u1077?\u1090?\u1086? \u1079?\u1072? \u1080?\u1079?\u1084?\u1077?\u1085?\u1077?\u1085?\u1080?\u1103? \u1074? \u1086?\u1073?\u1097?\u1072? \u1088?\u1077?\u1079?\u1086?\u1083?\u1102?\u1094?\u1080?\u1103? R.E.5 \u1087?\u1086? \u1086?\u1090?\u1085?\u1086?\u1096?\u1077?\u1085?\u1080?\u1077? \u1085?\u1072? \u1087?\u1088?\u1077?\u1076?\u1083?\u1086?\u1078?\u1077?\u1085?\u1080?\u1103?\u1090?\u1072? \u1079?\u1072? \u1095?\u1077?\u1090?\u1080?\u1088?\u1080? \u1085?\u1086?\u1074?\u1080? \u1087?\u1088?\u1072?\u1074?\u1080?\u1083?\u1072? \u1085?\u1072? \u1054?\u1054?\u1053? \u1074?\u1098?\u1074? \u1074?\u1088?\u1098?\u1079?\u1082?\u1072? \u1089?\u1098?\u1089? \u1079?\u1072?\u1087?\u1080?\u1089?\u1074?\u1072?\u1097?\u1080?\u1090?\u1077? \u1091?\u1089?\u1090?\u1088?\u1086?\u1081?\u1089?\u1090?\u1074?\u1072? \u1079?\u1072? \u1076?\u1072?\u1085?\u1085?\u1080? \u1086?\u1090? \u1080?\u1085?\u1094?\u1080?\u1076?\u1077?\u1085?\u1090?\u1080?, \u1079?\u1072?\u1097?\u1080?\u1090?\u1072?\u1090?\u1072? \u1085?\u1072? \u1084?\u1086?\u1090?\u1086?\u1088?\u1085?\u1080?\u1090?\u1077? \u1087?\u1088?\u1077?\u1074?\u1086?\u1079?\u1085?\u1080? \u1089?\u1088?\u1077?\u1076?\u1089?\u1090?\u1074?\u1072? \u1086?\u1090? \u1085?\u1077?\u1088?\u1072?\u1079?\u1088?\u1077?\u1096?\u1077?\u1085?\u1086? \u1080?\u1079?\u1087?\u1086?\u1083?\u1079?\u1074?\u1072?\u1085?\u1077? \u1080? \u1086?\u1076?\u1086?\u1073?\u1088?\u1103?\u1074?\u1072?\u1085?\u1077?\u1090?\u1086? \u1085?\u1072? \u1091?\u1089?\u1090?\u1088?\u1086?\u1081?\u1089?\u1090?\u1074?\u1086?\u1090?\u1086? \u1089?\u1088?\u1077?\u1097?\u1091? \u1085?\u1077?\u1088?\u1072?\u1079?\u1088?\u1077?\u1096?\u1077?\u1085?\u1086? \u1080?\u1079?\u1087?\u1086?\u1083?\u1079?\u1074?\u1072?\u1085?\u1077?, \u1086?\u1076?\u1086?\u1073?\u1088?\u1103?\u1074?\u1072?\u1085?\u1077?\u1090?\u1086? \u1085?\u1072? \u1080?\u1084?\u1086?\u1073?\u1080?\u1083?\u1072?\u1081?\u1079?\u1077?\u1088?\u1080? \u1080? \u1086?\u1076?\u1086?\u1073?\u1088?\u1103?\u1074?\u1072?\u1085?\u1077?\u1090?\u1086? \u1085?\u1072? \u1087?\u1088?\u1077?\u1074?\u1086?\u1079?\u1085?\u1086? \u1089?\u1088?\u1077?\u1076?\u1089?\u1090?\u1074?\u1086? \u1087?\u1086? \u1086?\u1090?\u1085?\u1086?\u1096?\u1077?\u1085?\u1080?\u1077? \u1085?\u1072? \u1085?\u1077?\u1075?\u1086?\u1074?\u1080?\u1103? \u1080?\u1084?\u1086?\u1073?\u1080?\u1083?\u1072?\u1081?\u1079?\u1077?\u1088?, \u1082?\u1072?\u1082?\u1090?\u1086? \u1080? \u1086?\u1076?\u1086?\u1073?\u1088?\u1103?\u1074?\u1072?\u1085?\u1077?\u1090?\u1086? \u1085?\u1072? \u1072?\u1083?\u1072?\u1088?\u1084?\u1077?\u1085?\u1072? \u1089?\u1080?\u1089?\u1090?\u1077?\u1084?\u1072? \u1079?\u1072? \u1087?\u1088?\u1077?\u1074?\u1086?\u1079?\u1085?\u1080? \u1089?\u1088?\u1077?\u1076?\u1089?\u1090?\u1074?\u1072? \u1080? \u1086?\u1076?\u1086?\u1073?\u1088?\u1103?\u1074?\u1072?\u1085?\u1077?\u1090?\u1086? \u1085?\u1072? \u1087?\u1088?\u1077?\u1074?\u1086?\u1079?\u1085?\u1086?\u1090?\u1086? \u1089?\u1088?\u1077?\u1076?\u1089?\u1090?\u1074?\u1086? \u1087?\u1086? \u1086?\u1090?\u1085?\u1086?\u1096?\u1077?\u1085?\u1080?\u1077? \u1085?\u1072? \u1085?\u1077?\u1075?\u1086?\u1074?\u1072?\u1090?\u1072? \u1072?\u1083?\u1072?\u1088?\u1084?\u1077?\u1085?\u1072? \u1089?\u1080?\u1089?\u1090?\u1077?\u1084?\u1072?, \u1087?\u1088?\u1077?\u1076?\u1083?\u1086?\u1078?\u1077?\u1085?\u1080?\u1077?\u1090?\u1086? \u1079?\u1072? \u1085?\u1086?\u1074?\u1072? \u1054?\u1073?\u1097?\u1072? \u1088?\u1077?\u1079?\u1086?\u1083?\u1102?\u1094?\u1080?\u1103? M.R.4, \u1072? \u1089?\u1098?\u1097?\u1086? \u1080? \u1087?\u1086? \u1086?\u1090?\u1085?\u1086?\u1096?\u1077?\u1085?\u1080?\u1077? \u1085?\u1072? \u1087?\u1088?\u1077?\u1076?\u1083?\u1086?\u1078?\u1077?\u1085?\u1080?\u1103?\u1090?\u1072? \u1079?\u1072? \u1090?\u1098?\u1083?\u1082?\u1091?\u1074?\u1072?\u1090?\u1077?\u1083?\u1085?\u1080? \u1076?\u1086?\u1082?\u1091?\u1084?\u1077?\u1085?\u1090?\u1080? \u1079?\u1072? \u1087?\u1088?\u1072?\u1074?\u1080?\u1083?\u1072? \u1085?\u1072? \u1054?\u1054?\u1053? \u8470? 155 \u1080? \u8470? 15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E0B078-2C1A-44F4-AC0B-F035FE9C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3362</Words>
  <Characters>18763</Characters>
  <Application>Microsoft Office Word</Application>
  <DocSecurity>0</DocSecurity>
  <Lines>347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2021-02-08T09:44:00Z</dcterms:created>
  <dcterms:modified xsi:type="dcterms:W3CDTF">2021-02-08T10:52:00Z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