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9585A8B-3D4D-4912-9828-238A776C3083" style="width:450.35pt;height:36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На 17 май 2004 г. влезе в сила Стокхолмската конвенция за устойчивите органични замърсители („Конвенцията“). Тя беше одобрена с решение на Съвета от 14 октомври 2004 г. за сключване от името на Европейската общност на Стокхолмската конвенция за устойчивите органични замърсители (2006/507/ЕО</w:t>
      </w:r>
      <w:r>
        <w:rPr>
          <w:rStyle w:val="FootnoteReference"/>
          <w:noProof/>
        </w:rPr>
        <w:footnoteReference w:id="2"/>
      </w:r>
      <w:r>
        <w:rPr>
          <w:noProof/>
        </w:rPr>
        <w:t>) и влезе в сила за Европейската общност на 14 февруари 2005 г. Целта на Конвенцията е да се защитят здравето на човека и околната среда от устойчивите органични замърсители (УОЗ). Конвенцията определя рамка, базирана на принципа за предпазливост, с оглед елиминиране на производството, употребата, вноса и износа на УОЗ, безопасното им манипулиране и обезвреждане, както и елиминиране или намаляване на някои непреднамерени емисии на УОЗ.</w:t>
      </w:r>
    </w:p>
    <w:p>
      <w:pPr>
        <w:pBdr>
          <w:top w:val="nil"/>
          <w:left w:val="nil"/>
          <w:bottom w:val="nil"/>
          <w:right w:val="nil"/>
          <w:between w:val="nil"/>
          <w:bar w:val="nil"/>
        </w:pBdr>
        <w:spacing w:before="0" w:after="240"/>
        <w:rPr>
          <w:rFonts w:eastAsia="Arial Unicode MS"/>
          <w:noProof/>
        </w:rPr>
      </w:pPr>
      <w:r>
        <w:rPr>
          <w:noProof/>
        </w:rPr>
        <w:t>С Регламент (ЕС) № 2019/1021 на Европейския парламент и на Съвета</w:t>
      </w:r>
      <w:r>
        <w:rPr>
          <w:rStyle w:val="FootnoteReference"/>
          <w:noProof/>
        </w:rPr>
        <w:footnoteReference w:id="3"/>
      </w:r>
      <w:r>
        <w:rPr>
          <w:noProof/>
        </w:rPr>
        <w:t xml:space="preserve"> в правото на Съюза се въвеждат задълженията, установени в Конвенцията и в Протокола за устойчивите органични замърсители към Конвенцията за трансгранично замърсяване на въздуха на далечни разстояния от 1979 г. („Протокола“), одобрен с Решение 2004/259/ЕО на Съвета</w:t>
      </w:r>
      <w:r>
        <w:rPr>
          <w:rStyle w:val="FootnoteReference"/>
          <w:noProof/>
        </w:rPr>
        <w:footnoteReference w:id="4"/>
      </w:r>
      <w:r>
        <w:rPr>
          <w:noProof/>
        </w:rPr>
        <w:t>.</w:t>
      </w:r>
    </w:p>
    <w:p>
      <w:pPr>
        <w:pBdr>
          <w:top w:val="nil"/>
          <w:left w:val="nil"/>
          <w:bottom w:val="nil"/>
          <w:right w:val="nil"/>
          <w:between w:val="nil"/>
          <w:bar w:val="nil"/>
        </w:pBdr>
        <w:spacing w:before="0" w:after="240"/>
        <w:rPr>
          <w:rFonts w:eastAsia="Arial Unicode MS"/>
          <w:noProof/>
        </w:rPr>
      </w:pPr>
      <w:r>
        <w:rPr>
          <w:noProof/>
        </w:rPr>
        <w:t>Съгласно член 8, параграф 1 от Конвенцията всяка страна по Конвенцията може да представи предложение пред Секретариата за включване на определено химично вещество в приложение А, Б и/или В към Конвенцията, което впоследствие се разглежда от Комитета за преглед на устойчивите органични замърсители (КПУОЗ) в съответствие с член 8, параграфи 3 и 4. Предложението трябва да съдържа информацията, определена в приложение Г. Въз основа на препоръката на КПУОЗ Конференцията на страните взема решение за включването на дадено вещество в приложение А (елиминиране), приложение Б (ограничаване) и/или приложение В (непреднамерено производство). Процедурата за приемане на изменения на приложенията се урежда с член 22 от Конвенцията.</w:t>
      </w:r>
    </w:p>
    <w:p>
      <w:pPr>
        <w:pBdr>
          <w:top w:val="nil"/>
          <w:left w:val="nil"/>
          <w:bottom w:val="nil"/>
          <w:right w:val="nil"/>
          <w:between w:val="nil"/>
          <w:bar w:val="nil"/>
        </w:pBdr>
        <w:spacing w:before="0" w:after="240"/>
        <w:rPr>
          <w:rFonts w:eastAsia="Arial Unicode MS"/>
          <w:noProof/>
        </w:rPr>
      </w:pPr>
      <w:r>
        <w:rPr>
          <w:noProof/>
        </w:rPr>
        <w:t>Употребата на хлорпирифос като активно вещество в продукти за растителна защита и биоциди е забранена в Европейския съюз по силата съответно на Регламент (ЕО) № 1107/2009 на Европейския парламент и на Съвета</w:t>
      </w:r>
      <w:r>
        <w:rPr>
          <w:rStyle w:val="FootnoteReference"/>
          <w:noProof/>
        </w:rPr>
        <w:footnoteReference w:id="5"/>
      </w:r>
      <w:r>
        <w:rPr>
          <w:noProof/>
        </w:rPr>
        <w:t xml:space="preserve"> и Регламент (ЕС) № 528/2012 на Европейския парламент и на Съвета</w:t>
      </w:r>
      <w:r>
        <w:rPr>
          <w:rStyle w:val="FootnoteReference"/>
          <w:noProof/>
        </w:rPr>
        <w:footnoteReference w:id="6"/>
      </w:r>
      <w:r>
        <w:rPr>
          <w:noProof/>
        </w:rPr>
        <w:t xml:space="preserve">. Освен това хлорпирифосът не е регистриран за </w:t>
      </w:r>
      <w:r>
        <w:rPr>
          <w:noProof/>
        </w:rPr>
        <w:lastRenderedPageBreak/>
        <w:t>никакъв друг вид употреба в съответствие с Регламент (ЕО) № 1907/2006 на Европейския парламент и на Съвета</w:t>
      </w:r>
      <w:r>
        <w:rPr>
          <w:rStyle w:val="FootnoteReference"/>
          <w:noProof/>
        </w:rPr>
        <w:footnoteReference w:id="7"/>
      </w:r>
      <w:r>
        <w:rPr>
          <w:noProof/>
        </w:rPr>
        <w:t xml:space="preserve"> и следователно не е разрешено да се произвежда или пуска на пазара в Съюза в количества от един тон или повече на година за един производител или вносител.</w:t>
      </w:r>
    </w:p>
    <w:p>
      <w:pPr>
        <w:pBdr>
          <w:top w:val="nil"/>
          <w:left w:val="nil"/>
          <w:bottom w:val="nil"/>
          <w:right w:val="nil"/>
          <w:between w:val="nil"/>
          <w:bar w:val="nil"/>
        </w:pBdr>
        <w:spacing w:before="0" w:after="240"/>
        <w:rPr>
          <w:rFonts w:eastAsia="Arial Unicode MS"/>
          <w:noProof/>
        </w:rPr>
      </w:pPr>
      <w:r>
        <w:rPr>
          <w:noProof/>
        </w:rPr>
        <w:t>Според наличната информация и данни за характерните свойства на хлорпирифоса, които бяха оценени по критериите от приложение Г към Конвенцията, може да се заключи, че хлорпирифосът е устойчиво, биоакумулиращо и токсично вещество (PBT). Освен това хлорпирифосът се пренася в околната среда на големи разстояния и е бил откриван в отдалечени райони като Арктика. С оглед на информацията за свойствата на хлорпирифоса като устойчиво, биоакумулиращо и токсично вещество и като вещество, пренасящо се в околната среда на големи разстояния, се изказва предложението, че хлорпирифосът отговаря на критериите от приложение Г към Конвенцията, поради което той следва да бъде разглеждан като УОЗ. Подробна информация за оценката може да бъде намерена в научното досие, което ще придружава предложението за включване на хлорпирифоса в приложение А към Стокхолмската конвенция.</w:t>
      </w:r>
    </w:p>
    <w:p>
      <w:pPr>
        <w:pBdr>
          <w:top w:val="nil"/>
          <w:left w:val="nil"/>
          <w:bottom w:val="nil"/>
          <w:right w:val="nil"/>
          <w:between w:val="nil"/>
          <w:bar w:val="nil"/>
        </w:pBdr>
        <w:spacing w:before="0" w:after="240"/>
        <w:rPr>
          <w:rFonts w:eastAsia="Arial Unicode MS"/>
          <w:noProof/>
        </w:rPr>
      </w:pPr>
      <w:r>
        <w:rPr>
          <w:noProof/>
        </w:rPr>
        <w:t>Въпреки че употребата на хлорпирифос като активно вещество в продукти за растителна защита едва наскоро бе забранена в Съюза, не може да се изключи, че хлорпирифосът все още се произвежда за износ. Освен това, известно е, че хлорпирифосът все още се произвежда, използва и отделя като емисии в други държави. Предвид потенциала на този химикал за разпространение на далечни разстояния в околната среда взетите на национално равнище или на равнището на ЕС мерки не са достатъчни за опазване на високото ниво на защита на околната среда и здравето на човека, поради което са необходими действия в по-широк международен аспект.</w:t>
      </w:r>
    </w:p>
    <w:p>
      <w:pPr>
        <w:pBdr>
          <w:top w:val="nil"/>
          <w:left w:val="nil"/>
          <w:bottom w:val="nil"/>
          <w:right w:val="nil"/>
          <w:between w:val="nil"/>
          <w:bar w:val="nil"/>
        </w:pBdr>
        <w:spacing w:before="0" w:after="240"/>
        <w:rPr>
          <w:rFonts w:eastAsia="Arial Unicode MS"/>
          <w:noProof/>
        </w:rPr>
      </w:pPr>
      <w:r>
        <w:rPr>
          <w:noProof/>
        </w:rPr>
        <w:t>С оглед на следващото заседание на Комитета за преглед на устойчивите органични замърсители през септември 2021 г. е целесъобразно Комисията от името на Съюза да представи на Секретариата на Стокхолмската конвенция предложение за включването на хлорпирифоса в приложение A. Това предложение ще бъде разгледано в съответствие с критериите и процедурите по Конвенцията преди вземането на решение за включване в списъка от Конференцията на страните.</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 Регламент (ЕС) № 2019/1021, с който Стокхолмската конвенция се прилага в Съюза, и допълва прилагането му. То е в пълно съответствие с целта за защита на здравето на човека и на околната среда от устойчивите органични замърсители.</w:t>
      </w:r>
    </w:p>
    <w:p>
      <w:pPr>
        <w:pStyle w:val="ManualHeading2"/>
        <w:rPr>
          <w:rFonts w:eastAsia="Arial Unicode MS"/>
          <w:noProof/>
        </w:rPr>
      </w:pPr>
      <w:r>
        <w:rPr>
          <w:noProof/>
          <w:color w:val="000000"/>
          <w:u w:color="000000"/>
          <w:bdr w:val="nil"/>
        </w:rPr>
        <w:lastRenderedPageBreak/>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 общия подход на Регламент (ЕО) № 1107/2009 и Регламент (ЕС) № 528/2012 по отношение на устойчивите, биоакумулиращи и токсични вещества, тъй като и в двата акта се предвиждат критерии, които не позволяват пускането на пазара и употребата на устойчиви, биоакумулиращи и токсични вещества. За да се гарантира съгласуваност, взаимоотношенията между Стокхолмската конвенция, Регламент (ЕО) № 2019/1021 и Регламент (ЕО) № 1907/2006 по отношение на изискванията за ограничаване и разрешаване са разгледани в документ за консенсус</w:t>
      </w:r>
      <w:r>
        <w:rPr>
          <w:rStyle w:val="FootnoteReference"/>
          <w:rFonts w:eastAsia="Arial Unicode MS"/>
          <w:noProof/>
        </w:rPr>
        <w:footnoteReference w:id="8"/>
      </w:r>
      <w:r>
        <w:rPr>
          <w:noProof/>
        </w:rPr>
        <w:t>.</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noProof/>
        </w:rPr>
      </w:pPr>
      <w:r>
        <w:rPr>
          <w:noProof/>
        </w:rPr>
        <w:t>Процесуалноправното основание за предложеното решение на Съвета е член 218, параграф 9 от ДФЕС, който е подходящото основание за акт, с който се определя позицията на Европейския съюз по отношение на международно споразумение, в настоящия случай — Стокхолмската конвенция.</w:t>
      </w:r>
    </w:p>
    <w:p>
      <w:pPr>
        <w:pBdr>
          <w:top w:val="nil"/>
          <w:left w:val="nil"/>
          <w:bottom w:val="nil"/>
          <w:right w:val="nil"/>
          <w:between w:val="nil"/>
          <w:bar w:val="nil"/>
        </w:pBdr>
        <w:spacing w:before="0" w:after="240"/>
        <w:rPr>
          <w:rFonts w:eastAsia="Arial Unicode MS"/>
          <w:noProof/>
        </w:rPr>
      </w:pPr>
      <w:r>
        <w:rPr>
          <w:noProof/>
        </w:rPr>
        <w:t>Материалноправното основание е член 192, параграф 1 от ДФЕС с оглед на това, че мерките, договаряни по Стокхолмската конвенция, в повечето случаи преследват екологична цел (т.е. елиминирането на устойчивите органични замърсители).</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Устойчивите органични замърсители са проблем в световен мащаб, а Стокхолмската конвенция се прилага в Съюза чрез Регламент (ЕС) 2019/1021. Тъй като Съюзът е страна по Конвенцията, е целесъобразно предложението за нов химикал да бъде направено от Съюза.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Устойчивите органични замърсители са проблем в световен мащаб, а Стокхолмската конвенция има за цел да бъде преустановено производството и употребата им. Поради това е целесъобразно да се предложи включването на посочения химикал в рамките на Конвенцията с цел да се гарантира предприемането на подходящи действия на световно равнище.</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Предложението беше обсъдено с държавите членки и други заинтересовани страни в рамките на 22-то заседание на компетентните органи по Регламент (ЕС) № 2019/1021 и допълнително по време на заседание и чрез размяна на писма от експертната група по УОЗ на Европейската агенция по химикали, като всички получени коментари бяха разгледани.</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Не беше извършена оценка на въздействието. Предложението за включването на този химикал в Конвенцията няма да окаже въздействие, тъй като според данните той не се използва в ЕС. В случай че КПУОЗ заключи, че химикалът представлява устойчив органичен замърсител, той ще направи оценка на въздействието на потенциалните мерки за управление, като вземе предвид социално-икономическата информация.</w:t>
      </w:r>
    </w:p>
    <w:p>
      <w:pPr>
        <w:pStyle w:val="ManualHeading2"/>
        <w:rPr>
          <w:rFonts w:eastAsia="Arial Unicode MS"/>
          <w:noProof/>
          <w:u w:color="000000"/>
          <w:bdr w:val="nil"/>
        </w:rPr>
      </w:pPr>
      <w:r>
        <w:rPr>
          <w:noProof/>
          <w:u w:color="000000"/>
          <w:bdr w:val="nil"/>
        </w:rPr>
        <w:t>•</w:t>
      </w:r>
      <w:r>
        <w:rPr>
          <w:noProof/>
        </w:rPr>
        <w:tab/>
      </w:r>
      <w:r>
        <w:rPr>
          <w:noProof/>
          <w:u w:color="000000"/>
          <w:bdr w:val="nil"/>
        </w:rPr>
        <w:t>Регулаторна пригодност и опростяване</w:t>
      </w:r>
    </w:p>
    <w:p>
      <w:pPr>
        <w:pBdr>
          <w:top w:val="nil"/>
          <w:left w:val="nil"/>
          <w:bottom w:val="nil"/>
          <w:right w:val="nil"/>
          <w:between w:val="nil"/>
          <w:bar w:val="nil"/>
        </w:pBdr>
        <w:spacing w:before="0" w:after="240"/>
        <w:rPr>
          <w:rFonts w:eastAsia="Arial Unicode MS"/>
          <w:noProof/>
        </w:rPr>
      </w:pPr>
      <w:r>
        <w:rPr>
          <w:noProof/>
        </w:rPr>
        <w:t>Предложението не оказва въздействие върху търговската дейност, тъй като химикалът няма търговска употреба в Съюза, поради което микропредприятията не са освободени и не са включени специални правила за МСП. Предложението не оказва въздействие върху секторната конкурентоспособност на ЕС, нито върху търговията, тъй като химикалът не се търгува между Съюза и трети държави.</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Счита се, че няма необходимост от план за изпълнение, нито от мониторинг, оценка и докладване.</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конкретните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С предложението Комисията се оправомощава да предложи веществото хлорпирифос за вписване по Стокхолмската конвенция от името на Европейския съюз.</w:t>
      </w:r>
    </w:p>
    <w:p>
      <w:pPr>
        <w:rPr>
          <w:noProof/>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2021/0026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представянето от името на Европейския съюз на предложение за включването на хлорпирифос в приложение А към Стокхолмската конвенция за устойчивите органични замърсители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192, параграф 1, във връзка с член 218, параграф 9 от него,</w:t>
      </w:r>
    </w:p>
    <w:p>
      <w:pPr>
        <w:rPr>
          <w:noProof/>
        </w:rPr>
      </w:pPr>
      <w:r>
        <w:rPr>
          <w:noProof/>
        </w:rPr>
        <w:t xml:space="preserve">като взе предвид предложението на Европейската комисия, </w:t>
      </w:r>
    </w:p>
    <w:p>
      <w:pPr>
        <w:rPr>
          <w:noProof/>
        </w:rPr>
      </w:pPr>
      <w:r>
        <w:rPr>
          <w:noProof/>
        </w:rPr>
        <w:t>като има предвид, че:</w:t>
      </w:r>
    </w:p>
    <w:p>
      <w:pPr>
        <w:pStyle w:val="ManualConsidrant"/>
        <w:rPr>
          <w:noProof/>
        </w:rPr>
      </w:pPr>
      <w:r>
        <w:t>(1)</w:t>
      </w:r>
      <w:r>
        <w:tab/>
      </w:r>
      <w:r>
        <w:rPr>
          <w:noProof/>
        </w:rPr>
        <w:t>На 14 октомври 2004 г. Европейската общност одобри Стокхолмската конвенция за устойчивите органични замърсители („Конвенцията“) с Решение 2006/507/ЕО на Съвета</w:t>
      </w:r>
      <w:r>
        <w:rPr>
          <w:rStyle w:val="FootnoteReference"/>
          <w:noProof/>
        </w:rPr>
        <w:footnoteReference w:id="9"/>
      </w:r>
    </w:p>
    <w:p>
      <w:pPr>
        <w:pStyle w:val="ManualConsidrant"/>
        <w:rPr>
          <w:noProof/>
        </w:rPr>
      </w:pPr>
      <w:r>
        <w:t>(2)</w:t>
      </w:r>
      <w:r>
        <w:tab/>
      </w:r>
      <w:r>
        <w:rPr>
          <w:noProof/>
        </w:rPr>
        <w:t xml:space="preserve">Като страна по Конвенцията Съюзът може да внася предложения за изменение на приложенията към Конвенцията. В приложение А към Конвенцията се изброяват устойчивите органични замърсители, подлежащи на елиминиране. </w:t>
      </w:r>
    </w:p>
    <w:p>
      <w:pPr>
        <w:pStyle w:val="ManualConsidrant"/>
        <w:rPr>
          <w:noProof/>
        </w:rPr>
      </w:pPr>
      <w:r>
        <w:t>(3)</w:t>
      </w:r>
      <w:r>
        <w:tab/>
      </w:r>
      <w:r>
        <w:rPr>
          <w:noProof/>
        </w:rPr>
        <w:t xml:space="preserve">Според наличната научна информация и докладите за преглед, както и предвид критериите за проверка от приложение Г към Конвенцията, хлорпирифосът проявява характеристики на устойчив органичен замърсител. </w:t>
      </w:r>
    </w:p>
    <w:p>
      <w:pPr>
        <w:pStyle w:val="ManualConsidrant"/>
        <w:rPr>
          <w:noProof/>
        </w:rPr>
      </w:pPr>
      <w:r>
        <w:t>(4)</w:t>
      </w:r>
      <w:r>
        <w:tab/>
      </w:r>
      <w:r>
        <w:rPr>
          <w:noProof/>
        </w:rPr>
        <w:t>Хлорпирифосът не е одобрен като активно вещество в съответствие с Регламент (ЕО) № 1107/2009 на Европейския парламент и на Съвета</w:t>
      </w:r>
      <w:r>
        <w:rPr>
          <w:rStyle w:val="FootnoteReference"/>
          <w:noProof/>
        </w:rPr>
        <w:footnoteReference w:id="10"/>
      </w:r>
      <w:r>
        <w:rPr>
          <w:noProof/>
        </w:rPr>
        <w:t xml:space="preserve"> и поради това не може да бъде пускан на пазара или използван в Съюза в продукти за растителна защита. Хлорпирифосът не е одобрен и като активно вещество в съответствие с Регламент (ЕС) № 528/2012 на Европейския парламент и на Съвета</w:t>
      </w:r>
      <w:r>
        <w:rPr>
          <w:rStyle w:val="FootnoteReference"/>
          <w:noProof/>
        </w:rPr>
        <w:footnoteReference w:id="11"/>
      </w:r>
      <w:r>
        <w:rPr>
          <w:noProof/>
        </w:rPr>
        <w:t xml:space="preserve"> и поради това не може да бъде пускан на пазара или използван в Съюза в биоциди. Освен това хлорпирифосът не е регистриран за никакъв друг вид употреба в съответствие с Регламент (ЕО) № 1907/2006 на Европейския парламент и на Съвета</w:t>
      </w:r>
      <w:r>
        <w:rPr>
          <w:rStyle w:val="FootnoteReference"/>
          <w:noProof/>
          <w:lang w:eastAsia="en-GB"/>
        </w:rPr>
        <w:footnoteReference w:id="12"/>
      </w:r>
      <w:r>
        <w:rPr>
          <w:noProof/>
        </w:rPr>
        <w:t xml:space="preserve"> и следователно не е разрешено да се произвежда или пуска на пазара в </w:t>
      </w:r>
      <w:r>
        <w:rPr>
          <w:noProof/>
        </w:rPr>
        <w:lastRenderedPageBreak/>
        <w:t>Съюза в количества от един тон или повече на година за един производител или вносител.</w:t>
      </w:r>
    </w:p>
    <w:p>
      <w:pPr>
        <w:pStyle w:val="ManualConsidrant"/>
        <w:rPr>
          <w:noProof/>
        </w:rPr>
      </w:pPr>
      <w:r>
        <w:t>(5)</w:t>
      </w:r>
      <w:r>
        <w:tab/>
      </w:r>
      <w:r>
        <w:rPr>
          <w:noProof/>
        </w:rPr>
        <w:t>Въпреки че употребата на хлорпирифос беше преустановена в Съюза, той все още се използва като пестицид и бива разпръскван в околната среда извън Съюза. Предвид потенциала на хлорпирифоса за разпространение на далечни разстояния в околната среда мерките, взети на национално равнище, и мерките на равнището на Съюза не са достатъчни за опазване на високо ниво на защита на околната среда и здравето на човека, поради което са необходими действия в по-широк международен аспект.</w:t>
      </w:r>
    </w:p>
    <w:p>
      <w:pPr>
        <w:pStyle w:val="ManualConsidrant"/>
        <w:rPr>
          <w:noProof/>
        </w:rPr>
      </w:pPr>
      <w:r>
        <w:t>(6)</w:t>
      </w:r>
      <w:r>
        <w:tab/>
      </w:r>
      <w:r>
        <w:rPr>
          <w:noProof/>
        </w:rPr>
        <w:t>Поради това Съюзът следва да представи на Секретариата на Конвенцията предложение за включване на веществото хлорпирифос в приложение А към Конвенцията,</w:t>
      </w:r>
    </w:p>
    <w:p>
      <w:pPr>
        <w:pStyle w:val="Formuledadoption"/>
        <w:rPr>
          <w:noProof/>
        </w:rPr>
      </w:pPr>
      <w:r>
        <w:rPr>
          <w:noProof/>
        </w:rPr>
        <w:t xml:space="preserve">ПРИЕ НАСТОЯЩОТО РЕШЕНИЕ: </w:t>
      </w:r>
    </w:p>
    <w:p>
      <w:pPr>
        <w:pStyle w:val="Titrearticle"/>
        <w:rPr>
          <w:noProof/>
        </w:rPr>
      </w:pPr>
      <w:r>
        <w:rPr>
          <w:noProof/>
        </w:rPr>
        <w:t>Член 1</w:t>
      </w:r>
    </w:p>
    <w:p>
      <w:pPr>
        <w:outlineLvl w:val="0"/>
        <w:rPr>
          <w:rFonts w:eastAsia="Calibri"/>
          <w:noProof/>
          <w:szCs w:val="24"/>
        </w:rPr>
      </w:pPr>
      <w:r>
        <w:rPr>
          <w:noProof/>
        </w:rPr>
        <w:t>Съюзът представя предложение за включването на хлорпирифос (CAS №: 2921-88-2, ЕО № 220-864-4) в приложение А към Стокхолмската конвенция за устойчивите органични замърсители („Конвенцията“).</w:t>
      </w:r>
    </w:p>
    <w:p>
      <w:pPr>
        <w:outlineLvl w:val="0"/>
        <w:rPr>
          <w:rFonts w:eastAsia="Calibri"/>
          <w:noProof/>
          <w:szCs w:val="24"/>
        </w:rPr>
      </w:pPr>
      <w:r>
        <w:rPr>
          <w:noProof/>
        </w:rPr>
        <w:t>Комисията предава предложението от името на Съюза на Секретариата на Конвенцията заедно с цялата информация, която се изисква съгласно приложение Г към нея.</w:t>
      </w:r>
    </w:p>
    <w:p>
      <w:pPr>
        <w:pStyle w:val="Titrearticle"/>
        <w:keepNext w:val="0"/>
        <w:rPr>
          <w:noProof/>
        </w:rPr>
      </w:pPr>
      <w:r>
        <w:rPr>
          <w:noProof/>
        </w:rPr>
        <w:t>Член 2</w:t>
      </w:r>
    </w:p>
    <w:p>
      <w:pPr>
        <w:rPr>
          <w:noProof/>
          <w:color w:val="000000"/>
        </w:rPr>
      </w:pPr>
      <w:r>
        <w:rPr>
          <w:noProof/>
          <w:color w:val="000000"/>
        </w:rPr>
        <w:t>Адресат на настоящото решение е Комисията.</w:t>
      </w:r>
    </w:p>
    <w:p>
      <w:pPr>
        <w:outlineLvl w:val="0"/>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Решение 2006/507/ЕО на Съвета от 14 октомври 2004 г. за сключване от името на Европейската общност на Стокхолмската конвенция за устойчивите органични замърсители (ОВ L 209, 31.7.2006 г., стр. 1).</w:t>
      </w:r>
    </w:p>
  </w:footnote>
  <w:footnote w:id="3">
    <w:p>
      <w:pPr>
        <w:pStyle w:val="FootnoteText"/>
      </w:pPr>
      <w:r>
        <w:rPr>
          <w:rStyle w:val="FootnoteReference"/>
        </w:rPr>
        <w:footnoteRef/>
      </w:r>
      <w:r>
        <w:tab/>
        <w:t>Регламент (ЕС) 2019/1021 на Европейския парламент и на Съвета от 20 юни 2019 г. относно устойчивите органични замърсители (ОВ L 169, 25.6.2019 г., стр. 45).</w:t>
      </w:r>
    </w:p>
  </w:footnote>
  <w:footnote w:id="4">
    <w:p>
      <w:pPr>
        <w:pStyle w:val="FootnoteText"/>
      </w:pPr>
      <w:r>
        <w:rPr>
          <w:rStyle w:val="FootnoteReference"/>
        </w:rPr>
        <w:footnoteRef/>
      </w:r>
      <w:r>
        <w:tab/>
        <w:t>Решение 2004/259/ЕО на Съвета от 19 февруари 2004 г. относно сключването от името на Европейската общност на Протокола за устойчивите органични замърсители към Конвенцията от 1979 година за трансгранично замърсяване на въздуха на далечни разстояния (ОВ L 81, 19.3.2004 г., стр. 35).</w:t>
      </w:r>
    </w:p>
  </w:footnote>
  <w:footnote w:id="5">
    <w:p>
      <w:pPr>
        <w:pStyle w:val="FootnoteText"/>
      </w:pPr>
      <w:r>
        <w:rPr>
          <w:rStyle w:val="FootnoteReference"/>
        </w:rPr>
        <w:footnoteRef/>
      </w:r>
      <w:r>
        <w:tab/>
        <w:t>Регламент (ЕО) № 1107/2009 на Европейския парламент и на Съвета от 21 октомври 2009 г. относно пускането на пазара на продукти за растителна защита и за отмяна на директиви 79/117/ЕИО и 91/414/ЕИО на Съвета (ОВ L 309, 24.11.2009 г., стр. 1).</w:t>
      </w:r>
    </w:p>
  </w:footnote>
  <w:footnote w:id="6">
    <w:p>
      <w:pPr>
        <w:pStyle w:val="FootnoteText"/>
      </w:pPr>
      <w:r>
        <w:rPr>
          <w:rStyle w:val="FootnoteReference"/>
        </w:rPr>
        <w:footnoteRef/>
      </w:r>
      <w:r>
        <w:tab/>
        <w:t>Регламент (ЕС) № 528/2012 на Европейския парламент и на Съвета от 22 май 2012 г. относно предоставянето на пазара и употребата на биоциди (ОВ L 167, 27.6.2012 г., стр. 1).</w:t>
      </w:r>
    </w:p>
  </w:footnote>
  <w:footnote w:id="7">
    <w:p>
      <w:pPr>
        <w:pStyle w:val="FootnoteText"/>
      </w:pPr>
      <w:r>
        <w:rPr>
          <w:rStyle w:val="FootnoteReference"/>
        </w:rPr>
        <w:footnoteRef/>
      </w:r>
      <w:r>
        <w:tab/>
        <w:t>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 (ОВ L 396, 30.12.2006 г., стр. 1).</w:t>
      </w:r>
    </w:p>
  </w:footnote>
  <w:footnote w:id="8">
    <w:p>
      <w:pPr>
        <w:pStyle w:val="FootnoteText"/>
      </w:pPr>
      <w:r>
        <w:rPr>
          <w:rStyle w:val="FootnoteReference"/>
        </w:rPr>
        <w:footnoteRef/>
      </w:r>
      <w:r>
        <w:tab/>
      </w:r>
      <w:hyperlink r:id="rId1" w:history="1">
        <w:r>
          <w:rPr>
            <w:rStyle w:val="Hyperlink"/>
          </w:rPr>
          <w:t>http://ec.europa.eu/growth/sectors/chemicals/reach/special-cases_en</w:t>
        </w:r>
      </w:hyperlink>
      <w:r>
        <w:t xml:space="preserve"> </w:t>
      </w:r>
    </w:p>
  </w:footnote>
  <w:footnote w:id="9">
    <w:p>
      <w:pPr>
        <w:pStyle w:val="FootnoteText"/>
      </w:pPr>
      <w:r>
        <w:rPr>
          <w:rStyle w:val="FootnoteReference"/>
        </w:rPr>
        <w:footnoteRef/>
      </w:r>
      <w:r>
        <w:tab/>
        <w:t>Решение 2006/507/ЕО на Съвета от 14 октомври 2004 г. за сключване от името на Европейската общност на Стокхолмската конвенция за устойчивите органични замърсители (ОВ L 209, 31.7.2006 г., стр. 1).</w:t>
      </w:r>
    </w:p>
  </w:footnote>
  <w:footnote w:id="10">
    <w:p>
      <w:pPr>
        <w:pStyle w:val="FootnoteText"/>
      </w:pPr>
      <w:r>
        <w:rPr>
          <w:rStyle w:val="FootnoteReference"/>
        </w:rPr>
        <w:footnoteRef/>
      </w:r>
      <w:r>
        <w:tab/>
        <w:t>Регламент (ЕО) № 1107/2009 на Европейския парламент и на Съвета от 21 октомври 2009 г. относно пускането на пазара на продукти за растителна защита и за отмяна на директиви 79/117/ЕИО и 91/414/ЕИО на Съвета (ОВ L 309, 24.11.2009 г., стр. 1).</w:t>
      </w:r>
    </w:p>
  </w:footnote>
  <w:footnote w:id="11">
    <w:p>
      <w:pPr>
        <w:pStyle w:val="FootnoteText"/>
      </w:pPr>
      <w:r>
        <w:rPr>
          <w:rStyle w:val="FootnoteReference"/>
        </w:rPr>
        <w:footnoteRef/>
      </w:r>
      <w:r>
        <w:tab/>
        <w:t>Регламент (ЕС) № 528/2012 на Европейския парламент и на Съвета от 22 май 2012 г. относно предоставянето на пазара и употребата на биоциди (ОВ L 167, 27.6.2012 г., стр. 1).</w:t>
      </w:r>
    </w:p>
  </w:footnote>
  <w:footnote w:id="12">
    <w:p>
      <w:pPr>
        <w:pStyle w:val="FootnoteText"/>
      </w:pPr>
      <w:r>
        <w:rPr>
          <w:rStyle w:val="FootnoteReference"/>
        </w:rPr>
        <w:footnoteRef/>
      </w:r>
      <w:r>
        <w:tab/>
        <w:t>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 (ОВ L 396, 30.12.2006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163B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7AC4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1A04C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39625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24E14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2247B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A85850"/>
    <w:lvl w:ilvl="0">
      <w:start w:val="1"/>
      <w:numFmt w:val="decimal"/>
      <w:pStyle w:val="ListNumber"/>
      <w:lvlText w:val="%1."/>
      <w:lvlJc w:val="left"/>
      <w:pPr>
        <w:tabs>
          <w:tab w:val="num" w:pos="360"/>
        </w:tabs>
        <w:ind w:left="360" w:hanging="360"/>
      </w:pPr>
    </w:lvl>
  </w:abstractNum>
  <w:abstractNum w:abstractNumId="7">
    <w:nsid w:val="FFFFFF89"/>
    <w:multiLevelType w:val="singleLevel"/>
    <w:tmpl w:val="C8E6A6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2-01 09:19:4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9585A8B-3D4D-4912-9828-238A776C3083"/>
    <w:docVar w:name="LW_COVERPAGE_TYPE" w:val="1"/>
    <w:docVar w:name="LW_CROSSREFERENCE" w:val="&lt;UNUSED&gt;"/>
    <w:docVar w:name="LW_DocType" w:val="COM"/>
    <w:docVar w:name="LW_EMISSION" w:val="9.2.2021"/>
    <w:docVar w:name="LW_EMISSION_ISODATE" w:val="2021-02-09"/>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26"/>
    <w:docVar w:name="LW_REF.II.NEW.CP_YEAR" w:val="2021"/>
    <w:docVar w:name="LW_REF.INST.NEW" w:val="COM"/>
    <w:docVar w:name="LW_REF.INST.NEW_ADOPTED" w:val="final"/>
    <w:docVar w:name="LW_REF.INST.NEW_TEXT" w:val="(2021) 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7?\u1088?\u1077?\u1076?\u1089?\u1090?\u1072?\u1074?\u1103?\u1085?\u1077?\u1090?\u1086? \u1086?\u1090? \u1080?\u1084?\u1077?\u1090?\u1086? \u1085?\u1072? \u1045?\u1074?\u1088?\u1086?\u1087?\u1077?\u1081?\u1089?\u1082?\u1080?\u1103? \u1089?\u1098?\u1102?\u1079? \u1085?\u1072? \u1087?\u1088?\u1077?\u1076?\u1083?\u1086?\u1078?\u1077?\u1085?\u1080?\u1077? \u1079?\u1072? \u1074?\u1082?\u1083?\u1102?\u1095?\u1074?\u1072?\u1085?\u1077?\u1090?\u1086? \u1085?\u1072? \u1093?\u1083?\u1086?\u1088?\u1087?\u1080?\u1088?\u1080?\u1092?\u1086?\u1089? \u1074? \u1087?\u1088?\u1080?\u1083?\u1086?\u1078?\u1077?\u1085?\u1080?\u1077? \u1040? \u1082?\u1098?\u1084? \u1057?\u1090?\u1086?\u1082?\u1093?\u1086?\u1083?\u1084?\u1089?\u1082?\u1072?\u1090?\u1072? \u1082?\u1086?\u1085?\u1074?\u1077?\u1085?\u1094?\u1080?\u1103? \u1079?\u1072? \u1091?\u1089?\u1090?\u1086?\u1081?\u1095?\u1080?\u1074?\u1080?\u1090?\u1077? \u1086?\u1088?\u1075?\u1072?\u1085?\u1080?\u1095?\u1085?\u1080? \u1079?\u1072?\u1084?\u1098?\u1088?\u1089?\u1080?\u1090?\u1077?\u1083?\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6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growth/sectors/chemicals/reach/special-case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A122FE7-87E7-4665-BB3B-8011D8C5E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1649</Words>
  <Characters>9664</Characters>
  <Application>Microsoft Office Word</Application>
  <DocSecurity>0</DocSecurity>
  <Lines>185</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2018-04-16T08:53:00Z</cp:lastPrinted>
  <dcterms:created xsi:type="dcterms:W3CDTF">2021-01-05T13:07:00Z</dcterms:created>
  <dcterms:modified xsi:type="dcterms:W3CDTF">2021-02-01T08:19:00Z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