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7F20825-F8A6-4C59-8DFD-9B263CC63003"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1</w:t>
      </w:r>
    </w:p>
    <w:p>
      <w:pPr>
        <w:pStyle w:val="Header"/>
        <w:jc w:val="center"/>
        <w:rPr>
          <w:b/>
          <w:noProof/>
        </w:rPr>
      </w:pPr>
      <w:r>
        <w:rPr>
          <w:noProof/>
        </w:rPr>
        <w:t xml:space="preserve">The position to be taken on the Union’s behalf </w:t>
      </w:r>
      <w:r>
        <w:rPr>
          <w:noProof/>
          <w:szCs w:val="24"/>
        </w:rPr>
        <w:t>in</w:t>
      </w:r>
      <w:r>
        <w:rPr>
          <w:noProof/>
          <w:lang w:eastAsia="en-GB"/>
        </w:rPr>
        <w:t xml:space="preserve"> the consultations with the United Kingdom for establishing total allowable catches (TACs) for shared stocks for the year 2021 and for certain deep-sea stocks for the years 2021-2022</w:t>
      </w:r>
    </w:p>
    <w:p>
      <w:pPr>
        <w:pStyle w:val="Heading1"/>
        <w:numPr>
          <w:ilvl w:val="0"/>
          <w:numId w:val="5"/>
        </w:numPr>
        <w:rPr>
          <w:noProof/>
        </w:rPr>
      </w:pPr>
      <w:r>
        <w:rPr>
          <w:noProof/>
        </w:rPr>
        <w:t>Principles</w:t>
      </w:r>
    </w:p>
    <w:p>
      <w:pPr>
        <w:rPr>
          <w:noProof/>
        </w:rPr>
      </w:pPr>
      <w:r>
        <w:rPr>
          <w:noProof/>
        </w:rPr>
        <w:t>In the framework of the consultations with the United Kingdom, the Union shall:</w:t>
      </w:r>
    </w:p>
    <w:p>
      <w:pPr>
        <w:pStyle w:val="Point0letter"/>
        <w:numPr>
          <w:ilvl w:val="1"/>
          <w:numId w:val="11"/>
        </w:numPr>
        <w:rPr>
          <w:noProof/>
        </w:rPr>
      </w:pPr>
      <w:r>
        <w:rPr>
          <w:noProof/>
        </w:rPr>
        <w:t>Seek to ensure that the TACs agreed are consistent with international law, and in particular with the provisions of the 1982 United Nation (‘UN’) Convention on the Law of the Sea, the 1995 UN Agreement relating to the Conservation and Management of Straddling Fish Stocks and Highly Migratory Fish Stocks;</w:t>
      </w:r>
    </w:p>
    <w:p>
      <w:pPr>
        <w:pStyle w:val="Point0letter"/>
        <w:rPr>
          <w:noProof/>
        </w:rPr>
      </w:pPr>
      <w:r>
        <w:rPr>
          <w:noProof/>
        </w:rPr>
        <w:t>Seek to ensure that the Union's international commitments are respected;</w:t>
      </w:r>
    </w:p>
    <w:p>
      <w:pPr>
        <w:pStyle w:val="Point0letter"/>
        <w:rPr>
          <w:noProof/>
        </w:rPr>
      </w:pPr>
      <w:r>
        <w:rPr>
          <w:noProof/>
        </w:rPr>
        <w:t>Seek consistency and synergy with the policy that the Union is pursuing as part of its bilateral fisheries relations with third countries, and ensure coherence with its other policies notably in the field of external relations, employment, environment, trade, development, research and innovation;</w:t>
      </w:r>
    </w:p>
    <w:p>
      <w:pPr>
        <w:pStyle w:val="Point0letter"/>
        <w:rPr>
          <w:noProof/>
        </w:rPr>
      </w:pPr>
      <w:r>
        <w:rPr>
          <w:noProof/>
        </w:rPr>
        <w:t>Seek that total allowable catches are jointly determined in line with the core conservation objective of the Common Fisheries Policy, maximum sustainable yield (MSY) and the applicable Multiannual Plans);</w:t>
      </w:r>
    </w:p>
    <w:p>
      <w:pPr>
        <w:pStyle w:val="Point0letter"/>
        <w:rPr>
          <w:noProof/>
        </w:rPr>
      </w:pPr>
      <w:r>
        <w:rPr>
          <w:noProof/>
        </w:rPr>
        <w:t>Seek alignment with the Council Conclusions of 19 March 2012 on the Commission Communication on the external dimension of the common fisheries policy</w:t>
      </w:r>
      <w:r>
        <w:rPr>
          <w:rStyle w:val="FootnoteReference"/>
          <w:noProof/>
        </w:rPr>
        <w:footnoteReference w:id="1"/>
      </w:r>
      <w:r>
        <w:rPr>
          <w:noProof/>
        </w:rPr>
        <w:t>;</w:t>
      </w:r>
    </w:p>
    <w:p>
      <w:pPr>
        <w:pStyle w:val="Point0letter"/>
        <w:rPr>
          <w:noProof/>
          <w:szCs w:val="24"/>
        </w:rPr>
      </w:pPr>
      <w:r>
        <w:rPr>
          <w:noProof/>
          <w:szCs w:val="24"/>
        </w:rPr>
        <w:t>Seek consistency with the Commission Communication: Towards more sustainable fishing in the EU: state of play and orientations for 2021 (COM/2020/248 final)</w:t>
      </w:r>
      <w:r>
        <w:rPr>
          <w:rStyle w:val="FootnoteReference"/>
          <w:noProof/>
          <w:szCs w:val="24"/>
        </w:rPr>
        <w:footnoteReference w:id="2"/>
      </w:r>
      <w:r>
        <w:rPr>
          <w:noProof/>
          <w:szCs w:val="24"/>
        </w:rPr>
        <w:t>;</w:t>
      </w:r>
    </w:p>
    <w:p>
      <w:pPr>
        <w:pStyle w:val="Point0letter"/>
        <w:rPr>
          <w:noProof/>
        </w:rPr>
      </w:pPr>
      <w:r>
        <w:rPr>
          <w:noProof/>
        </w:rPr>
        <w:t>Aim to ensure a level playing field for the Union fleet based on the same principles and standards as those applicable under Union law, and to promote the uniform implementation of those principles and standards;</w:t>
      </w:r>
    </w:p>
    <w:p>
      <w:pPr>
        <w:pStyle w:val="Point0letter"/>
        <w:rPr>
          <w:noProof/>
        </w:rPr>
      </w:pPr>
      <w:r>
        <w:rPr>
          <w:noProof/>
        </w:rPr>
        <w:t>seek to establish timelines for the annual consutlations for fishing opportunities in 2021.</w:t>
      </w:r>
    </w:p>
    <w:p>
      <w:pPr>
        <w:pStyle w:val="Heading1"/>
        <w:rPr>
          <w:noProof/>
        </w:rPr>
      </w:pPr>
      <w:r>
        <w:rPr>
          <w:noProof/>
        </w:rPr>
        <w:t>Orientations</w:t>
      </w:r>
    </w:p>
    <w:p>
      <w:pPr>
        <w:rPr>
          <w:noProof/>
        </w:rPr>
      </w:pPr>
      <w:r>
        <w:rPr>
          <w:noProof/>
        </w:rPr>
        <w:t xml:space="preserve">The Union shall, where appropriate, endeavour to reach agreement with the United Kingdom for the fishing opportunities (TACs and their intrinsically linked measures) for 2021 and for 2021 and 2022 for certain deep-sea stocks, based on the following approach. </w:t>
      </w:r>
    </w:p>
    <w:p>
      <w:pPr>
        <w:rPr>
          <w:noProof/>
        </w:rPr>
      </w:pPr>
      <w:r>
        <w:rPr>
          <w:noProof/>
        </w:rPr>
        <w:t>The Union shall, where necessary, consider how for individual cases or issues a specific approach may need to be developed while delivering results that contribute to the overall objective of sustainable management of the fisheries and marine biological resources in correspondence with the objectives of the CFP. In doing so, the Commission will work closely with the Council during consultations for the further development of the approach, which contributes to the objectives of the CFP and which delivers sustainable fisheries in its three dimensions (environmental, economic and social):</w:t>
      </w:r>
    </w:p>
    <w:p>
      <w:pPr>
        <w:pStyle w:val="Point0letter"/>
        <w:numPr>
          <w:ilvl w:val="1"/>
          <w:numId w:val="10"/>
        </w:numPr>
        <w:rPr>
          <w:noProof/>
        </w:rPr>
      </w:pPr>
      <w:r>
        <w:rPr>
          <w:noProof/>
        </w:rPr>
        <w:t xml:space="preserve">seek to set TACs on the basis of the best available scientific advice, </w:t>
      </w:r>
      <w:r>
        <w:rPr>
          <w:noProof/>
          <w:lang w:val="en-IE"/>
        </w:rPr>
        <w:t>which would bring or maintain the achievement of the maximum sustainable yield exploitation rate,</w:t>
      </w:r>
      <w:r>
        <w:rPr>
          <w:noProof/>
        </w:rPr>
        <w:t xml:space="preserve"> and, where such advice is not available under the principle of precautionary approach to fisheries;</w:t>
      </w:r>
    </w:p>
    <w:p>
      <w:pPr>
        <w:pStyle w:val="Bullet1"/>
        <w:numPr>
          <w:ilvl w:val="0"/>
          <w:numId w:val="12"/>
        </w:numPr>
        <w:rPr>
          <w:noProof/>
        </w:rPr>
      </w:pPr>
      <w:r>
        <w:rPr>
          <w:noProof/>
        </w:rPr>
        <w:t>for TACs for western Channel herring, plaice and sole West of Scotland, saithe in western waters, no scientific advice from the International Council for the Exploration of the Sea (ICES) was received. Therefore,  the Union should seek a roll-over of the TAC for 2020, as no risk of overexploitation was identified.</w:t>
      </w:r>
    </w:p>
    <w:p>
      <w:pPr>
        <w:pStyle w:val="Bullet1"/>
        <w:rPr>
          <w:noProof/>
        </w:rPr>
      </w:pPr>
      <w:r>
        <w:rPr>
          <w:noProof/>
        </w:rPr>
        <w:t xml:space="preserve">For the TAC of lemon sole and witch, of turbot and brill, of sandeel and of </w:t>
      </w:r>
      <w:r>
        <w:rPr>
          <w:i/>
          <w:noProof/>
        </w:rPr>
        <w:t>nephrops,</w:t>
      </w:r>
      <w:r>
        <w:rPr>
          <w:noProof/>
        </w:rPr>
        <w:t xml:space="preserve"> there is a mismatch between the ICES advice area and the management area. Some TACs are composed of more than one species, while other advice assesses different stocks of the same species covered in one TAC. For these TACs, the Union should seek a combination of different best available advices, including where advice combines MSY and precautionary advice, similar to earlier years.</w:t>
      </w:r>
    </w:p>
    <w:p>
      <w:pPr>
        <w:pStyle w:val="Point0letter"/>
        <w:rPr>
          <w:noProof/>
        </w:rPr>
      </w:pPr>
      <w:r>
        <w:rPr>
          <w:noProof/>
        </w:rPr>
        <w:t>seek TAC levels in accordance with the CFP MSY objective and the applicable  multiannual plans for 27 TACs with MSY assessment and F</w:t>
      </w:r>
      <w:r>
        <w:rPr>
          <w:smallCaps/>
          <w:noProof/>
          <w:vertAlign w:val="subscript"/>
        </w:rPr>
        <w:t>MSY</w:t>
      </w:r>
      <w:r>
        <w:rPr>
          <w:noProof/>
        </w:rPr>
        <w:t xml:space="preserve"> advice; </w:t>
      </w:r>
    </w:p>
    <w:p>
      <w:pPr>
        <w:pStyle w:val="Bullet1"/>
        <w:rPr>
          <w:noProof/>
        </w:rPr>
      </w:pPr>
      <w:r>
        <w:rPr>
          <w:noProof/>
        </w:rPr>
        <w:t>Where the multiannual plans allow for the use of the F</w:t>
      </w:r>
      <w:r>
        <w:rPr>
          <w:smallCaps/>
          <w:noProof/>
          <w:vertAlign w:val="subscript"/>
        </w:rPr>
        <w:t>MSY</w:t>
      </w:r>
      <w:r>
        <w:rPr>
          <w:noProof/>
        </w:rPr>
        <w:t xml:space="preserve"> ranges as provided by ICES, the Union should seek to make use of these provisions, if the conditions set out in the multiannual plans are fulfilled, seeking the optimum level in light of the quantitative and qualitative elements in the advice.</w:t>
      </w:r>
    </w:p>
    <w:p>
      <w:pPr>
        <w:pStyle w:val="Bullet1"/>
        <w:rPr>
          <w:noProof/>
        </w:rPr>
      </w:pPr>
      <w:r>
        <w:rPr>
          <w:noProof/>
        </w:rPr>
        <w:t xml:space="preserve">The Union should seek to take into account the difficulty of fishing all stocks in a mixed fishery at the MSY level at the same time, and in particular where it is very difficult to avoid the phenomenon of choke species. This is the case for the following TACs: </w:t>
      </w:r>
    </w:p>
    <w:p>
      <w:pPr>
        <w:pStyle w:val="Bullet2"/>
        <w:numPr>
          <w:ilvl w:val="0"/>
          <w:numId w:val="13"/>
        </w:numPr>
        <w:rPr>
          <w:noProof/>
        </w:rPr>
      </w:pPr>
      <w:r>
        <w:rPr>
          <w:noProof/>
        </w:rPr>
        <w:t xml:space="preserve">Celtic Sea cod (0 TAC advice). This stock is assessed below the limit value for reproduction, and neither fishing at </w:t>
      </w:r>
      <w:r>
        <w:rPr>
          <w:noProof/>
          <w:szCs w:val="24"/>
        </w:rPr>
        <w:t>F</w:t>
      </w:r>
      <w:r>
        <w:rPr>
          <w:smallCaps/>
          <w:noProof/>
          <w:szCs w:val="24"/>
          <w:vertAlign w:val="subscript"/>
        </w:rPr>
        <w:t>MSY</w:t>
      </w:r>
      <w:r>
        <w:rPr>
          <w:noProof/>
        </w:rPr>
        <w:t xml:space="preserve"> levels, nor 0 catches in 2021 would sufficiently contribute to the return of the stock to above the limit value in 2022. The Union should seek the creation of a by-catch TAC at levels that would avoid the choking of the fishery for other species, while respecting the need for further protection of this vulnerable Stock. Whiting in the Celtic Sea is also below the limit value, but fishing in the lower part of the </w:t>
      </w:r>
      <w:r>
        <w:rPr>
          <w:noProof/>
          <w:szCs w:val="24"/>
        </w:rPr>
        <w:t>F</w:t>
      </w:r>
      <w:r>
        <w:rPr>
          <w:smallCaps/>
          <w:noProof/>
          <w:szCs w:val="24"/>
          <w:vertAlign w:val="subscript"/>
        </w:rPr>
        <w:t>MSY</w:t>
      </w:r>
      <w:r>
        <w:rPr>
          <w:noProof/>
        </w:rPr>
        <w:t xml:space="preserve"> range will bring the stock back to levels above the minimum. Given the need to keep the fishing pressure on these two stocks reduced, the TAC for haddock should be agreed in the lower parts of the fishing mortality related to MSY, possibly through a roll-over of the TAC for 2020. </w:t>
      </w:r>
    </w:p>
    <w:p>
      <w:pPr>
        <w:pStyle w:val="Bullet2"/>
        <w:rPr>
          <w:noProof/>
        </w:rPr>
      </w:pPr>
      <w:r>
        <w:rPr>
          <w:noProof/>
        </w:rPr>
        <w:t xml:space="preserve">The Union will seek to accompany the TAC level with </w:t>
      </w:r>
      <w:r>
        <w:rPr>
          <w:i/>
          <w:noProof/>
        </w:rPr>
        <w:t>remedial measures</w:t>
      </w:r>
      <w:r>
        <w:rPr>
          <w:noProof/>
        </w:rPr>
        <w:t>, as developed under the regionalisation and submitted by Member States as joint recommendations for implementation in 2021.</w:t>
      </w:r>
    </w:p>
    <w:p>
      <w:pPr>
        <w:pStyle w:val="Bullet2"/>
        <w:rPr>
          <w:noProof/>
        </w:rPr>
      </w:pPr>
      <w:r>
        <w:rPr>
          <w:noProof/>
        </w:rPr>
        <w:t xml:space="preserve">Both herring with 0 TAC advice (7ghk – MSY advice, and 5b6b6aN – precautionary advice) have been kept at low levels of fishing in the past, with fishing limited to levels that support the further scientific assessment.  The Union should seek continuation of this approach with scientific/sentinel TACs at levels corresponding to past years. </w:t>
      </w:r>
    </w:p>
    <w:p>
      <w:pPr>
        <w:pStyle w:val="Point0letter"/>
        <w:rPr>
          <w:noProof/>
        </w:rPr>
      </w:pPr>
      <w:r>
        <w:rPr>
          <w:noProof/>
        </w:rPr>
        <w:t>seek agreement based on the precautionary approach corresponding headline advice in the ICES advice sheet for</w:t>
      </w:r>
      <w:r>
        <w:rPr>
          <w:b/>
          <w:noProof/>
        </w:rPr>
        <w:t xml:space="preserve"> </w:t>
      </w:r>
      <w:r>
        <w:rPr>
          <w:noProof/>
        </w:rPr>
        <w:t xml:space="preserve">43 TACs with precautionary advice; </w:t>
      </w:r>
    </w:p>
    <w:p>
      <w:pPr>
        <w:pStyle w:val="Bullet1"/>
        <w:rPr>
          <w:noProof/>
        </w:rPr>
      </w:pPr>
      <w:r>
        <w:rPr>
          <w:noProof/>
        </w:rPr>
        <w:t>Precautionary advice is given mostly for by-catch stocks (under multiannual plans). There are some target stocks (under the multiannual plans) where ICES has not been able to provide MSY assessment. These TACs should also be agreed upon based on the precautionary advice.</w:t>
      </w:r>
    </w:p>
    <w:p>
      <w:pPr>
        <w:pStyle w:val="Bullet1"/>
        <w:rPr>
          <w:noProof/>
        </w:rPr>
      </w:pPr>
      <w:r>
        <w:rPr>
          <w:noProof/>
        </w:rPr>
        <w:t xml:space="preserve">A limited number of TACs receive multiannual precautionary advice (e.g. boarfish, ling in the North Sea and ling in the Western waters).  For these TACs, the Union should seek stability of the TACs for the corresponding years. Given the very low uptake in the corresponding fisheries, the Union could agree to a low TAC (below the ICES advice) for three TACs for tusk (North Sea, areas 5/6/7, and areas 1/2/14). </w:t>
      </w:r>
    </w:p>
    <w:p>
      <w:pPr>
        <w:pStyle w:val="Bullet1"/>
        <w:rPr>
          <w:noProof/>
        </w:rPr>
      </w:pPr>
      <w:r>
        <w:rPr>
          <w:noProof/>
        </w:rPr>
        <w:t>West of Scotland cod (0 TAC advice). This stock is in a similar state as the Celtic sea stock. A by-catch TAC is justified here to avoid choking of the fisheries, mainly haddock. To keep the fishing pressure in the fishery reduced, the haddock TAC West of Scotland (MSY advice) should be agreed along the lines of the approach to haddock in the Celtic Sea, in the lower part of the FMSY fishing mortality range, possibly through a roll over.</w:t>
      </w:r>
    </w:p>
    <w:p>
      <w:pPr>
        <w:pStyle w:val="Point0letter"/>
        <w:rPr>
          <w:noProof/>
        </w:rPr>
      </w:pPr>
      <w:r>
        <w:rPr>
          <w:noProof/>
        </w:rPr>
        <w:t xml:space="preserve">seek coonsistency with the Union’s specific approach in particular in relation to picked dogfish, greater silver smelt and the European eel stock; </w:t>
      </w:r>
    </w:p>
    <w:p>
      <w:pPr>
        <w:pStyle w:val="Point0letter"/>
        <w:rPr>
          <w:noProof/>
        </w:rPr>
      </w:pPr>
      <w:r>
        <w:rPr>
          <w:noProof/>
        </w:rPr>
        <w:t xml:space="preserve">seek confirmation and prolongation of the list of prohibited species, as developed over time and based on scientific advice, namely the general prohibition for the fisheries on deep-sea sharks;  </w:t>
      </w:r>
    </w:p>
    <w:p>
      <w:pPr>
        <w:pStyle w:val="Point0letter"/>
        <w:rPr>
          <w:noProof/>
        </w:rPr>
      </w:pPr>
      <w:r>
        <w:rPr>
          <w:noProof/>
        </w:rPr>
        <w:t xml:space="preserve">seek to agree with the UK on the method and application of the adjustments to the agreed TACs following the application of exemptions (de minimis and survivability exemptions to the obligation to land all catches). It should seek the highest possible level of convergence of such exemptions; </w:t>
      </w:r>
    </w:p>
    <w:p>
      <w:pPr>
        <w:pStyle w:val="Point0letter"/>
        <w:rPr>
          <w:noProof/>
        </w:rPr>
      </w:pPr>
      <w:r>
        <w:rPr>
          <w:noProof/>
        </w:rPr>
        <w:t>seek agreement on continuation of the approach developed for the conservation of the northern seabass, notably the implementation of measures as included in the Fishing Opportutnties Regulation for 2021 ensuring that the overall fishing pressure remains based on the scientific advice provided by ICES;</w:t>
      </w:r>
    </w:p>
    <w:p>
      <w:pPr>
        <w:pStyle w:val="Point0letter"/>
        <w:rPr>
          <w:noProof/>
        </w:rPr>
      </w:pPr>
      <w:r>
        <w:rPr>
          <w:noProof/>
        </w:rPr>
        <w:t>seek to agree on other measures, functionally linked to the TACs in line and to the extent as adopted under the Fishing Opportunties Regulation, in particular maintaining special conditions, as set out in the footnotes to TAC tables and inter-area flexibilities as established under the Fishing opportunites for 2020 and 2021;</w:t>
      </w:r>
    </w:p>
    <w:p>
      <w:pPr>
        <w:pStyle w:val="Point0letter"/>
        <w:rPr>
          <w:noProof/>
        </w:rPr>
      </w:pPr>
      <w:r>
        <w:rPr>
          <w:noProof/>
        </w:rPr>
        <w:t>seek to agree on inter-annual flexibiltities in line with the CFP regulation, in particular its Article 15(9);</w:t>
      </w:r>
    </w:p>
    <w:p>
      <w:pPr>
        <w:pStyle w:val="Point0letter"/>
        <w:rPr>
          <w:noProof/>
        </w:rPr>
      </w:pPr>
      <w:r>
        <w:rPr>
          <w:noProof/>
        </w:rPr>
        <w:t>engage on exploratory basis in discussions to facilite sufficient access for sustainable continuation of the fishing activity for non-quota species not prejudging the EU postion to be taken for the Specialised Fisheries Committee competent under the Agrrement to adopt such measures;</w:t>
      </w:r>
    </w:p>
    <w:p>
      <w:pPr>
        <w:pStyle w:val="Point0letter"/>
        <w:rPr>
          <w:noProof/>
        </w:rPr>
      </w:pPr>
      <w:r>
        <w:rPr>
          <w:noProof/>
        </w:rPr>
        <w:t>engage on exploratory basis in deiscussions on quota transfers  similar to the quota transfers between the EU and Norway, and on in-year quota swapping possibilities;</w:t>
      </w:r>
    </w:p>
    <w:p>
      <w:pPr>
        <w:pStyle w:val="Point0letter"/>
        <w:rPr>
          <w:noProof/>
        </w:rPr>
      </w:pPr>
      <w:r>
        <w:rPr>
          <w:noProof/>
        </w:rPr>
        <w:t>support measures developing and promoting the use of tools (technologies, information exchange systems, registers, etc.) to support and facilitate the implementation of the Agreement, and ensure that they are compatible with those developed within the Union for addressing similar purposes;</w:t>
      </w:r>
    </w:p>
    <w:p>
      <w:pPr>
        <w:pStyle w:val="Point0letter"/>
        <w:rPr>
          <w:noProof/>
        </w:rPr>
      </w:pPr>
      <w:r>
        <w:rPr>
          <w:noProof/>
        </w:rPr>
        <w:t>support measures aimed at strengthening transparency, dialogue and cooperation with relevant stakeholders, on matters related to the implementation of the Agreement.</w:t>
      </w:r>
    </w:p>
    <w:p>
      <w:pPr>
        <w:spacing w:before="0" w:after="200" w:line="276" w:lineRule="auto"/>
        <w:jc w:val="left"/>
        <w:rPr>
          <w:b/>
          <w:noProof/>
          <w:u w:val="single"/>
        </w:rPr>
      </w:pPr>
      <w:r>
        <w:rPr>
          <w:b/>
          <w:noProof/>
          <w:u w:val="single"/>
        </w:rPr>
        <w:br w:type="page"/>
      </w:r>
    </w:p>
    <w:p>
      <w:pPr>
        <w:pStyle w:val="Annexetitre"/>
        <w:rPr>
          <w:noProof/>
        </w:rPr>
      </w:pPr>
      <w:r>
        <w:rPr>
          <w:noProof/>
        </w:rPr>
        <w:t>ANNEX 2</w:t>
      </w:r>
    </w:p>
    <w:p>
      <w:pPr>
        <w:rPr>
          <w:b/>
          <w:noProof/>
        </w:rPr>
      </w:pPr>
      <w:r>
        <w:rPr>
          <w:b/>
          <w:noProof/>
        </w:rPr>
        <w:t xml:space="preserve">Specification of the Union’s position to be taken at the meetings of the Parties during the yearly TAC consultations </w:t>
      </w:r>
    </w:p>
    <w:p>
      <w:pPr>
        <w:rPr>
          <w:noProof/>
        </w:rPr>
      </w:pPr>
      <w:r>
        <w:rPr>
          <w:noProof/>
        </w:rPr>
        <w:t> </w:t>
      </w:r>
    </w:p>
    <w:p>
      <w:pPr>
        <w:rPr>
          <w:noProof/>
        </w:rPr>
      </w:pPr>
      <w:r>
        <w:rPr>
          <w:noProof/>
        </w:rPr>
        <w:t xml:space="preserve">The Union shall, while considering in particular approach to individual stocks, measures functionally linked to fishing opportunities or management measures requiring a specific approach, deliver results that contribute to the overall objective of sustainable management of the fisheries and marine biological resources in correspondence with the objectives of the CFP and which delivers sustainable fisheries in its three dimensions (environmental, economic and social). In doing so, the Commission will work closely with the Council during consultations and keeping the European Parliament informed in accordance with article 218(9) and (10) TFEU. </w:t>
      </w:r>
    </w:p>
    <w:p>
      <w:pPr>
        <w:rPr>
          <w:noProof/>
        </w:rPr>
      </w:pPr>
      <w:r>
        <w:rPr>
          <w:noProof/>
        </w:rPr>
        <w:t xml:space="preserve">The regular and full involvement of the Council during the entire negotiation process shall be ensured by means of an extensive coordination and cooperation between the Council and the Commission during this process. This includes in situ coordination meetings, presentations, debriefs and discussions, full involvement of national delegations in the consultations including as part of the EU delegation, as well as technical meetings when needed. During the negotiations, the Commission shall take into account the position of the national delegations expressed as part of this coordination process. </w:t>
      </w:r>
    </w:p>
    <w:p>
      <w:pPr>
        <w:rPr>
          <w:noProof/>
        </w:rPr>
      </w:pPr>
      <w:r>
        <w:rPr>
          <w:noProof/>
        </w:rPr>
        <w:t>The consultation and reporting requirement cannot hinder procedurally the Commission’s external representation prerogatives nor risk to adversely impact the outcome of the consultations. The above mentioned cooperation requirements shall respect the Commission’s right of initiative.</w:t>
      </w:r>
    </w:p>
    <w:p>
      <w:pPr>
        <w:rPr>
          <w:noProof/>
        </w:rPr>
      </w:pPr>
      <w:r>
        <w:rPr>
          <w:noProof/>
        </w:rPr>
        <w:t>During the consultations, the position to be expressed on the Union's behalf takes account of the latest scientific and other relevant information, in accordance with the principles and orientations set out in Annex I. This should be appropriately reflected in the written record documenting the arrangements made between the Parties as a result of consultations under Article 6 FISH TCA.</w:t>
      </w:r>
    </w:p>
    <w:p>
      <w:pPr>
        <w:rPr>
          <w:noProof/>
        </w:rPr>
      </w:pPr>
      <w:r>
        <w:rPr>
          <w:noProof/>
        </w:rPr>
        <w:t xml:space="preserve">To this effect, and based on that information, the Commission shall transmit to the Council in sufficient time before a signature of the written record the particulars of the proposed specification of the Union’s position for endorsement of the detailed results of the consultation. </w:t>
      </w:r>
    </w:p>
    <w:p>
      <w:pPr>
        <w:rPr>
          <w:b/>
          <w:i/>
          <w:noProof/>
          <w:szCs w:val="24"/>
        </w:rPr>
      </w:pPr>
      <w:r>
        <w:rPr>
          <w:noProof/>
        </w:rPr>
        <w:t>If in the course of meetings of the Parties to the Agreement it is impossible to reach an agreement on the specification of the position on the definitive TACs or any other functionally linked measures to the fishing opportunities, including on the spot, in order for the Union’s position as set out in Annex I to take account of new elements, the matter shall be referred to the Council or its preparatory bodies.</w:t>
      </w:r>
      <w:r>
        <w:rPr>
          <w:b/>
          <w:i/>
          <w:noProof/>
          <w:szCs w:val="24"/>
        </w:rPr>
        <w:t xml:space="preserve"> </w:t>
      </w:r>
    </w:p>
    <w:p>
      <w:pPr>
        <w:autoSpaceDE w:val="0"/>
        <w:autoSpaceDN w:val="0"/>
        <w:spacing w:after="0"/>
        <w:rPr>
          <w:noProof/>
        </w:rPr>
      </w:pPr>
      <w:r>
        <w:rPr>
          <w:noProof/>
          <w:color w:val="6E6E73"/>
          <w:sz w:val="16"/>
          <w:szCs w:val="16"/>
          <w:lang w:val="en-US"/>
        </w:rPr>
        <w:t>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lang w:val="en-US"/>
        </w:rPr>
        <w:t>7087/12 REV 1 ADD 1 COR 1.</w:t>
      </w:r>
    </w:p>
  </w:footnote>
  <w:footnote w:id="2">
    <w:p>
      <w:pPr>
        <w:pStyle w:val="FootnoteText"/>
        <w:rPr>
          <w:lang w:val="en-US"/>
        </w:rPr>
      </w:pPr>
      <w:r>
        <w:rPr>
          <w:rStyle w:val="FootnoteReference"/>
        </w:rPr>
        <w:footnoteRef/>
      </w:r>
      <w:r>
        <w:tab/>
        <w:t xml:space="preserve">Communication from the Commission to the European Parliament and the Council, Towards </w:t>
      </w:r>
      <w:r>
        <w:rPr>
          <w:lang w:val="en-US"/>
        </w:rPr>
        <w:t xml:space="preserve">more sustainable fishing in the EU: state of play and orientations for 2021, 16.6.2020  COM(2020) 248 final, 16.6.2020.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6CDF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04F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926D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5281C4"/>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17"/>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2-09 16:22: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ACCOMPAGNANT" w:val="to the "/>
    <w:docVar w:name="LW_ACCOMPAGNANT.CP" w:val="to the "/>
    <w:docVar w:name="LW_ANNEX_NBR_FIRST" w:val="1"/>
    <w:docVar w:name="LW_ANNEX_NBR_LAST" w:val="2"/>
    <w:docVar w:name="LW_ANNEX_UNIQUE" w:val="0"/>
    <w:docVar w:name="LW_CORRIGENDUM" w:val="&lt;UNUSED&gt;"/>
    <w:docVar w:name="LW_COVERPAGE_EXISTS" w:val="True"/>
    <w:docVar w:name="LW_COVERPAGE_GUID" w:val="57F20825-F8A6-4C59-8DFD-9B263CC63003"/>
    <w:docVar w:name="LW_COVERPAGE_TYPE" w:val="1"/>
    <w:docVar w:name="LW_CROSSREFERENCE" w:val="&lt;UNUSED&gt;"/>
    <w:docVar w:name="LW_DocType" w:val="ANNEX"/>
    <w:docVar w:name="LW_EMISSION" w:val="11.2.2021"/>
    <w:docVar w:name="LW_EMISSION_ISODATE" w:val="2021-02-11"/>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position to be taken on the Union\u8217?s behalf in the consultations with the United Kingdom for establishing TACs year for the year 2021 and for certain deep-sea stocks for the years 2021-2022"/>
    <w:docVar w:name="LW_OBJETACTEPRINCIPAL.CP" w:val="establishing the position to be taken on the Union\u8217?s behalf in the consultations with the United Kingdom for establishing TACs year for the year 2021 and for certain deep-sea stocks for the years 2021-2022"/>
    <w:docVar w:name="LW_PART_NBR" w:val="&lt;UNUSED&gt;"/>
    <w:docVar w:name="LW_PART_NBR_TOTAL" w:val="&lt;UNUSED&gt;"/>
    <w:docVar w:name="LW_REF.INST.NEW" w:val="COM"/>
    <w:docVar w:name="LW_REF.INST.NEW_ADOPTED" w:val="final"/>
    <w:docVar w:name="LW_REF.INST.NEW_TEXT" w:val="(2021) 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03685">
      <w:bodyDiv w:val="1"/>
      <w:marLeft w:val="0"/>
      <w:marRight w:val="0"/>
      <w:marTop w:val="0"/>
      <w:marBottom w:val="0"/>
      <w:divBdr>
        <w:top w:val="none" w:sz="0" w:space="0" w:color="auto"/>
        <w:left w:val="none" w:sz="0" w:space="0" w:color="auto"/>
        <w:bottom w:val="none" w:sz="0" w:space="0" w:color="auto"/>
        <w:right w:val="none" w:sz="0" w:space="0" w:color="auto"/>
      </w:divBdr>
    </w:div>
    <w:div w:id="1653413947">
      <w:bodyDiv w:val="1"/>
      <w:marLeft w:val="0"/>
      <w:marRight w:val="0"/>
      <w:marTop w:val="0"/>
      <w:marBottom w:val="0"/>
      <w:divBdr>
        <w:top w:val="none" w:sz="0" w:space="0" w:color="auto"/>
        <w:left w:val="none" w:sz="0" w:space="0" w:color="auto"/>
        <w:bottom w:val="none" w:sz="0" w:space="0" w:color="auto"/>
        <w:right w:val="none" w:sz="0" w:space="0" w:color="auto"/>
      </w:divBdr>
    </w:div>
    <w:div w:id="20060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BD9BD72-A1BB-4B0C-A62A-23DB6BA7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6</Pages>
  <Words>1909</Words>
  <Characters>10233</Characters>
  <Application>Microsoft Office Word</Application>
  <DocSecurity>0</DocSecurity>
  <Lines>173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2021-02-09T08:42:00Z</dcterms:created>
  <dcterms:modified xsi:type="dcterms:W3CDTF">2021-02-09T15:22:00Z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2</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Green (DQC version 03)</vt:lpwstr>
  </property>
</Properties>
</file>