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C7A45E2-FF5A-4B03-B04B-C402BB8202B5" style="width:450.7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Bdr>
          <w:top w:val="nil"/>
          <w:left w:val="nil"/>
          <w:bottom w:val="nil"/>
          <w:right w:val="nil"/>
          <w:between w:val="nil"/>
          <w:bar w:val="nil"/>
        </w:pBdr>
        <w:spacing w:before="0" w:after="240"/>
        <w:rPr>
          <w:rFonts w:eastAsia="Arial Unicode MS"/>
          <w:noProof/>
        </w:rPr>
      </w:pPr>
      <w:r>
        <w:rPr>
          <w:noProof/>
        </w:rPr>
        <w:t>В съответствие с член 395, параграф 1 от Директива 2006/112/ЕО от 28 ноември 2006 г. относно общата система на данъка върху добавената стойност („Директивата за ДДС“)</w:t>
      </w:r>
      <w:r>
        <w:rPr>
          <w:rStyle w:val="FootnoteReference"/>
          <w:noProof/>
        </w:rPr>
        <w:footnoteReference w:id="1"/>
      </w:r>
      <w:r>
        <w:rPr>
          <w:noProof/>
        </w:rPr>
        <w:t xml:space="preserve"> Съветът, като действа с единодушие по предложение на Комисията, може да разреши на всяка държава членка да прилага специални мерки за дерогация от разпоредбите на посочената директива с цел да се опрости процедурата за събиране на ДДС или да се предотвратят някои форми на отклонение от данъчно облагане или избягване на данъци.</w:t>
      </w:r>
    </w:p>
    <w:p>
      <w:pPr>
        <w:rPr>
          <w:noProof/>
        </w:rPr>
      </w:pPr>
      <w:r>
        <w:rPr>
          <w:noProof/>
        </w:rPr>
        <w:t>Обединеното кралство напусна Европейския съюз (ЕС) на 31 януари 2020 г. В съответствие със Споразумението за оттегляне</w:t>
      </w:r>
      <w:r>
        <w:rPr>
          <w:rStyle w:val="FootnoteReference"/>
          <w:noProof/>
        </w:rPr>
        <w:footnoteReference w:id="2"/>
      </w:r>
      <w:r>
        <w:rPr>
          <w:noProof/>
        </w:rPr>
        <w:t xml:space="preserve"> то вече е трета държава за ЕС.</w:t>
      </w:r>
    </w:p>
    <w:p>
      <w:pPr>
        <w:rPr>
          <w:noProof/>
        </w:rPr>
      </w:pPr>
      <w:r>
        <w:rPr>
          <w:noProof/>
        </w:rPr>
        <w:t>Считано от 1 януари 2021 г., законодателството на ЕС в областта на ДДС вече не се прилага в Обединеното кралство. Независимо от това, въз основа на Протокола за Ирландия/Северна Ирландия</w:t>
      </w:r>
      <w:r>
        <w:rPr>
          <w:rStyle w:val="FootnoteReference"/>
          <w:noProof/>
        </w:rPr>
        <w:footnoteReference w:id="3"/>
      </w:r>
      <w:r>
        <w:rPr>
          <w:noProof/>
        </w:rPr>
        <w:t xml:space="preserve"> (наричан по-долу „Протоколът“), който е част от Споразумението за оттегляне, Северна Ирландия остава в обхвата на законодателството на ЕС в областта на ДДС по отношение на стоките, за да се избегне създаването на „твърда“ граница между Ирландия и Северна Ирландия. Що се отнася до услугите, Северна Ирландия, заедно с останалата част от Обединеното кралство, се счита за държава извън ЕС.</w:t>
      </w:r>
    </w:p>
    <w:p>
      <w:pPr>
        <w:rPr>
          <w:noProof/>
        </w:rPr>
      </w:pPr>
      <w:r>
        <w:rPr>
          <w:noProof/>
        </w:rPr>
        <w:t>Това неизбежно води до двойна или смесена система за ДДС в Северна Ирландия, при която — съгласно предвидените в дял V от Директивата за ДДС правила за мястото на облагаемите сделки — за доставките, вътреобщностните придобивания и вноса на стоки, намиращи се в Северна Ирландия, се прилагат хармонизираните правила на ЕС, докато доставките на услуги на същата територия не са предмет на системата на ЕС за ДДС.</w:t>
      </w:r>
    </w:p>
    <w:p>
      <w:pPr>
        <w:pBdr>
          <w:top w:val="nil"/>
          <w:left w:val="nil"/>
          <w:bottom w:val="nil"/>
          <w:right w:val="nil"/>
          <w:between w:val="nil"/>
          <w:bar w:val="nil"/>
        </w:pBdr>
        <w:spacing w:before="0" w:after="240"/>
        <w:rPr>
          <w:rFonts w:eastAsia="Arial Unicode MS"/>
          <w:noProof/>
        </w:rPr>
      </w:pPr>
      <w:r>
        <w:rPr>
          <w:noProof/>
        </w:rPr>
        <w:t xml:space="preserve">Поради това, за да продължи прилагането в Северна Ирландия на специален режим за ДДС, предвиждащ мерки с единна ставка по отношение на неподлежащия на приспадане данък върху добавената стойност, дължим за горивото за служебни автомобили, в отклонение от общите правила по Директивата за ДДС, е необходимо да се предостави дерогация съгласно член 395, параграф 1 от същата директива. </w:t>
      </w:r>
    </w:p>
    <w:p>
      <w:pPr>
        <w:widowControl w:val="0"/>
        <w:shd w:val="clear" w:color="auto" w:fill="FFFFFF"/>
        <w:autoSpaceDE w:val="0"/>
        <w:autoSpaceDN w:val="0"/>
        <w:adjustRightInd w:val="0"/>
        <w:spacing w:before="230" w:after="0" w:line="269" w:lineRule="exact"/>
        <w:ind w:right="86"/>
        <w:rPr>
          <w:noProof/>
          <w:color w:val="008000"/>
        </w:rPr>
      </w:pPr>
      <w:r>
        <w:rPr>
          <w:noProof/>
        </w:rPr>
        <w:t>С писмо, заведено в Комисията на 27 ноември 2020 г., Обединеното кралство поиска разрешение да продължи да прилага мярка за дерогация от членове 16 и 168 от Директивата за ДДС. В съответствие с член 395, параграф 2 от Директивата за ДДС с писмо от 10 декември 2020 г. Комисията информира държавите членки за отправеното от Обединеното кралство искане. С писмо от 11 декември 2020 г. Комисията уведоми Обединеното кралство, че е получила цялата информация, която смята за необходима за разглеждане на искането.</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 xml:space="preserve">Съгласно член 168 от Директивата за ДДС всяко данъчно задължено лице има правото да приспадне ДДС, начислен върху покупките, извършени за целите на облагаеми </w:t>
      </w:r>
      <w:r>
        <w:rPr>
          <w:noProof/>
        </w:rPr>
        <w:lastRenderedPageBreak/>
        <w:t>сделки. По силата на член 16 от същата директива употребата от данъчно задължено лице на стоки, представляващи част от неговите стопански активи, за лични нужди или за нуждите на персонала му, се третира като възмездна доставка на стоки, когато дължимият ДДС за тези стоки или техните съставни части е подлежал изцяло или частично на приспадане.</w:t>
      </w:r>
      <w:r>
        <w:rPr>
          <w:noProof/>
          <w:color w:val="000000"/>
        </w:rPr>
        <w:t xml:space="preserve"> </w:t>
      </w:r>
      <w:r>
        <w:rPr>
          <w:noProof/>
        </w:rPr>
        <w:t>Тази система позволява възстановяването на първоначално приспаднатия ДДС във връзка с употребата за лични нужди.</w:t>
      </w:r>
    </w:p>
    <w:p>
      <w:pPr>
        <w:rPr>
          <w:noProof/>
        </w:rPr>
      </w:pPr>
      <w:r>
        <w:rPr>
          <w:noProof/>
        </w:rPr>
        <w:t>В случай на служебни автомобили, които частично се употребяват за лични (нестопански) цели, изчисляването и облагането на разходите, свързани с употребата за лични нужди, по силата на горепосочените разпоредби често е трудно.</w:t>
      </w:r>
    </w:p>
    <w:p>
      <w:pPr>
        <w:rPr>
          <w:rFonts w:eastAsia="Arial Unicode MS"/>
          <w:noProof/>
        </w:rPr>
      </w:pPr>
      <w:r>
        <w:rPr>
          <w:noProof/>
        </w:rPr>
        <w:t>В тази връзка Обединеното кралство прилага специален режим на данъчно облагане с единна ставка на употребата за лични нужди на служебни автомобили, разрешен по силата на Решение 86/356/ЕИО на Съвета от 21 юли 1986 г. относно предоставяне на разрешение на Обединеното кралство да прилага мерки с единна ставка по отношение на неподлежащия на приспадане данък върху добавената стойност, дължим за горивото за служебни автомобили</w:t>
      </w:r>
      <w:r>
        <w:rPr>
          <w:rStyle w:val="FootnoteReference"/>
          <w:noProof/>
        </w:rPr>
        <w:footnoteReference w:id="4"/>
      </w:r>
      <w:r>
        <w:rPr>
          <w:noProof/>
        </w:rPr>
        <w:t>. Този режим се основаваше на обема на двигателя и вида гориво на автомобила.</w:t>
      </w:r>
    </w:p>
    <w:p>
      <w:pPr>
        <w:rPr>
          <w:noProof/>
          <w:color w:val="000000" w:themeColor="text1"/>
          <w:szCs w:val="24"/>
        </w:rPr>
      </w:pPr>
      <w:r>
        <w:rPr>
          <w:noProof/>
        </w:rPr>
        <w:t>Тази първоначална дерогация беше отменена и заменена с Решение 2006/659/ЕО на Съвета от 25 септември 2006 г., с което се разрешава на Обединеното кралство да въведе специална мярка за дерогация от член 5, параграф 6 и член 11, част А, параграф 1, буква б) от Директива 77/388/ЕИО относно хармонизирането на законодателствата на държавите членки относно данъците върху оборота</w:t>
      </w:r>
      <w:r>
        <w:rPr>
          <w:rStyle w:val="FootnoteReference"/>
          <w:noProof/>
        </w:rPr>
        <w:footnoteReference w:id="5"/>
      </w:r>
      <w:r>
        <w:rPr>
          <w:noProof/>
        </w:rPr>
        <w:t>. С посоченото решение бе въведено данъчно облагане с единна ставка на употребата на автомобилите за лични нужди въз основа на нивото на емисиите им на CO</w:t>
      </w:r>
      <w:r>
        <w:rPr>
          <w:noProof/>
          <w:vertAlign w:val="subscript"/>
        </w:rPr>
        <w:t>2</w:t>
      </w:r>
      <w:r>
        <w:rPr>
          <w:noProof/>
        </w:rPr>
        <w:t>. Посоченото решение на Съвета на свой ред бе заменено от Решение за изпълнение (ЕС) 2015/2109 на Съвета от 17 ноември 2015 г.</w:t>
      </w:r>
      <w:r>
        <w:rPr>
          <w:rStyle w:val="FootnoteReference"/>
          <w:noProof/>
        </w:rPr>
        <w:footnoteReference w:id="6"/>
      </w:r>
      <w:r>
        <w:rPr>
          <w:noProof/>
        </w:rPr>
        <w:t>, чийто срок на действие изтече на 31 декември 2018 г. По силата на Решение за изпълнение (ЕС) 2018/1918 на Съвета от 4 декември 2018 г.</w:t>
      </w:r>
      <w:r>
        <w:rPr>
          <w:rStyle w:val="FootnoteReference"/>
          <w:noProof/>
        </w:rPr>
        <w:footnoteReference w:id="7"/>
      </w:r>
      <w:r>
        <w:rPr>
          <w:noProof/>
        </w:rPr>
        <w:t xml:space="preserve"> срокът на действие на мярката беше удължен до 31 декември 2020 г.</w:t>
      </w:r>
    </w:p>
    <w:p>
      <w:pPr>
        <w:rPr>
          <w:rFonts w:eastAsia="Arial Unicode MS"/>
          <w:noProof/>
        </w:rPr>
      </w:pPr>
      <w:r>
        <w:rPr>
          <w:noProof/>
        </w:rPr>
        <w:t>Режимът се основава на факта, че съществува пряка връзка между емисиите и количеството изразходвано гориво, като по-високите емисии съответстват на по-голям разход на гориво. Въз основа на тези нива на емисиите се изчислява разходът на гориво на километър, който впоследствие се съпоставя със средните разстояния, изминати при употреба за лични нужди, определени въз основа на данните за преките данъци и цената на дребно на автомобилните горива. Това води до облагане на употребата за лични нужди, което съответства на размера на дължимия ДДС за употребата на превозното средство за лични нужди. Системата е незадължителна за данъчно задължените лица и те имат право да изберат да не възстановяват ДДС за своите горива. Те обаче могат да водят подробна отчетност за разстоянията, изминати при употреба за лични нужди, като доказателство в подкрепа на изчисляването на тези разстояния.</w:t>
      </w:r>
    </w:p>
    <w:p>
      <w:pPr>
        <w:rPr>
          <w:noProof/>
        </w:rPr>
      </w:pPr>
      <w:r>
        <w:rPr>
          <w:noProof/>
        </w:rPr>
        <w:t xml:space="preserve">В своето искане Обединеното кралство включи обяснение как функционира мярката за дерогация. Според Обединеното кралство тази система е доказала, че е точна, и е довела до значително опростяване както за предприятията, така и за данъчната администрация. Обединеното кралство твърди също така, че мярката дава правна </w:t>
      </w:r>
      <w:r>
        <w:rPr>
          <w:noProof/>
        </w:rPr>
        <w:lastRenderedPageBreak/>
        <w:t xml:space="preserve">сигурност на данъчно задължените лица, като предоставя опростен метод, който може да бъде използван за отчитане на ДДС при употребата на горива за лични нужди. </w:t>
      </w:r>
    </w:p>
    <w:p>
      <w:pPr>
        <w:pBdr>
          <w:top w:val="nil"/>
          <w:left w:val="nil"/>
          <w:bottom w:val="nil"/>
          <w:right w:val="nil"/>
          <w:between w:val="nil"/>
          <w:bar w:val="nil"/>
        </w:pBdr>
        <w:spacing w:before="0" w:after="240"/>
        <w:rPr>
          <w:rFonts w:eastAsia="Arial Unicode MS"/>
          <w:noProof/>
        </w:rPr>
      </w:pPr>
      <w:r>
        <w:rPr>
          <w:noProof/>
        </w:rPr>
        <w:t>Въз основа на това Обединеното кралство по отношение на Северна Ирландия поиска разрешение да продължи прилагането на дерогацията, считано от 1 януари 2021 г. Срокът на действие на дерогацията следва да бъде ограничен до 31 декември 2023 г., за да може да се прецени дали режимът с единна ставка продължава да отразява правилно общото съотношение между употребата на автомобилите за стопански цели и за лични нужди.</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rPr>
          <w:noProof/>
        </w:rPr>
      </w:pPr>
      <w:r>
        <w:rPr>
          <w:noProof/>
        </w:rPr>
        <w:t xml:space="preserve">Съгласно член 176 от Директивата за ДДС Съветът определя разходите, по отношение на които ДДС не подлежи на приспадане. Дотогава се разрешава на държавите членки да запазят изключенията, които са били в сила към 1 януари 1979 г. Следователно има няколко разпоредби за запазване на съществуващото положение, които ограничават правото на приспадане на ДДС във връзка с леките автомобили. </w:t>
      </w:r>
    </w:p>
    <w:p>
      <w:pPr>
        <w:pBdr>
          <w:top w:val="nil"/>
          <w:left w:val="nil"/>
          <w:bottom w:val="nil"/>
          <w:right w:val="nil"/>
          <w:between w:val="nil"/>
          <w:bar w:val="nil"/>
        </w:pBdr>
        <w:spacing w:before="0" w:after="240"/>
        <w:rPr>
          <w:rFonts w:eastAsia="Arial Unicode MS"/>
          <w:noProof/>
        </w:rPr>
      </w:pPr>
      <w:r>
        <w:rPr>
          <w:noProof/>
        </w:rPr>
        <w:t>Независимо от предходните инициативи за определяне на правила относно категориите разходи, върху които може да бъде наложено ограничение на правото на приспадане</w:t>
      </w:r>
      <w:r>
        <w:rPr>
          <w:rStyle w:val="FootnoteReference"/>
          <w:rFonts w:eastAsia="Arial Unicode MS"/>
          <w:noProof/>
        </w:rPr>
        <w:footnoteReference w:id="8"/>
      </w:r>
      <w:r>
        <w:rPr>
          <w:noProof/>
        </w:rPr>
        <w:t>, такава дерогация е подходяща за периода до хармонизирането на тези правила на равнището на ЕС.</w:t>
      </w:r>
    </w:p>
    <w:p>
      <w:pPr>
        <w:pStyle w:val="ManualHeading1"/>
        <w:rPr>
          <w:noProof/>
        </w:rPr>
      </w:pPr>
      <w:r>
        <w:rPr>
          <w:noProof/>
        </w:rPr>
        <w:t>2.</w:t>
      </w:r>
      <w:r>
        <w:rPr>
          <w:noProof/>
        </w:rPr>
        <w:tab/>
        <w:t>ПРАВНО ОСНОВАНИЕ, СУБСИДИАРНОСТ И ПРОПРОЦИОНАЛНОСТ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rPr>
        <w:t>Член 395 от Директивата за ДДС.</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(извън областите на 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Като се има предвид разпоредбата от Директивата за ДДС, на основание на която е съставено предложението, то е от изключителната компетентност на Съюза. Следователно принципът на субсидиарността 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rFonts w:eastAsia="Arial Unicode MS"/>
          <w:noProof/>
        </w:rPr>
      </w:pPr>
      <w:r>
        <w:rPr>
          <w:noProof/>
        </w:rPr>
        <w:t>Решението се отнася до предоставяне на разрешение на Обединеното кралство по отношение на Северна Ирландия по негово искане и не представлява задължение.</w:t>
      </w:r>
    </w:p>
    <w:p>
      <w:pPr>
        <w:pBdr>
          <w:top w:val="nil"/>
          <w:left w:val="nil"/>
          <w:bottom w:val="nil"/>
          <w:right w:val="nil"/>
          <w:between w:val="nil"/>
          <w:bar w:val="nil"/>
        </w:pBdr>
        <w:spacing w:before="0" w:after="240"/>
        <w:rPr>
          <w:rFonts w:eastAsia="Arial Unicode MS"/>
          <w:noProof/>
        </w:rPr>
      </w:pPr>
      <w:r>
        <w:rPr>
          <w:noProof/>
        </w:rPr>
        <w:t>Предвид на ограничения обхват на дерогацията специалната мярка е пропорционална на поставената цел, а именно опростяването на процедурата за събиране на ДДС. Тя не надхвърля необходимото за опростяване на събирането на ДДС в определен отрасъл.</w:t>
      </w:r>
    </w:p>
    <w:p>
      <w:pPr>
        <w:pBdr>
          <w:top w:val="nil"/>
          <w:left w:val="nil"/>
          <w:bottom w:val="nil"/>
          <w:right w:val="nil"/>
          <w:between w:val="nil"/>
          <w:bar w:val="nil"/>
        </w:pBdr>
        <w:spacing w:before="0" w:after="240"/>
        <w:rPr>
          <w:rFonts w:eastAsia="Arial Unicode MS"/>
          <w:noProof/>
        </w:rPr>
      </w:pPr>
      <w:r>
        <w:rPr>
          <w:noProof/>
        </w:rPr>
        <w:t>Системата остава незадължителна за данъчно задължените лица.</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rFonts w:eastAsia="Arial Unicode MS"/>
          <w:noProof/>
        </w:rPr>
      </w:pPr>
      <w:r>
        <w:rPr>
          <w:noProof/>
        </w:rPr>
        <w:t>По силата на член 395 от Директивата за ДДС дерогация от общите правила за ДДС е възможна единствено с разрешение на Съвета, действащ с единодушие по предложение на Комисията. Освен това решение на Съвета е най-подходящият инструмент, тъй като негов адресат може да бъдат отделни субекти.</w:t>
      </w:r>
    </w:p>
    <w:p>
      <w:pPr>
        <w:pStyle w:val="ManualHeading1"/>
        <w:rPr>
          <w:noProof/>
        </w:rPr>
      </w:pPr>
      <w:r>
        <w:rPr>
          <w:noProof/>
        </w:rPr>
        <w:lastRenderedPageBreak/>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Настоящото предложение се основава на искане, отправено от Обединеното кралство по отношение на Северна Ирландия, и се отнася само до тази територия.</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бяха необходими външни експертни становища.</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pBdr>
          <w:top w:val="nil"/>
          <w:left w:val="nil"/>
          <w:bottom w:val="nil"/>
          <w:right w:val="nil"/>
          <w:between w:val="nil"/>
          <w:bar w:val="nil"/>
        </w:pBdr>
        <w:spacing w:before="0" w:after="240"/>
        <w:rPr>
          <w:rFonts w:eastAsia="Arial Unicode MS"/>
          <w:noProof/>
        </w:rPr>
      </w:pPr>
      <w:r>
        <w:rPr>
          <w:noProof/>
        </w:rPr>
        <w:t>Предложението за решение цели опростяване на събирането на ДДС върху разходите за гориво за служебните автомобили, които частично се употребяват за нестопански цели, и следователно има потенциално положително въздействие.</w:t>
      </w:r>
    </w:p>
    <w:p>
      <w:pPr>
        <w:pBdr>
          <w:top w:val="nil"/>
          <w:left w:val="nil"/>
          <w:bottom w:val="nil"/>
          <w:right w:val="nil"/>
          <w:between w:val="nil"/>
          <w:bar w:val="nil"/>
        </w:pBdr>
        <w:spacing w:before="0" w:after="240"/>
        <w:rPr>
          <w:rFonts w:eastAsia="Arial Unicode MS"/>
          <w:noProof/>
        </w:rPr>
      </w:pPr>
      <w:r>
        <w:rPr>
          <w:noProof/>
        </w:rPr>
        <w:t>За данъчно задължените лица, които биха избрали да се възползват от тази система, тя намалява административната тежест и разходите за спазване на изискванията, като премахва необходимостта да се води за целите на ДДС подробна отчетност за разстоянията, изминати от всеки служебен автомобил. Изпълнението на тези изисквания за водене на отчетност често е времеемко и налага значителна административна тежест за относително малки данъчни задължения. Методът на опростяване намалява и тежестите за данъчните органи, от които в противен случай ще се изисква да извършват ревизии по множество отделни случаи.</w:t>
      </w:r>
    </w:p>
    <w:p>
      <w:pPr>
        <w:pBdr>
          <w:top w:val="nil"/>
          <w:left w:val="nil"/>
          <w:bottom w:val="nil"/>
          <w:right w:val="nil"/>
          <w:between w:val="nil"/>
          <w:bar w:val="nil"/>
        </w:pBdr>
        <w:spacing w:before="0" w:after="240"/>
        <w:rPr>
          <w:rFonts w:eastAsia="Arial Unicode MS"/>
          <w:noProof/>
        </w:rPr>
      </w:pPr>
      <w:r>
        <w:rPr>
          <w:noProof/>
        </w:rPr>
        <w:t>Въпреки това въздействието при всички случаи ще бъде ограничено поради тесния обхват на дерогацията и ограничения срок на прилагане.</w:t>
      </w:r>
    </w:p>
    <w:p>
      <w:pPr>
        <w:pStyle w:val="ManualHeading1"/>
        <w:rPr>
          <w:noProof/>
        </w:rPr>
      </w:pPr>
      <w:r>
        <w:rPr>
          <w:noProof/>
        </w:rPr>
        <w:t>4.</w:t>
      </w:r>
      <w:r>
        <w:rPr>
          <w:noProof/>
        </w:rPr>
        <w:tab/>
        <w:t>ОТРАЖЕНИЕ ВЪРХУ БЮДЖЕТА</w:t>
      </w:r>
    </w:p>
    <w:p>
      <w:pPr>
        <w:rPr>
          <w:noProof/>
        </w:rPr>
      </w:pPr>
      <w:r>
        <w:rPr>
          <w:noProof/>
        </w:rPr>
        <w:t>Предложението няма да има отрицателно отражение върху бюджета на Съюза.</w:t>
      </w:r>
    </w:p>
    <w:p>
      <w:pPr>
        <w:rPr>
          <w:rFonts w:eastAsia="Arial Unicode MS"/>
          <w:noProof/>
          <w:color w:val="008000"/>
        </w:rPr>
      </w:pPr>
      <w:r>
        <w:rPr>
          <w:noProof/>
        </w:rPr>
        <w:t xml:space="preserve">В този контекст следва да се припомни, че в съответствие с член 8, втора алинея от Протокола приходите от сделки, които се облагат в Северна Ирландия, не се превеждат на ЕС. </w:t>
      </w:r>
    </w:p>
    <w:p>
      <w:pPr>
        <w:pStyle w:val="ManualHeading1"/>
        <w:rPr>
          <w:noProof/>
        </w:rPr>
      </w:pPr>
      <w:r>
        <w:rPr>
          <w:noProof/>
        </w:rPr>
        <w:t>5.</w:t>
      </w:r>
      <w:r>
        <w:rPr>
          <w:noProof/>
        </w:rPr>
        <w:tab/>
        <w:t>ДРУГИ ЕЛЕМЕНТИ</w:t>
      </w:r>
    </w:p>
    <w:p>
      <w:pPr>
        <w:pBdr>
          <w:top w:val="nil"/>
          <w:left w:val="nil"/>
          <w:bottom w:val="nil"/>
          <w:right w:val="nil"/>
          <w:between w:val="nil"/>
          <w:bar w:val="nil"/>
        </w:pBdr>
        <w:spacing w:before="0" w:after="240"/>
        <w:rPr>
          <w:noProof/>
        </w:rPr>
      </w:pPr>
      <w:r>
        <w:rPr>
          <w:noProof/>
        </w:rPr>
        <w:t>Предложението включва клауза за изтичане на срока на действие, като срокът на действие на дерогацията изтича автоматично на 31 декември 2023 г.</w:t>
      </w:r>
    </w:p>
    <w:p>
      <w:pPr>
        <w:rPr>
          <w:noProof/>
        </w:rPr>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2021/0030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предоставяне на разрешение на Обединеното кралство по отношение на Северна Ирландия да прилага специална мярка за дерогация от членове 16 и 168 от Директива 2006/112/ЕО относно общата система на данъка върху добавената стойност</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2006/112/ЕО на Съвета от 28 ноември 2006 г. относно общата система на данъка върху добавената стойност</w:t>
      </w:r>
      <w:r>
        <w:rPr>
          <w:rStyle w:val="FootnoteReference"/>
          <w:noProof/>
        </w:rPr>
        <w:footnoteReference w:id="9"/>
      </w:r>
      <w:r>
        <w:rPr>
          <w:noProof/>
        </w:rPr>
        <w:t>, и по-специално член 395, параграф 1, първа алинея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На 31 януари 2020 г. Обединеното кралство се оттегли от Европейския съюз въз основа на Споразумението за оттеглянето на Обединеното кралство Великобритания и Северна Ирландия от Европейския съюз и Европейската общност за атомна енергия („Споразумението за оттегляне“). В резултат на това законодателството на Съюза в областта на данъка върху добавената стойност („ДДС“) вече не се прилага за Обединеното кралство или на неговата територия.</w:t>
      </w:r>
    </w:p>
    <w:p>
      <w:pPr>
        <w:pStyle w:val="ManualConsidrant"/>
        <w:rPr>
          <w:noProof/>
        </w:rPr>
      </w:pPr>
      <w:r>
        <w:t>(2)</w:t>
      </w:r>
      <w:r>
        <w:tab/>
      </w:r>
      <w:r>
        <w:rPr>
          <w:noProof/>
        </w:rPr>
        <w:t>Независимо от това, в съответствие с член 8 от Протокола за Ирландия/Северна Ирландия („Протокола“), който е неразделна част от Споразумението за оттегляне, законодателството на Съюза в областта на ДДС продължава да се прилага в Северна Ирландия</w:t>
      </w:r>
      <w:r>
        <w:rPr>
          <w:rStyle w:val="FootnoteReference"/>
          <w:noProof/>
        </w:rPr>
        <w:footnoteReference w:id="10"/>
      </w:r>
      <w:r>
        <w:rPr>
          <w:noProof/>
        </w:rPr>
        <w:t xml:space="preserve"> по отношение на стоките.</w:t>
      </w:r>
    </w:p>
    <w:p>
      <w:pPr>
        <w:pStyle w:val="ManualConsidrant"/>
        <w:rPr>
          <w:noProof/>
        </w:rPr>
      </w:pPr>
      <w:r>
        <w:t>(3)</w:t>
      </w:r>
      <w:r>
        <w:tab/>
      </w:r>
      <w:r>
        <w:rPr>
          <w:noProof/>
        </w:rPr>
        <w:t>Следователно законодателството на Съюза в областта на ДДС продължава да се прилага за данъчно задължените лица и за някои данъчно незадължени юридически лица в Обединеното кралство, що се отнася до сделките със стоки в Северна Ирландия.</w:t>
      </w:r>
    </w:p>
    <w:p>
      <w:pPr>
        <w:pStyle w:val="ManualConsidrant"/>
        <w:rPr>
          <w:noProof/>
        </w:rPr>
      </w:pPr>
      <w:r>
        <w:t>(4)</w:t>
      </w:r>
      <w:r>
        <w:tab/>
      </w:r>
      <w:r>
        <w:rPr>
          <w:noProof/>
        </w:rPr>
        <w:t>Съгласно член 168 от Директива 2006/112/ЕО всяко данъчно задължено лице има правото да приспадне ДДС, начислен върху покупки, извършени за целите на неговите облагаеми сделки. По силата на член 16 от посочената директива обаче употребата от данъчно задължено лице на стоки, представляващи част от неговите стопански активи, за лични нужди или за нуждите на персонала му, се третира като възмездна доставка на стоки, когато дължимият ДДС за тези стоки или техните съставни части е подлежал изцяло или частично на приспадане.</w:t>
      </w:r>
      <w:r>
        <w:rPr>
          <w:noProof/>
          <w:color w:val="000000"/>
        </w:rPr>
        <w:t xml:space="preserve"> </w:t>
      </w:r>
      <w:r>
        <w:rPr>
          <w:noProof/>
        </w:rPr>
        <w:t xml:space="preserve">Тази система позволява възстановяването на първоначално приспаднатия ДДС във връзка с употребата за лични нужди. </w:t>
      </w:r>
    </w:p>
    <w:p>
      <w:pPr>
        <w:pStyle w:val="ManualConsidrant"/>
        <w:rPr>
          <w:noProof/>
        </w:rPr>
      </w:pPr>
      <w:r>
        <w:lastRenderedPageBreak/>
        <w:t>(5)</w:t>
      </w:r>
      <w:r>
        <w:tab/>
      </w:r>
      <w:r>
        <w:rPr>
          <w:noProof/>
        </w:rPr>
        <w:t>С Решение 2006/659/ЕО на Съвета</w:t>
      </w:r>
      <w:r>
        <w:rPr>
          <w:rStyle w:val="FootnoteReference"/>
          <w:rFonts w:eastAsia="Arial Unicode MS"/>
          <w:noProof/>
        </w:rPr>
        <w:footnoteReference w:id="11"/>
      </w:r>
      <w:r>
        <w:rPr>
          <w:noProof/>
        </w:rPr>
        <w:t xml:space="preserve"> на Обединеното кралство беше разрешено да прилага до 31 декември 2015 г. специална мярка, за да определи чрез единна ставка дела на неподлежащия на приспадане ДДС, свързан с разходите за гориво за служебните автомобили, които не се употребяват изключително за стопански цели („специалната мярка“). Специалната мярка, която няма задължителен характер за данъчно задължените лица, се основава на равнището на емисиите на въглероден диоксид от автомобилите, тъй като съществува пропорционална зависимост между емисиите и разхода на гориво, а оттам — и на паричните разходи за гориво.</w:t>
      </w:r>
    </w:p>
    <w:p>
      <w:pPr>
        <w:pStyle w:val="ManualConsidrant"/>
        <w:rPr>
          <w:noProof/>
        </w:rPr>
      </w:pPr>
      <w:r>
        <w:t>(6)</w:t>
      </w:r>
      <w:r>
        <w:tab/>
      </w:r>
      <w:r>
        <w:rPr>
          <w:noProof/>
        </w:rPr>
        <w:t>С Решение за изпълнение (ЕС) 2015/2109 на Съвета</w:t>
      </w:r>
      <w:r>
        <w:rPr>
          <w:rStyle w:val="FootnoteReference"/>
          <w:noProof/>
        </w:rPr>
        <w:footnoteReference w:id="12"/>
      </w:r>
      <w:r>
        <w:rPr>
          <w:noProof/>
        </w:rPr>
        <w:t xml:space="preserve"> на Обединеното кралство беше разрешено да продължи да прилага специалната мярка за дерогация до 31 декември 2018 г. По силата на Решение за изпълнение (ЕС) 2018/1918 на Съвета беше предоставено ново удължение на мярката до 31 декември 2020 г.</w:t>
      </w:r>
      <w:r>
        <w:rPr>
          <w:rStyle w:val="FootnoteReference"/>
          <w:noProof/>
        </w:rPr>
        <w:footnoteReference w:id="13"/>
      </w:r>
    </w:p>
    <w:p>
      <w:pPr>
        <w:pStyle w:val="ManualConsidrant"/>
        <w:rPr>
          <w:noProof/>
        </w:rPr>
      </w:pPr>
      <w:r>
        <w:t>(7)</w:t>
      </w:r>
      <w:r>
        <w:tab/>
      </w:r>
      <w:r>
        <w:rPr>
          <w:noProof/>
        </w:rPr>
        <w:t xml:space="preserve">С писмо, заведено в Комисията на 27 ноември 2020 г., Обединеното кралство по отношение на Северна Ирландия поиска разрешение да продължи да прилага специалната мярка, считано от 1 януари 2021 г. В искането беше включено обяснение как функционира специалната мярка. </w:t>
      </w:r>
    </w:p>
    <w:p>
      <w:pPr>
        <w:pStyle w:val="ManualConsidrant"/>
        <w:rPr>
          <w:noProof/>
        </w:rPr>
      </w:pPr>
      <w:r>
        <w:t>(8)</w:t>
      </w:r>
      <w:r>
        <w:tab/>
      </w:r>
      <w:r>
        <w:rPr>
          <w:noProof/>
        </w:rPr>
        <w:t>С писмо от 10 декември 2020 г. Комисията предаде на държавите членки отправеното от Обединеното кралство искане. С писмо от 11 декември 2020 г. Комисията уведоми Обединеното кралство, че разполага с цялата информация, необходима за разглеждане на искането.</w:t>
      </w:r>
    </w:p>
    <w:p>
      <w:pPr>
        <w:pStyle w:val="ManualConsidrant"/>
        <w:rPr>
          <w:noProof/>
        </w:rPr>
      </w:pPr>
      <w:r>
        <w:t>(9)</w:t>
      </w:r>
      <w:r>
        <w:tab/>
      </w:r>
      <w:r>
        <w:rPr>
          <w:noProof/>
        </w:rPr>
        <w:t>Според Обединеното кралство специалната мярка е осигурила както за данъчно задължените лица, така и за данъчната администрация ефикасна опростена процедура за събиране на ДДС във връзка с разходите за гориво за служебните автомобили, които частично се употребяват за лични нужди. Следователно е целесъобразно на Обединеното кралство по отношение на Северна Ирландия да бъде разрешено да продължи да прилага специалната мярка.</w:t>
      </w:r>
    </w:p>
    <w:p>
      <w:pPr>
        <w:pStyle w:val="ManualConsidrant"/>
        <w:rPr>
          <w:noProof/>
        </w:rPr>
      </w:pPr>
      <w:r>
        <w:t>(10)</w:t>
      </w:r>
      <w:r>
        <w:tab/>
      </w:r>
      <w:r>
        <w:rPr>
          <w:noProof/>
        </w:rPr>
        <w:t>Срокът на действие на дерогацията следва да бъде ограничен до 31 декември 2023 г., тъй като е необходимо периодично наново да се преценява дали режимът с единна ставка продължава да отразява правилно общото съотношение между употребата за стопански цели и за лични нужди.</w:t>
      </w:r>
    </w:p>
    <w:p>
      <w:pPr>
        <w:pStyle w:val="ManualConsidrant"/>
        <w:rPr>
          <w:noProof/>
        </w:rPr>
      </w:pPr>
      <w:r>
        <w:t>(11)</w:t>
      </w:r>
      <w:r>
        <w:tab/>
      </w:r>
      <w:r>
        <w:rPr>
          <w:noProof/>
        </w:rPr>
        <w:t>В съответствие с член 8, втора алинея от Протокола приходите от сделки, които се облагат в Северна Ирландия, не трябва да се превеждат на Съюза. Поради това специалната мярка няма да има въздействие върху собствените ресурси на Съюза от ДДС,</w:t>
      </w:r>
    </w:p>
    <w:p>
      <w:pPr>
        <w:pStyle w:val="Formuledadoption"/>
        <w:rPr>
          <w:noProof/>
        </w:rPr>
      </w:pPr>
      <w:r>
        <w:rPr>
          <w:noProof/>
        </w:rPr>
        <w:lastRenderedPageBreak/>
        <w:t xml:space="preserve">ПРИЕ НАСТОЯЩОТО РЕШЕНИЕ: </w:t>
      </w:r>
    </w:p>
    <w:p>
      <w:pPr>
        <w:pStyle w:val="Titrearticle"/>
        <w:rPr>
          <w:noProof/>
        </w:rPr>
      </w:pPr>
      <w:r>
        <w:rPr>
          <w:noProof/>
        </w:rPr>
        <w:t>Член 1</w:t>
      </w:r>
    </w:p>
    <w:p>
      <w:pPr>
        <w:rPr>
          <w:noProof/>
        </w:rPr>
      </w:pPr>
      <w:r>
        <w:rPr>
          <w:noProof/>
        </w:rPr>
        <w:t>Чрез дерогация от членове 16 и 168 от Директива 2006/112/ЕО се разрешава на Обединеното кралство по отношение на Северна Ирландия до 31 декември 2023 г. да определя чрез единна ставка дела на ДДС, свързан с разходите за гориво за служебните автомобили, които се употребяват за лични нужди.</w:t>
      </w:r>
    </w:p>
    <w:p>
      <w:pPr>
        <w:pStyle w:val="Titrearticle"/>
        <w:rPr>
          <w:noProof/>
        </w:rPr>
      </w:pPr>
      <w:r>
        <w:rPr>
          <w:noProof/>
        </w:rPr>
        <w:t>Член 2</w:t>
      </w:r>
    </w:p>
    <w:p>
      <w:pPr>
        <w:keepNext/>
        <w:keepLines/>
        <w:rPr>
          <w:noProof/>
        </w:rPr>
      </w:pPr>
      <w:r>
        <w:rPr>
          <w:noProof/>
        </w:rPr>
        <w:t xml:space="preserve">Делът на данъка по член 1 се изразява като фиксирани суми, които се определят въз основа на равнището на емисиите на въглероден диоксид за типа на превозното средство и отразяват разхода на гориво. Обединеното кралство по отношение на Северна Ирландия коригира тези фиксирани суми ежегодно, за да отразява промените в средната цена на горивото. </w:t>
      </w:r>
    </w:p>
    <w:p>
      <w:pPr>
        <w:pStyle w:val="Titrearticle"/>
        <w:rPr>
          <w:noProof/>
        </w:rPr>
      </w:pPr>
      <w:r>
        <w:rPr>
          <w:noProof/>
        </w:rPr>
        <w:t>Член 3</w:t>
      </w:r>
    </w:p>
    <w:p>
      <w:pPr>
        <w:keepNext/>
        <w:keepLines/>
        <w:rPr>
          <w:noProof/>
        </w:rPr>
      </w:pPr>
      <w:r>
        <w:rPr>
          <w:noProof/>
        </w:rPr>
        <w:t xml:space="preserve">Системата, създадена въз основа на настоящото решение, е незадължителна за данъчно задължените лица. </w:t>
      </w:r>
    </w:p>
    <w:p>
      <w:pPr>
        <w:pStyle w:val="Titrearticle"/>
        <w:rPr>
          <w:i w:val="0"/>
          <w:noProof/>
        </w:rPr>
      </w:pPr>
      <w:r>
        <w:rPr>
          <w:noProof/>
        </w:rPr>
        <w:t>Член 4</w:t>
      </w:r>
    </w:p>
    <w:p>
      <w:pPr>
        <w:keepNext/>
        <w:keepLines/>
        <w:rPr>
          <w:noProof/>
        </w:rPr>
      </w:pPr>
      <w:r>
        <w:rPr>
          <w:noProof/>
          <w:color w:val="000000"/>
        </w:rPr>
        <w:t>Адресат на настоящото решение е Обединеното кралство</w:t>
      </w:r>
      <w:r>
        <w:rPr>
          <w:noProof/>
        </w:rPr>
        <w:t xml:space="preserve"> Великобритания и Северна Ирландия </w:t>
      </w:r>
      <w:r>
        <w:rPr>
          <w:noProof/>
          <w:color w:val="000000"/>
        </w:rPr>
        <w:t>по отношение на Северна Ирланди</w:t>
      </w:r>
      <w:r>
        <w:rPr>
          <w:noProof/>
        </w:rPr>
        <w:t>я</w:t>
      </w:r>
      <w: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347, 11.12.2006 г, стр. 1.</w:t>
      </w:r>
    </w:p>
  </w:footnote>
  <w:footnote w:id="2">
    <w:p>
      <w:pPr>
        <w:pStyle w:val="FootnoteText"/>
      </w:pPr>
      <w:r>
        <w:rPr>
          <w:rStyle w:val="FootnoteReference"/>
        </w:rPr>
        <w:footnoteRef/>
      </w:r>
      <w:r>
        <w:tab/>
        <w:t>Споразумение на Съвета за оттеглянето на Обединеното кралство Великобритания и Северна Ирландия от Европейския съюз и Европейската общност за атомна енергия (ОВ C 384 I, 12.11.2019 г., стр. 1).</w:t>
      </w:r>
    </w:p>
  </w:footnote>
  <w:footnote w:id="3">
    <w:p>
      <w:pPr>
        <w:pStyle w:val="FootnoteText"/>
      </w:pPr>
      <w:r>
        <w:rPr>
          <w:rStyle w:val="FootnoteReference"/>
        </w:rPr>
        <w:footnoteRef/>
      </w:r>
      <w:r>
        <w:tab/>
        <w:t>ОВ C 384 I от 12.11.2019 г., стр. 92.</w:t>
      </w:r>
    </w:p>
  </w:footnote>
  <w:footnote w:id="4">
    <w:p>
      <w:pPr>
        <w:pStyle w:val="FootnoteText"/>
      </w:pPr>
      <w:r>
        <w:rPr>
          <w:rStyle w:val="FootnoteReference"/>
        </w:rPr>
        <w:footnoteRef/>
      </w:r>
      <w:r>
        <w:tab/>
        <w:t>ОВ L 212, 2.8.1986 г, стр. 35.</w:t>
      </w:r>
    </w:p>
  </w:footnote>
  <w:footnote w:id="5">
    <w:p>
      <w:pPr>
        <w:pStyle w:val="FootnoteText"/>
      </w:pPr>
      <w:r>
        <w:rPr>
          <w:rStyle w:val="FootnoteReference"/>
        </w:rPr>
        <w:footnoteRef/>
      </w:r>
      <w:r>
        <w:tab/>
        <w:t>ОВ L 272, 3.10.2006 г, стр. 15.</w:t>
      </w:r>
    </w:p>
  </w:footnote>
  <w:footnote w:id="6">
    <w:p>
      <w:pPr>
        <w:pStyle w:val="FootnoteText"/>
      </w:pPr>
      <w:r>
        <w:rPr>
          <w:rStyle w:val="FootnoteReference"/>
        </w:rPr>
        <w:footnoteRef/>
      </w:r>
      <w:r>
        <w:tab/>
        <w:t xml:space="preserve">ОВ L 305, 21.11.2015 г., стр. 49—50. </w:t>
      </w:r>
    </w:p>
  </w:footnote>
  <w:footnote w:id="7">
    <w:p>
      <w:pPr>
        <w:pStyle w:val="FootnoteText"/>
      </w:pPr>
      <w:r>
        <w:rPr>
          <w:rStyle w:val="FootnoteReference"/>
        </w:rPr>
        <w:footnoteRef/>
      </w:r>
      <w:r>
        <w:tab/>
        <w:t>ОВ L 311, 7.12.2018 г, стр. 30—31.</w:t>
      </w:r>
    </w:p>
  </w:footnote>
  <w:footnote w:id="8">
    <w:p>
      <w:pPr>
        <w:pStyle w:val="FootnoteText"/>
        <w:jc w:val="left"/>
      </w:pPr>
      <w:r>
        <w:rPr>
          <w:rStyle w:val="FootnoteReference"/>
        </w:rPr>
        <w:footnoteRef/>
      </w:r>
      <w:r>
        <w:tab/>
        <w:t xml:space="preserve">COM(2004) 728 final — Предложение за Директива на Съвета за изменение на Директива 77/388/ЕИО с цел опростяване на задълженията, свързани с данъка върху добавената стойност (ОВ C 24, 29.1.2005 г., стр. 10), оттеглено на 21 май 2014 г. (ОВ C 153, 21. 5. 2014 г., стр. 3). </w:t>
      </w:r>
    </w:p>
  </w:footnote>
  <w:footnote w:id="9">
    <w:p>
      <w:pPr>
        <w:pStyle w:val="FootnoteText"/>
      </w:pPr>
      <w:r>
        <w:rPr>
          <w:rStyle w:val="FootnoteReference"/>
        </w:rPr>
        <w:footnoteRef/>
      </w:r>
      <w:r>
        <w:tab/>
        <w:t>ОВ L 347, 11.12.2006 г, стр. 1.</w:t>
      </w:r>
    </w:p>
  </w:footnote>
  <w:footnote w:id="10">
    <w:p>
      <w:pPr>
        <w:pStyle w:val="FootnoteText"/>
      </w:pPr>
      <w:r>
        <w:rPr>
          <w:rStyle w:val="FootnoteReference"/>
        </w:rPr>
        <w:footnoteRef/>
      </w:r>
      <w:r>
        <w:tab/>
        <w:t>При спазване на посоченото в член 18 от Протокола демократично съгласие за продължаване на прилагането на член 8 от него.</w:t>
      </w:r>
    </w:p>
  </w:footnote>
  <w:footnote w:id="11">
    <w:p>
      <w:pPr>
        <w:pStyle w:val="FootnoteText"/>
      </w:pPr>
      <w:r>
        <w:rPr>
          <w:rStyle w:val="FootnoteReference"/>
        </w:rPr>
        <w:footnoteRef/>
      </w:r>
      <w:r>
        <w:tab/>
        <w:t>Решение 2006/659/ЕО на Съвета от 25 септември 2006 г. с което се разрешава на Обединеното кралство да въведе специална мярка за дерогация от член 5, параграф 6 и член 11, част А, параграф 1, буква б) от Директива 77/388/ЕИО относно хармонизирането на законодателствата на държавите членки относно данъците върху оборота (OВ L 272, 3.10.2006 г., стр. 15).</w:t>
      </w:r>
    </w:p>
  </w:footnote>
  <w:footnote w:id="12">
    <w:p>
      <w:pPr>
        <w:pStyle w:val="FootnoteText"/>
      </w:pPr>
      <w:r>
        <w:rPr>
          <w:rStyle w:val="FootnoteReference"/>
        </w:rPr>
        <w:footnoteRef/>
      </w:r>
      <w:r>
        <w:tab/>
        <w:t xml:space="preserve">Решение за изпълнение (ЕС) 2015/2109 на Съвета от 17 ноември 2015 г. за даване на разрешение на Обединеното кралство да прилага специална мярка за дерогация от член 26, параграф 1, буква а) и членове 168 и 168а от Директива 2006/112/ЕО относно общата система на данъка върху добавената стойност (OВ L 305, 21.11.2015 г., стр. 49). </w:t>
      </w:r>
    </w:p>
  </w:footnote>
  <w:footnote w:id="13">
    <w:p>
      <w:pPr>
        <w:pStyle w:val="FootnoteText"/>
      </w:pPr>
      <w:r>
        <w:rPr>
          <w:rStyle w:val="FootnoteReference"/>
        </w:rPr>
        <w:footnoteRef/>
      </w:r>
      <w:r>
        <w:tab/>
        <w:t>Решение за изпълнение (ЕС) 2018/1918 на Съвета от 4 декември 2018 г. за предоставяне на разрешение на Обединеното кралство да прилага специална мярка за дерогация от членове 16 и 168 от Директива 2006/112/ЕО относно общата система на данъка върху добавената стойност (ОВ L 311, 7.12.2018 г., стр. 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306655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E02A31C"/>
    <w:lvl w:ilvl="0">
      <w:start w:val="1"/>
      <w:numFmt w:val="decimal"/>
      <w:pStyle w:val="ListNumber3"/>
      <w:lvlText w:val="%1."/>
      <w:lvlJc w:val="left"/>
      <w:pPr>
        <w:tabs>
          <w:tab w:val="num" w:pos="926"/>
        </w:tabs>
        <w:ind w:left="926" w:hanging="360"/>
      </w:pPr>
    </w:lvl>
  </w:abstractNum>
  <w:abstractNum w:abstractNumId="2">
    <w:nsid w:val="FFFFFF7F"/>
    <w:multiLevelType w:val="singleLevel"/>
    <w:tmpl w:val="68E8FF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A49C5CC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FBC6F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EF811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F2C851C"/>
    <w:lvl w:ilvl="0">
      <w:start w:val="1"/>
      <w:numFmt w:val="decimal"/>
      <w:pStyle w:val="ListNumber"/>
      <w:lvlText w:val="%1."/>
      <w:lvlJc w:val="left"/>
      <w:pPr>
        <w:tabs>
          <w:tab w:val="num" w:pos="360"/>
        </w:tabs>
        <w:ind w:left="360" w:hanging="360"/>
      </w:pPr>
    </w:lvl>
  </w:abstractNum>
  <w:abstractNum w:abstractNumId="7">
    <w:nsid w:val="FFFFFF89"/>
    <w:multiLevelType w:val="singleLevel"/>
    <w:tmpl w:val="189694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2-04 09:00:5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C7A45E2-FF5A-4B03-B04B-C402BB8202B5"/>
    <w:docVar w:name="LW_COVERPAGE_TYPE" w:val="1"/>
    <w:docVar w:name="LW_CROSSREFERENCE" w:val="&lt;UNUSED&gt;"/>
    <w:docVar w:name="LW_DocType" w:val="COM"/>
    <w:docVar w:name="LW_EMISSION" w:val="11.2.2021"/>
    <w:docVar w:name="LW_EMISSION_ISODATE" w:val="2021-02-11"/>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30"/>
    <w:docVar w:name="LW_REF.II.NEW.CP_YEAR" w:val="2021"/>
    <w:docVar w:name="LW_REF.INST.NEW" w:val="COM"/>
    <w:docVar w:name="LW_REF.INST.NEW_ADOPTED" w:val="final"/>
    <w:docVar w:name="LW_REF.INST.NEW_TEXT" w:val="(2021) 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8?\u1077?\u1076?\u1086?\u1089?\u1090?\u1072?\u1074?\u1103?\u1085?\u1077? \u1085?\u1072? \u1088?\u1072?\u1079?\u1088?\u1077?\u1096?\u1077?\u1085?\u1080?\u1077? \u1085?\u1072? \u1054?\u1073?\u1077?\u1076?\u1080?\u1085?\u1077?\u1085?\u1086?\u1090?\u1086? \u1082?\u1088?\u1072?\u1083?\u1089?\u1090?\u1074?\u1086? \u1087?\u1086? \u1086?\u1090?\u1085?\u1086?\u1096?\u1077?\u1085?\u1080?\u1077? \u1085?\u1072? \u1057?\u1077?\u1074?\u1077?\u1088?\u1085?\u1072? \u1048?\u1088?\u1083?\u1072?\u1085?\u1076?\u1080?\u1103? \u1076?\u1072? \u1087?\u1088?\u1080?\u1083?\u1072?\u1075?\u1072? \u1089?\u1087?\u1077?\u1094?\u1080?\u1072?\u1083?\u1085?\u1072? \u1084?\u1103?\u1088?\u1082?\u1072? \u1079?\u1072? \u1076?\u1077?\u1088?\u1086?\u1075?\u1072?\u1094?\u1080?\u1103? \u1086?\u1090? \u1095?\u1083?\u1077?\u1085?\u1086?\u1074?\u1077? 16 \u1080? 168 \u1086?\u1090? \u1044?\u1080?\u1088?\u1077?\u1082?\u1090?\u1080?\u1074?\u1072? 2006/112/\u1045?\u1054? \u1086?\u1090?\u1085?\u1086?\u1089?\u1085?\u1086? \u1086?\u1073?\u1097?\u1072?\u1090?\u1072? \u1089?\u1080?\u1089?\u1090?\u1077?\u1084?\u1072? \u1085?\u1072? \u1076?\u1072?\u1085?\u1098?\u1082?\u1072? \u1074?\u1098?\u1088?\u1093?\u1091? \u1076?\u1086?\u1073?\u1072?\u1074?\u1077?\u1085?\u1072?\u1090?\u1072? \u1089?\u1090?\u1086?\u1081?\u1085?\u1086?\u1089?\u1090?"/>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172D7-F302-40BB-9974-69679DC33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2411</Words>
  <Characters>13530</Characters>
  <Application>Microsoft Office Word</Application>
  <DocSecurity>0</DocSecurity>
  <Lines>246</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2021-02-01T10:37:00Z</dcterms:created>
  <dcterms:modified xsi:type="dcterms:W3CDTF">2021-02-04T08:00:00Z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