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95F7EC-9853-4644-A9F2-869D75DCC32F" style="width:450.7pt;height:365.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eastAsia="en-GB"/>
        </w:rPr>
      </w:pPr>
      <w:r>
        <w:rPr>
          <w:rFonts w:eastAsia="Calibri"/>
          <w:noProof/>
          <w:lang w:eastAsia="en-GB"/>
        </w:rPr>
        <w:t xml:space="preserve">The Council, on the basis of the recommendation from the European Commission,authorised the European Commission to negotiate, on behalf of the European Union, a new Agreement between the European Union on the one hand, and the Government of Greenland and the Government of Denmark, on the other hand, and a Protocol setting out the fishing opportunities and financial contribution. At the end of the negotiations an Agreement and Protocol were initialled by the negotiators on 11 January 2021. The new Agreement repeals and replaces the existing Agreement which entered into force on </w:t>
      </w:r>
      <w:r>
        <w:rPr>
          <w:noProof/>
        </w:rPr>
        <w:t>28 June 2007</w:t>
      </w:r>
      <w:r>
        <w:rPr>
          <w:rFonts w:eastAsia="Calibri"/>
          <w:noProof/>
          <w:lang w:eastAsia="en-GB"/>
        </w:rPr>
        <w:t xml:space="preserve">; </w:t>
      </w:r>
      <w:r>
        <w:rPr>
          <w:rStyle w:val="FootnoteReference"/>
          <w:noProof/>
        </w:rPr>
        <w:footnoteReference w:id="1"/>
      </w:r>
      <w:r>
        <w:rPr>
          <w:rFonts w:eastAsia="Calibri"/>
          <w:noProof/>
          <w:lang w:eastAsia="en-GB"/>
        </w:rPr>
        <w:t xml:space="preserve">it covers a period of six years (2021-2026) from the date of its provisional application, renewable by tacit agreement. The new Protocol covers a period of four years (2021-2024) from the date of provisional application laid down in Article 15, that being the date on which it is signed by the parties, and may be extended by two years if the parties so agree.  </w:t>
      </w:r>
    </w:p>
    <w:p>
      <w:pPr>
        <w:rPr>
          <w:rFonts w:eastAsia="Calibri"/>
          <w:noProof/>
          <w:lang w:eastAsia="en-GB"/>
        </w:rPr>
      </w:pPr>
      <w:r>
        <w:rPr>
          <w:rFonts w:eastAsia="Calibri"/>
          <w:noProof/>
          <w:lang w:eastAsia="en-GB"/>
        </w:rPr>
        <w:t>The purpose of this proposal is for the Council to authorise the signing and provisional application of the Sustainable Fisheries Partnership Agreement and the Implementation Protocol thereto</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current Fisheries Partnership Agreement (FPA) between the European Union and the Governments of Denmark and Greenland</w:t>
      </w:r>
      <w:r>
        <w:rPr>
          <w:rStyle w:val="FootnoteReference"/>
          <w:noProof/>
        </w:rPr>
        <w:footnoteReference w:id="2"/>
      </w:r>
      <w:r>
        <w:rPr>
          <w:noProof/>
        </w:rPr>
        <w:t xml:space="preserve"> was signed on 28 June 2007 and entered into force on 2 November 2007 for a duration of six years. The agreement is tacitly renewed every 6 years, with the last prolongation having occurred on 1 January 2019. On this basis, the current 5-year Protocol</w:t>
      </w:r>
      <w:r>
        <w:rPr>
          <w:rStyle w:val="FootnoteReference"/>
          <w:noProof/>
        </w:rPr>
        <w:footnoteReference w:id="3"/>
      </w:r>
      <w:r>
        <w:rPr>
          <w:noProof/>
        </w:rPr>
        <w:t xml:space="preserve"> to the FPA entered into application on 1 January 2016</w:t>
      </w:r>
      <w:r>
        <w:rPr>
          <w:rStyle w:val="FootnoteReference"/>
          <w:noProof/>
        </w:rPr>
        <w:footnoteReference w:id="4"/>
      </w:r>
      <w:r>
        <w:rPr>
          <w:noProof/>
        </w:rPr>
        <w:t xml:space="preserve"> (expired on 31 December 2020) and it establishes fishing opportunities for the Union fleet and the corresponding financial contribution to be paid by the Union and EU ship-owners.</w:t>
      </w:r>
    </w:p>
    <w:p>
      <w:pPr>
        <w:rPr>
          <w:noProof/>
        </w:rPr>
      </w:pPr>
      <w:r>
        <w:rPr>
          <w:noProof/>
        </w:rPr>
        <w:t>The new SFPA and its Implementing Protocol pursue the priorities of the reformed Common Fisheries Policy</w:t>
      </w:r>
      <w:r>
        <w:rPr>
          <w:rStyle w:val="FootnoteReference"/>
          <w:noProof/>
        </w:rPr>
        <w:footnoteReference w:id="5"/>
      </w:r>
      <w:r>
        <w:rPr>
          <w:noProof/>
        </w:rPr>
        <w:t xml:space="preserve"> and its external dimension,</w:t>
      </w:r>
      <w:r>
        <w:rPr>
          <w:rStyle w:val="FootnoteReference"/>
          <w:noProof/>
        </w:rPr>
        <w:footnoteReference w:id="6"/>
      </w:r>
      <w:r>
        <w:rPr>
          <w:noProof/>
        </w:rPr>
        <w:t xml:space="preserve"> with a view of continuing and reinforcing the strategic partnership between the European Union and the Governments of Greenland and Denmark in the field of fisheries.</w:t>
      </w:r>
    </w:p>
    <w:p>
      <w:pPr>
        <w:rPr>
          <w:noProof/>
          <w:szCs w:val="24"/>
        </w:rPr>
      </w:pPr>
      <w:r>
        <w:rPr>
          <w:noProof/>
        </w:rPr>
        <w:t>The aim of the Protocol is to grant</w:t>
      </w:r>
      <w:r>
        <w:rPr>
          <w:noProof/>
          <w:szCs w:val="24"/>
        </w:rPr>
        <w:t xml:space="preserve"> fishing opportunities to Union vessels in the Greenland waters, on the basis of the best available scientific advice and respecting the recommendations of the International Council for the Exploration of the Sea (ICES), the Northwest Atlantic Fisheries Organization's (NAFO) and of the North East Atlantic Fisheries Commission (NEAFC). The Commission based its position in part on the results of an evaluation of the previous Agreement and Protocol and of a forward-looking assessment of whether a new Agreement and Protocol should be concluded. The Protocol also enables the European Union and Greenland to work more closely together on promoting sound exploitation of fishery </w:t>
      </w:r>
      <w:r>
        <w:rPr>
          <w:noProof/>
          <w:szCs w:val="24"/>
        </w:rPr>
        <w:lastRenderedPageBreak/>
        <w:t xml:space="preserve">resources in Greenlandic waters and to support efforts by the Government of Greenland to develop its fisheries sector, in the interests of both parties. </w:t>
      </w:r>
    </w:p>
    <w:p>
      <w:pPr>
        <w:rPr>
          <w:noProof/>
          <w:szCs w:val="24"/>
        </w:rPr>
      </w:pPr>
      <w:r>
        <w:rPr>
          <w:noProof/>
          <w:szCs w:val="24"/>
        </w:rPr>
        <w:t xml:space="preserve">The species covered by the new Protocol are Cod, Pelagic Redfish, Demersal Redfish, Greenland Halibut, Northern Prawn, Grenadier, Capelin and Mackerel. The new Protocol provides fishing opportunities for 12 vessels. Six EU Member States have a direct fishing interest in the new Protocol, namely Denmark, France, Germany, Poland, Lithuania and Sweden and, to a lesser degree, Spain and Portugal. </w:t>
      </w:r>
    </w:p>
    <w:p>
      <w:pPr>
        <w:rPr>
          <w:noProof/>
          <w:szCs w:val="24"/>
        </w:rPr>
      </w:pPr>
      <w:r>
        <w:rPr>
          <w:noProof/>
          <w:szCs w:val="24"/>
        </w:rPr>
        <w:t>In return, the EU budget will provide an annual financial compensation to Greenland of € 16 521 754 out of which € 2 931 0000 earmarked to support the fisheries policy of Greenland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negotiation of a new Sustainable Fishery Partnership Agreement and its Implementing Protocol forms part of the EU’s external action in relation to Overseas Countries and Territories (OCTs).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keepNext/>
        <w:rPr>
          <w:noProof/>
        </w:rPr>
      </w:pPr>
      <w:r>
        <w:rPr>
          <w:noProof/>
        </w:rPr>
        <w:t xml:space="preserve">The legal basis is Article 43(2) of the Treaty on the Functioning of the European Union, which establishes the Common Fisheries Policy and Article 218(6)(a)(v) and (7) TEFU on the conclusion of agreements between the Union and third countries and the possibility to authorise the negotiator to approve on behalf of the Union modifications to the agreement that have been adopted by a simplified procedure or by a body set up by the agreement. </w:t>
      </w:r>
    </w:p>
    <w:p>
      <w:pPr>
        <w:pStyle w:val="ManualHeading2"/>
        <w:rPr>
          <w:noProof/>
          <w:u w:color="000000"/>
          <w:bdr w:val="nil"/>
          <w:lang w:val="en-US" w:eastAsia="en-GB"/>
        </w:rPr>
      </w:pPr>
      <w:r>
        <w:rPr>
          <w:noProof/>
        </w:rPr>
        <w:t xml:space="preserve"> </w:t>
      </w:r>
      <w:r>
        <w:rPr>
          <w:noProof/>
          <w:u w:color="000000"/>
          <w:bdr w:val="nil"/>
          <w:lang w:val="en-US" w:eastAsia="en-GB"/>
        </w:rPr>
        <w:t>•</w:t>
      </w:r>
      <w:r>
        <w:rPr>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is proportionate to the objective of establishing a legal, environmental, economic and social governance framework for fishing activities carried out by EU vessels in third-country waters, as set out in Article 31 of the Regulation establishing the Common Fisheries Policy. It complies with those provisions as well as with those on financial assistance to third countries laid down in Article 32 of that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before="0" w:after="240"/>
        <w:rPr>
          <w:rFonts w:eastAsia="Arial Unicode MS"/>
          <w:noProof/>
        </w:rPr>
      </w:pPr>
      <w:r>
        <w:rPr>
          <w:noProof/>
        </w:rPr>
        <w:t>The ex-post evaluation was conducted over the period April to August 2019.Stakeholders were consulted during the ex-post evaluation of the Protocol for the period 2016-20. Experts from the Member States were also consulted in technical meetings. These consultations led to the conclusion that it would be beneficial to renew the Protocol with the governments of Greenland and Denmark.  The main reasons why it was considered beneficial to renew the protocol are, on the one hand, because the FPA and the protocol are very relevant to the needs of the EU in terms of providing access to the EU fleet and supporting scientific collaboration and sustainable exploitation and, on the other hand, because the agreement is relevant to the Greenland government in terms of cooperation with the 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and the fisheries administration and civil society representatives of Greenland were consulted as part of the evaluation. Consultations also took place in the framework of the Long Distance Advisory Council.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noProof/>
        </w:rPr>
      </w:pPr>
      <w:r>
        <w:rPr>
          <w:noProof/>
        </w:rPr>
        <w:t xml:space="preserve">The Commission used an independent consultant for the ex-post and ex-ante evaluations, in accordance with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The annual financial contribution from the European Union is EUR 16 521 754, based on:</w:t>
      </w:r>
    </w:p>
    <w:p>
      <w:pPr>
        <w:rPr>
          <w:noProof/>
        </w:rPr>
      </w:pPr>
      <w:r>
        <w:rPr>
          <w:noProof/>
        </w:rPr>
        <w:t>a) an annual amount for access to fishery resources for the categories provided for in the Protocol, set at EUR 13 590 754  for the duration of the Protocol;</w:t>
      </w:r>
    </w:p>
    <w:p>
      <w:pPr>
        <w:rPr>
          <w:noProof/>
        </w:rPr>
      </w:pPr>
      <w:r>
        <w:rPr>
          <w:noProof/>
        </w:rPr>
        <w:t>b) support for the development of Greenland’s sectoral fisheries policy amounting to EUR 2 931 000 for the duration of the Protocol. This support meets the objectives of Greenland’s national policy on the sustainable management of their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yet having entered into force at the beginning of the year</w:t>
      </w:r>
      <w:r>
        <w:rPr>
          <w:rStyle w:val="FootnoteReference"/>
          <w:noProof/>
        </w:rPr>
        <w:footnoteReference w:id="7"/>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rFonts w:eastAsia="Arial Unicode MS"/>
          <w:noProof/>
        </w:rPr>
      </w:pPr>
      <w:r>
        <w:rPr>
          <w:rFonts w:eastAsia="Calibri"/>
          <w:noProof/>
        </w:rPr>
        <w:t>The monitoring arrangements are provided for in the Protocol implementing the new Partnership Agreement.</w:t>
      </w:r>
    </w:p>
    <w:p>
      <w:pPr>
        <w:pStyle w:val="ManualHeading2"/>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 Sustainable Fisheries Partnership Agreement between the European Union on the one hand, and the Government of Greenland and the Government of Denmark, on the other hand and the Implementation Protocol thereto</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218(6)(a)(v) and (7)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8"/>
      </w:r>
      <w:r>
        <w:rPr>
          <w:noProof/>
        </w:rPr>
        <w:t>,</w:t>
      </w:r>
    </w:p>
    <w:p>
      <w:pPr>
        <w:rPr>
          <w:noProof/>
        </w:rPr>
      </w:pPr>
      <w:r>
        <w:rPr>
          <w:noProof/>
        </w:rPr>
        <w:t>Whereas:</w:t>
      </w:r>
    </w:p>
    <w:p>
      <w:pPr>
        <w:pStyle w:val="ManualConsidrant"/>
        <w:rPr>
          <w:noProof/>
          <w:lang w:eastAsia="en-GB"/>
        </w:rPr>
      </w:pPr>
      <w:r>
        <w:t>(1)</w:t>
      </w:r>
      <w:r>
        <w:tab/>
      </w:r>
      <w:r>
        <w:rPr>
          <w:noProof/>
          <w:lang w:eastAsia="en-GB"/>
        </w:rPr>
        <w:t xml:space="preserve">The Commision negotiated on behalf of the European Union a new Sustainable Fisheries Partnership Agreement between the European Union Union on the one hand, </w:t>
      </w:r>
      <w:r>
        <w:rPr>
          <w:noProof/>
        </w:rPr>
        <w:t xml:space="preserve">and the Government of Greenland and the Government of Denmark, on the other hand </w:t>
      </w:r>
      <w:r>
        <w:rPr>
          <w:noProof/>
          <w:lang w:eastAsia="en-GB"/>
        </w:rPr>
        <w:t>("Partnership Agreement") as well as a new Implementation Protocol to the Partnership Agreement.</w:t>
      </w:r>
    </w:p>
    <w:p>
      <w:pPr>
        <w:pStyle w:val="ManualConsidrant"/>
        <w:rPr>
          <w:noProof/>
          <w:lang w:eastAsia="en-GB"/>
        </w:rPr>
      </w:pPr>
      <w:r>
        <w:t>(2)</w:t>
      </w:r>
      <w:r>
        <w:tab/>
      </w:r>
      <w:r>
        <w:rPr>
          <w:noProof/>
          <w:lang w:eastAsia="en-GB"/>
        </w:rPr>
        <w:t>The Partnership Agreement and the Implementation Protocol were initialled at the end of those negotiations on 11 January 2021.</w:t>
      </w:r>
    </w:p>
    <w:p>
      <w:pPr>
        <w:pStyle w:val="ManualConsidrant"/>
        <w:rPr>
          <w:noProof/>
          <w:lang w:eastAsia="en-GB"/>
        </w:rPr>
      </w:pPr>
      <w:r>
        <w:t>(3)</w:t>
      </w:r>
      <w:r>
        <w:tab/>
      </w:r>
      <w:r>
        <w:rPr>
          <w:noProof/>
          <w:lang w:eastAsia="en-GB"/>
        </w:rPr>
        <w:t>The Partnership Agreement repeals the previous Agreement that was concluded between the</w:t>
      </w:r>
      <w:r>
        <w:rPr>
          <w:noProof/>
        </w:rPr>
        <w:t xml:space="preserve"> European Community on the one hand, and the Government of Denmark and the Home Rule Government of Greenland, on the other hand</w:t>
      </w:r>
      <w:r>
        <w:rPr>
          <w:noProof/>
          <w:lang w:eastAsia="en-GB"/>
        </w:rPr>
        <w:t xml:space="preserve"> and that entered into force on 28 June 2007.</w:t>
      </w:r>
    </w:p>
    <w:p>
      <w:pPr>
        <w:pStyle w:val="ManualConsidrant"/>
        <w:rPr>
          <w:noProof/>
        </w:rPr>
      </w:pPr>
      <w:r>
        <w:t>(4)</w:t>
      </w:r>
      <w:r>
        <w:tab/>
      </w:r>
      <w:r>
        <w:rPr>
          <w:noProof/>
        </w:rPr>
        <w:t>(4)</w:t>
      </w:r>
      <w:r>
        <w:rPr>
          <w:noProof/>
        </w:rPr>
        <w:tab/>
        <w:t>In accordance with Council Decision 2021/…/EU</w:t>
      </w:r>
      <w:r>
        <w:rPr>
          <w:rStyle w:val="FootnoteReference"/>
          <w:noProof/>
        </w:rPr>
        <w:footnoteReference w:id="9"/>
      </w:r>
      <w:r>
        <w:rPr>
          <w:noProof/>
        </w:rPr>
        <w:t>, the new Partnership Agreement and the Implementaiton Protocol were signed on… [</w:t>
      </w:r>
      <w:r>
        <w:rPr>
          <w:i/>
          <w:noProof/>
        </w:rPr>
        <w:t>insert the date of signature</w:t>
      </w:r>
      <w:r>
        <w:rPr>
          <w:noProof/>
        </w:rPr>
        <w:t>].</w:t>
      </w:r>
    </w:p>
    <w:p>
      <w:pPr>
        <w:pStyle w:val="ManualConsidrant"/>
        <w:rPr>
          <w:noProof/>
        </w:rPr>
      </w:pPr>
      <w:r>
        <w:t>(5)</w:t>
      </w:r>
      <w:r>
        <w:tab/>
      </w:r>
      <w:r>
        <w:rPr>
          <w:noProof/>
        </w:rPr>
        <w:t xml:space="preserve">The Partnership Agreement and Implementation Protocol have been applied on a provisional basis from the date of their signature. </w:t>
      </w:r>
    </w:p>
    <w:p>
      <w:pPr>
        <w:pStyle w:val="ManualConsidrant"/>
        <w:rPr>
          <w:noProof/>
        </w:rPr>
      </w:pPr>
      <w:r>
        <w:t>(6)</w:t>
      </w:r>
      <w:r>
        <w:tab/>
      </w:r>
      <w:r>
        <w:rPr>
          <w:noProof/>
        </w:rPr>
        <w:t>The Partnership Agreement and the Implementation Protocol should be approved on behalf of the European Union.</w:t>
      </w:r>
    </w:p>
    <w:p>
      <w:pPr>
        <w:pStyle w:val="ManualConsidrant"/>
        <w:rPr>
          <w:noProof/>
        </w:rPr>
      </w:pPr>
      <w:r>
        <w:t>(7)</w:t>
      </w:r>
      <w:r>
        <w:tab/>
      </w:r>
      <w:r>
        <w:rPr>
          <w:noProof/>
        </w:rPr>
        <w:t>Article 12 of the Agreement establishes the Joint Committee responsible for monitoring its implementation. Furthermore, in accordance with Article 4 and Article 7 of the Protocol, the Joint Committee may approve certain amendments to the Protocol. In order to facilitate the approval of such amendments, the Commission should be empowered, subject to specific conditions, to approve them under a simplified procedure,</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Sustainable Fisheries Partnership Agreement between the European Union on the one hand and the Government of Greenland and the Government of Denmark, on the other hand (hereinafter referred to as ‘the Agreement’)  and the Implementation Protocol thereto (hereinafter referred to as ‘the Protocol’) are hereby approved on behalf of the Union.</w:t>
      </w:r>
    </w:p>
    <w:p>
      <w:pPr>
        <w:rPr>
          <w:noProof/>
        </w:rPr>
      </w:pPr>
      <w:r>
        <w:rPr>
          <w:noProof/>
        </w:rPr>
        <w:t xml:space="preserve">The text of the Agreement and Protocol is attached to this Decision as Annex I. </w:t>
      </w:r>
    </w:p>
    <w:p>
      <w:pPr>
        <w:pStyle w:val="Titrearticle"/>
        <w:rPr>
          <w:noProof/>
        </w:rPr>
      </w:pPr>
      <w:r>
        <w:rPr>
          <w:noProof/>
        </w:rPr>
        <w:t>Article 2</w:t>
      </w:r>
    </w:p>
    <w:p>
      <w:pPr>
        <w:rPr>
          <w:noProof/>
        </w:rPr>
      </w:pPr>
      <w:r>
        <w:rPr>
          <w:noProof/>
        </w:rPr>
        <w:t xml:space="preserve">In accordance with the provisions and conditions laid down in Annex II to this Decision, the Commission is authorised to approve, on behalf of the Union, the amendments to the Protocol adopted by the Joint Committee established under Article 12 of the Agreement. </w:t>
      </w:r>
    </w:p>
    <w:p>
      <w:pPr>
        <w:pStyle w:val="Titrearticle"/>
        <w:rPr>
          <w:noProof/>
        </w:rPr>
      </w:pPr>
      <w:r>
        <w:rPr>
          <w:noProof/>
        </w:rPr>
        <w:t>Article 3</w:t>
      </w:r>
    </w:p>
    <w:p>
      <w:pPr>
        <w:rPr>
          <w:noProof/>
        </w:rPr>
      </w:pPr>
      <w:r>
        <w:rPr>
          <w:noProof/>
        </w:rPr>
        <w:t xml:space="preserve">The President of the Council shall, on behalf of the Union, give the notification provided for in Article 20 of the Fisheries Agreement and Article 14 of the Implementation Protocol thereto. </w:t>
      </w:r>
    </w:p>
    <w:p>
      <w:pPr>
        <w:pStyle w:val="Titrearticle"/>
        <w:rPr>
          <w:noProof/>
        </w:rPr>
      </w:pPr>
      <w:r>
        <w:rPr>
          <w:noProof/>
        </w:rPr>
        <w:t>Article 4</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Titrearticle"/>
        <w:rPr>
          <w:noProof/>
        </w:rPr>
      </w:pPr>
      <w:r>
        <w:rPr>
          <w:noProof/>
        </w:rPr>
        <w:t>Article 5</w:t>
      </w:r>
    </w:p>
    <w:p>
      <w:pPr>
        <w:keepNext/>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lang w:val="en-US"/>
        </w:rPr>
        <w:t>Proposal for a Council Decision on the signing, on behalf of the European Union, and provisional application of the Sustainable Fisheries Partnership Agreement and its Implementing Protocol between the European Union on the one hand, and the Government of Greenland and the Government of Denmark.</w:t>
      </w:r>
    </w:p>
    <w:p>
      <w:pPr>
        <w:pStyle w:val="ManualHeading2"/>
        <w:rPr>
          <w:noProof/>
          <w:szCs w:val="24"/>
        </w:rPr>
      </w:pPr>
      <w:r>
        <w:t>1.2.</w:t>
      </w:r>
      <w:r>
        <w:tab/>
      </w:r>
      <w:r>
        <w:rPr>
          <w:noProof/>
        </w:rPr>
        <w:t>Policy area(s) concerned in the ABM/ABB structure</w:t>
      </w:r>
      <w:r>
        <w:rPr>
          <w:rStyle w:val="FootnoteReference"/>
          <w:noProof/>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third-country waters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1"/>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conclusion of the Agreement and its Implementing Protocol enables to continue and reinforce the strategic fisheries partnership between the European Union and Greenland. The conclusion of the Protocol will create fishing opportunities for Union vessels in the Grenlandic fishing zone.</w:t>
      </w:r>
    </w:p>
    <w:p>
      <w:pPr>
        <w:pStyle w:val="Text1"/>
        <w:pBdr>
          <w:top w:val="single" w:sz="4" w:space="1" w:color="auto"/>
          <w:left w:val="single" w:sz="4" w:space="4" w:color="auto"/>
          <w:bottom w:val="single" w:sz="4" w:space="1" w:color="auto"/>
          <w:right w:val="single" w:sz="4" w:space="4" w:color="auto"/>
        </w:pBdr>
        <w:rPr>
          <w:noProof/>
        </w:rPr>
      </w:pPr>
      <w:r>
        <w:rPr>
          <w:noProof/>
        </w:rPr>
        <w:t>The Agreement and the Protocol will also contribute to better management and conservation of fishery resources, through financial support (sectoral support) for the implementation of programmes adopted at national level by the partner country, in particular to reinforce monitoring, control and surveillance.</w:t>
      </w:r>
    </w:p>
    <w:p>
      <w:pPr>
        <w:pStyle w:val="Text1"/>
        <w:pBdr>
          <w:top w:val="single" w:sz="4" w:space="1" w:color="auto"/>
          <w:left w:val="single" w:sz="4" w:space="4" w:color="auto"/>
          <w:bottom w:val="single" w:sz="4" w:space="1" w:color="auto"/>
          <w:right w:val="single" w:sz="4" w:space="4" w:color="auto"/>
        </w:pBdr>
        <w:rPr>
          <w:noProof/>
        </w:rPr>
      </w:pPr>
      <w:r>
        <w:rPr>
          <w:noProof/>
        </w:rPr>
        <w:t>Lastly, the Agreement and the Protocol will contribute to Greenland’s sustainable exploitation of its marine resources and to Greenland’s fishing economy by promoting growth associated with fishing-related economic activities.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Fishing opportunity utilisation rates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Union and to stabilising the Union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Contribution to improving research, surveillance and control of fishing activity by the partner country and the development of its fisheries sector.</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It is intended that the new Agreement and Implementing Protocol will apply provisionally from the date of its signature, so as to minimise any interruption of fishing operations which are ongoing under the current Protocol.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Agreement and Protocol will provide a framework for the fishing activities of the Union fleet in Greenland fishing zone and will authorise EU vessel owners to apply for fishing authorisations to fish in that zone. In addition, the new Agreement and Protocol will enhance cooperation between the EU and Greenland with a view to promoting the development of a sustainable fisheries policy. It provides, in particular, for vessels to be monitored via VMS and for the electronic transmission of catch data. The sectoral support available under the Protocol will help Greenland with its national fisheries strategy. </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Failure by the Union to agree on a new Agreement and Protocol would impede the fishing activity of Union vessels as the current Agreement contains a clause excluding fishing activities not taking place in the framework defined by a Protocol to the Agreement. Consequently, the added value for the EU’s long-distance fleet is very clear. The Protocol also offers a framework for enhanced cooperation between the Union and Greenland.</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Funds provided as financial compensation for access under the SFPA constitute fungible revenue in the national budget of Greenland. However, funds intended for sectoral support are allocated (generally by introduction in the annual budget law) to the Ministry responsible for fisheries, as a condition for the conclusion and monitoring of SFPAs. These financial resources are compatible with other sources of funding from other providers of international funding for carrying out projects and/or programmes at national level in the fisheries sector.</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1.6.</w:t>
      </w:r>
      <w:r>
        <w:tab/>
      </w:r>
      <w:r>
        <w:rPr>
          <w:noProof/>
        </w:rPr>
        <w:t xml:space="preserve">Duration and financial impact </w:t>
      </w:r>
    </w:p>
    <w:p>
      <w:pPr>
        <w:pStyle w:val="Text1"/>
        <w:rPr>
          <w:noProof/>
        </w:rPr>
      </w:pPr>
      <w:r>
        <w:rPr>
          <w:noProof/>
        </w:rPr>
        <w:t xml:space="preserve">Proposal of </w:t>
      </w:r>
      <w:r>
        <w:rPr>
          <w:b/>
          <w:noProof/>
        </w:rPr>
        <w:t xml:space="preserve">limited duration </w:t>
      </w:r>
    </w:p>
    <w:p>
      <w:pPr>
        <w:pStyle w:val="ListDash2"/>
        <w:rPr>
          <w:noProof/>
        </w:rPr>
      </w:pPr>
      <w:r>
        <w:rPr>
          <w:noProof/>
        </w:rPr>
        <w:t>X</w:t>
      </w:r>
      <w:r>
        <w:rPr>
          <w:noProof/>
        </w:rPr>
        <w:tab/>
        <w:t xml:space="preserve">Proposal/initiative in effect from 2021 to 2026 </w:t>
      </w:r>
    </w:p>
    <w:p>
      <w:pPr>
        <w:pStyle w:val="ListDash2"/>
        <w:rPr>
          <w:noProof/>
        </w:rPr>
      </w:pPr>
      <w:r>
        <w:rPr>
          <w:noProof/>
        </w:rPr>
        <w:t>X</w:t>
      </w:r>
      <w:r>
        <w:rPr>
          <w:noProof/>
        </w:rPr>
        <w:tab/>
        <w:t xml:space="preserve">Financial impact from 2021 to 2025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2"/>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 </w:t>
      </w:r>
    </w:p>
    <w:p>
      <w:pPr>
        <w:pStyle w:val="ListDash2"/>
        <w:rPr>
          <w:rFonts w:cs="EUAlbertina"/>
          <w:noProof/>
        </w:rPr>
      </w:pPr>
      <w:r>
        <w:rPr>
          <w:noProof/>
        </w:rPr>
        <w:t>X</w:t>
      </w:r>
      <w:r>
        <w:rPr>
          <w:i/>
          <w:noProof/>
        </w:rPr>
        <w:t xml:space="preserve"> </w:t>
      </w:r>
      <w:r>
        <w:rPr>
          <w:noProof/>
        </w:rPr>
        <w:t xml:space="preserve">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will ensure regular monitoring of the implementation of the Protocol as regards the use of fishing opportunities by operators, catch data and compliance with conditions for sectoral support. </w:t>
      </w:r>
    </w:p>
    <w:p>
      <w:pPr>
        <w:pBdr>
          <w:top w:val="single" w:sz="4" w:space="1" w:color="auto"/>
          <w:left w:val="single" w:sz="4" w:space="4" w:color="auto"/>
          <w:bottom w:val="single" w:sz="4" w:space="1" w:color="auto"/>
          <w:right w:val="single" w:sz="4" w:space="4" w:color="auto"/>
        </w:pBdr>
        <w:ind w:left="850"/>
        <w:rPr>
          <w:noProof/>
        </w:rPr>
      </w:pPr>
      <w:r>
        <w:rPr>
          <w:noProof/>
        </w:rPr>
        <w:t>Furthermore, the SFPA provides for at least one annual meeting of the Joint Committee, at which the Commission and Greenland will review the implementation of the Agreement and Protocol and, if necessary, adjust the programming and the financial contribution.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will be implemented in a decoupled manner as regards the contribution for access and the contribution for sectoral support.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payments for access will be made annually on the anniversary date of the Protocol, except in the first year, when the payment will be made in the three months after the start of provisional application. Vessel access will be controlled by the issuing of fishing authorisations. </w:t>
      </w:r>
    </w:p>
    <w:p>
      <w:pPr>
        <w:pStyle w:val="Text1"/>
        <w:pBdr>
          <w:top w:val="single" w:sz="4" w:space="1" w:color="auto"/>
          <w:left w:val="single" w:sz="4" w:space="4" w:color="auto"/>
          <w:bottom w:val="single" w:sz="4" w:space="1" w:color="auto"/>
          <w:right w:val="single" w:sz="4" w:space="4" w:color="auto"/>
        </w:pBdr>
        <w:rPr>
          <w:noProof/>
        </w:rPr>
      </w:pPr>
      <w:r>
        <w:rPr>
          <w:noProof/>
        </w:rPr>
        <w:t>The support will be paid for the first time within three months after the start of the provisional application, subject to the agreement on an annual and multiannual implementation programme; for the following years, it will be conditional to the results achieved. The results achieved and the implementation rate will be monitored in accordance with the Guidelines on the Implementation of Sectoral Support for Greenland Fisheries policy to be agreed by the Parties, on the basis of reports or documentary evidence provided by the partner country.</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identified risk is the under-use of fishing opportunities by EU vessel owners and the under-use or delayed use by Greenland of funds intended to finance the sectoral fisheries policy. Extensive dialogue is planned on the programming and implementation of the sectoral policy laid down in the Agreement and the Protocol. Joint analysis of results, as referred to in Article 4 of the Protocol, also forms part of these control methods. In addition, the Agreement and the Protocol contain specific clauses for their suspension, under certain conditions and in given circumstances.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Payments relating to access costs under Sustainable Fisheries Partnership Agreements (SFPAs) are subject to checks aimed at ensuring their compliance with the provisions of international agreements. Checks relating to sectoral support are aimed at monitoring the implementation of the support. Monitoring is carried out by Commission staff in EU Delegations and during Joint Committees meetings. A multiannual programming matrix is used to evaluate progress. If progress is insufficient, the payment of the next tranche is suspended or possibly reduced. The overall cost of the checks on all SFPAs is estimated to be around 1.8% (of the contributions in 2018). The procedures for checks on SFPAs are based largely on essential regulatory requirements. If no shortcomings that could have a significant impact on the legality and regularity of the financial transactions are detected, the checks are considered effective. The average error rate is estimated at 0.0%.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political dialogue and regular coordination with Greenland with a view to improving the management of the Agreement and the Protocol, and strengthening the Union’s contribution to sustainable resources management. Any payment which the Commission makes under an SFPA is subject to the Commission’s standard rules and budgetary and financial procedures. In particular, the bank accounts of the third countries into which the financial contribution is paid are fully identified. Article 3(6) of the Protocol provides that the financial contribution for access and that intended for development of the sector are to be paid into a Public Treasury account.</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p>
        </w:tc>
        <w:tc>
          <w:tcPr>
            <w:tcW w:w="1080" w:type="dxa"/>
            <w:vAlign w:val="center"/>
          </w:tcPr>
          <w:p>
            <w:pPr>
              <w:jc w:val="center"/>
              <w:rPr>
                <w:noProof/>
                <w:sz w:val="22"/>
              </w:rPr>
            </w:pPr>
            <w:r>
              <w:rPr>
                <w:noProof/>
                <w:sz w:val="18"/>
              </w:rPr>
              <w:t>Diff./Non-diff.</w:t>
            </w:r>
            <w:r>
              <w:rPr>
                <w:rStyle w:val="FootnoteReference"/>
                <w:noProof/>
                <w:sz w:val="18"/>
              </w:rPr>
              <w:footnoteReference w:id="13"/>
            </w:r>
          </w:p>
        </w:tc>
        <w:tc>
          <w:tcPr>
            <w:tcW w:w="956" w:type="dxa"/>
            <w:vAlign w:val="center"/>
          </w:tcPr>
          <w:p>
            <w:pPr>
              <w:jc w:val="center"/>
              <w:rPr>
                <w:noProof/>
                <w:sz w:val="22"/>
              </w:rPr>
            </w:pPr>
            <w:r>
              <w:rPr>
                <w:noProof/>
                <w:sz w:val="18"/>
              </w:rPr>
              <w:t>from EFTA countries</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third-country waters (SFAs)</w:t>
            </w:r>
          </w:p>
          <w:p>
            <w:pPr>
              <w:spacing w:after="60"/>
              <w:rPr>
                <w:noProof/>
                <w:sz w:val="22"/>
              </w:rPr>
            </w:pPr>
            <w:r>
              <w:rPr>
                <w:noProof/>
                <w:sz w:val="22"/>
              </w:rPr>
              <w:t xml:space="preserve"> </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No 2</w:t>
            </w:r>
          </w:p>
        </w:tc>
        <w:tc>
          <w:tcPr>
            <w:tcW w:w="7817" w:type="dxa"/>
            <w:vAlign w:val="center"/>
          </w:tcPr>
          <w:p>
            <w:pPr>
              <w:spacing w:before="60" w:after="60"/>
              <w:rPr>
                <w:noProof/>
                <w:sz w:val="22"/>
              </w:rPr>
            </w:pPr>
            <w:r>
              <w:rPr>
                <w:noProof/>
              </w:rPr>
              <w:t>Sustainable growth: natural resources</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lang w:val="en-US"/>
              </w:rPr>
            </w:pPr>
            <w:r>
              <w:rPr>
                <w:noProof/>
                <w:sz w:val="22"/>
                <w:lang w:val="en-US"/>
              </w:rPr>
              <w:t>DG: MARE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2024</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lang w:val="en-US"/>
              </w:rPr>
            </w:pPr>
            <w:r>
              <w:rPr>
                <w:b/>
                <w:noProof/>
                <w:sz w:val="20"/>
                <w:lang w:val="en-US"/>
              </w:rPr>
              <w:t>2025</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b/>
                <w:noProof/>
                <w:sz w:val="20"/>
                <w:lang w:val="en-US"/>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lang w:val="en-US"/>
              </w:rPr>
            </w:pPr>
            <w:r>
              <w:rPr>
                <w:b/>
                <w:noProof/>
                <w:sz w:val="20"/>
                <w:lang w:val="en-US"/>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lang w:val="en-US"/>
              </w:rPr>
            </w:pPr>
            <w:r>
              <w:rPr>
                <w:noProof/>
                <w:sz w:val="21"/>
                <w:lang w:val="en-US"/>
              </w:rPr>
              <w:sym w:font="Wingdings" w:char="F09F"/>
            </w:r>
            <w:r>
              <w:rPr>
                <w:noProof/>
                <w:sz w:val="21"/>
                <w:lang w:val="en-US"/>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lang w:val="en-US"/>
              </w:rPr>
            </w:pPr>
            <w:r>
              <w:rPr>
                <w:noProof/>
                <w:sz w:val="20"/>
                <w:lang w:val="en-US"/>
              </w:rPr>
              <w:t>Budget line</w:t>
            </w:r>
            <w:r>
              <w:rPr>
                <w:rStyle w:val="FootnoteReference"/>
                <w:noProof/>
                <w:sz w:val="20"/>
                <w:lang w:val="en-US"/>
              </w:rPr>
              <w:footnoteReference w:id="16"/>
            </w:r>
            <w:r>
              <w:rPr>
                <w:noProof/>
                <w:sz w:val="20"/>
                <w:lang w:val="en-US"/>
              </w:rPr>
              <w:t> </w:t>
            </w:r>
            <w:r>
              <w:rPr>
                <w:noProof/>
                <w:lang w:val="en-US"/>
              </w:rPr>
              <w:t>11.03.01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(2a)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lang w:val="en-US"/>
              </w:rPr>
            </w:pPr>
            <w:r>
              <w:rPr>
                <w:noProof/>
                <w:sz w:val="20"/>
                <w:lang w:val="en-US"/>
              </w:rPr>
              <w:t xml:space="preserve">Budget line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lang w:val="en-US"/>
              </w:rPr>
            </w:pPr>
            <w:r>
              <w:rPr>
                <w:noProof/>
                <w:sz w:val="14"/>
                <w:lang w:val="en-US"/>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lang w:val="en-US"/>
              </w:rPr>
            </w:pPr>
            <w:r>
              <w:rPr>
                <w:noProof/>
                <w:sz w:val="21"/>
                <w:lang w:val="en-US"/>
              </w:rPr>
              <w:t>Appropriations of an administrative nature financed from the envelope of specific programmes</w:t>
            </w:r>
            <w:r>
              <w:rPr>
                <w:rStyle w:val="FootnoteReference"/>
                <w:noProof/>
                <w:sz w:val="21"/>
                <w:lang w:val="en-US"/>
              </w:rPr>
              <w:footnoteReference w:id="17"/>
            </w:r>
            <w:r>
              <w:rPr>
                <w:noProof/>
                <w:sz w:val="21"/>
                <w:lang w:val="en-US"/>
              </w:rPr>
              <w:t xml:space="preserve"> </w:t>
            </w:r>
          </w:p>
          <w:p>
            <w:pPr>
              <w:spacing w:before="0" w:after="0" w:line="276" w:lineRule="auto"/>
              <w:rPr>
                <w:noProof/>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lang w:val="en-US"/>
              </w:rPr>
            </w:pPr>
            <w:r>
              <w:rPr>
                <w:noProof/>
                <w:sz w:val="20"/>
                <w:lang w:val="en-US"/>
              </w:rPr>
              <w:t>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lang w:val="en-US"/>
              </w:rPr>
            </w:pPr>
            <w:r>
              <w:rPr>
                <w:b/>
                <w:noProof/>
                <w:sz w:val="22"/>
                <w:lang w:val="en-US"/>
              </w:rPr>
              <w:t>TOTAL appropriations</w:t>
            </w:r>
            <w:r>
              <w:rPr>
                <w:noProof/>
                <w:sz w:val="22"/>
                <w:lang w:val="en-US"/>
              </w:rPr>
              <w:br/>
            </w:r>
            <w:r>
              <w:rPr>
                <w:b/>
                <w:noProof/>
                <w:sz w:val="22"/>
                <w:lang w:val="en-US"/>
              </w:rPr>
              <w:t>for DG </w:t>
            </w:r>
            <w:r>
              <w:rPr>
                <w:noProof/>
                <w:sz w:val="22"/>
                <w:lang w:val="en-US"/>
              </w:rPr>
              <w:t>MARE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=1a+1b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lang w:val="en-US"/>
              </w:rPr>
            </w:pPr>
            <w:r>
              <w:rPr>
                <w:noProof/>
                <w:sz w:val="14"/>
                <w:lang w:val="en-US"/>
              </w:rPr>
              <w:t>=2a+2b</w:t>
            </w:r>
          </w:p>
          <w:p>
            <w:pPr>
              <w:spacing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(4)</w:t>
            </w:r>
          </w:p>
          <w:p>
            <w:pPr>
              <w:spacing w:line="276" w:lineRule="auto"/>
              <w:jc w:val="center"/>
              <w:rPr>
                <w:noProof/>
                <w:sz w:val="14"/>
                <w:lang w:val="en-US"/>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(5)</w:t>
            </w:r>
          </w:p>
          <w:p>
            <w:pPr>
              <w:spacing w:line="276" w:lineRule="auto"/>
              <w:jc w:val="center"/>
              <w:rPr>
                <w:noProof/>
                <w:sz w:val="14"/>
                <w:lang w:val="en-US"/>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lang w:val="en-US"/>
              </w:rPr>
            </w:pPr>
            <w:r>
              <w:rPr>
                <w:noProof/>
                <w:sz w:val="20"/>
                <w:lang w:val="en-US"/>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r>
              <w:rPr>
                <w:b/>
                <w:noProof/>
                <w:sz w:val="20"/>
                <w:lang w:val="en-US"/>
              </w:rPr>
              <w:t>99.130524</w:t>
            </w:r>
          </w:p>
        </w:tc>
      </w:tr>
    </w:tbl>
    <w:p>
      <w:pPr>
        <w:rPr>
          <w:noProof/>
        </w:rPr>
      </w:pPr>
      <w:r>
        <w:rPr>
          <w:noProof/>
        </w:rPr>
        <w:br/>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tcPr>
          <w:p>
            <w:pPr>
              <w:spacing w:line="276" w:lineRule="auto"/>
              <w:rPr>
                <w:noProof/>
                <w:lang w:val="en-US"/>
              </w:rPr>
            </w:pPr>
            <w:r>
              <w:rPr>
                <w:noProof/>
                <w:sz w:val="20"/>
                <w:lang w:val="en-US"/>
              </w:rPr>
              <w:t>16.521754</w:t>
            </w:r>
          </w:p>
        </w:tc>
        <w:tc>
          <w:tcPr>
            <w:tcW w:w="868" w:type="dxa"/>
            <w:tcBorders>
              <w:top w:val="single" w:sz="4" w:space="0" w:color="FF0000"/>
            </w:tcBorders>
            <w:vAlign w:val="center"/>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tcPr>
          <w:p>
            <w:pPr>
              <w:spacing w:line="276" w:lineRule="auto"/>
              <w:rPr>
                <w:noProof/>
                <w:lang w:val="en-US"/>
              </w:rPr>
            </w:pPr>
            <w:r>
              <w:rPr>
                <w:noProof/>
                <w:sz w:val="20"/>
                <w:lang w:val="en-US"/>
              </w:rPr>
              <w:t>16.521754</w:t>
            </w:r>
          </w:p>
        </w:tc>
        <w:tc>
          <w:tcPr>
            <w:tcW w:w="868" w:type="dxa"/>
            <w:tcBorders>
              <w:bottom w:val="single" w:sz="4" w:space="0" w:color="FF0000"/>
            </w:tcBorders>
            <w:vAlign w:val="center"/>
          </w:tcPr>
          <w:p>
            <w:pPr>
              <w:spacing w:before="20" w:after="20" w:line="276" w:lineRule="auto"/>
              <w:jc w:val="right"/>
              <w:rPr>
                <w:b/>
                <w:noProof/>
                <w:sz w:val="20"/>
                <w:lang w:val="en-US"/>
              </w:rPr>
            </w:pPr>
            <w:r>
              <w:rPr>
                <w:b/>
                <w:noProof/>
                <w:sz w:val="20"/>
                <w:lang w:val="en-US"/>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gridSpan w:val="2"/>
            <w:vAlign w:val="center"/>
          </w:tcPr>
          <w:p>
            <w:pPr>
              <w:jc w:val="center"/>
              <w:rPr>
                <w:noProof/>
                <w:sz w:val="20"/>
              </w:rPr>
            </w:pPr>
            <w:r>
              <w:rPr>
                <w:noProof/>
                <w:sz w:val="20"/>
              </w:rPr>
              <w:t>Year</w:t>
            </w:r>
            <w:r>
              <w:rPr>
                <w:noProof/>
                <w:sz w:val="22"/>
              </w:rPr>
              <w:br/>
            </w:r>
            <w:r>
              <w:rPr>
                <w:b/>
                <w:noProof/>
                <w:sz w:val="20"/>
              </w:rPr>
              <w:t>2024</w:t>
            </w:r>
          </w:p>
        </w:tc>
        <w:tc>
          <w:tcPr>
            <w:tcW w:w="899" w:type="dxa"/>
          </w:tcPr>
          <w:p>
            <w:pPr>
              <w:jc w:val="center"/>
              <w:rPr>
                <w:noProof/>
                <w:sz w:val="18"/>
              </w:rPr>
            </w:pPr>
            <w:r>
              <w:rPr>
                <w:noProof/>
                <w:sz w:val="20"/>
              </w:rPr>
              <w:t>Year</w:t>
            </w:r>
            <w:r>
              <w:rPr>
                <w:noProof/>
                <w:sz w:val="22"/>
              </w:rPr>
              <w:br/>
            </w:r>
            <w:r>
              <w:rPr>
                <w:b/>
                <w:noProof/>
                <w:sz w:val="20"/>
              </w:rPr>
              <w:t>2025</w:t>
            </w:r>
          </w:p>
        </w:tc>
        <w:tc>
          <w:tcPr>
            <w:tcW w:w="992" w:type="dxa"/>
          </w:tcPr>
          <w:p>
            <w:pPr>
              <w:jc w:val="center"/>
              <w:rPr>
                <w:b/>
                <w:noProof/>
                <w:sz w:val="18"/>
              </w:rPr>
            </w:pPr>
            <w:r>
              <w:rPr>
                <w:noProof/>
                <w:sz w:val="20"/>
              </w:rPr>
              <w:t>Year</w:t>
            </w:r>
            <w:r>
              <w:rPr>
                <w:noProof/>
                <w:sz w:val="22"/>
              </w:rPr>
              <w:br/>
            </w:r>
            <w:r>
              <w:rPr>
                <w:b/>
                <w:noProof/>
                <w:sz w:val="20"/>
              </w:rPr>
              <w:t>2026</w:t>
            </w:r>
          </w:p>
        </w:tc>
        <w:tc>
          <w:tcPr>
            <w:tcW w:w="1777" w:type="dxa"/>
            <w:vAlign w:val="center"/>
          </w:tcPr>
          <w:p>
            <w:pPr>
              <w:jc w:val="center"/>
              <w:rPr>
                <w:b/>
                <w:noProof/>
                <w:sz w:val="20"/>
              </w:rPr>
            </w:pPr>
            <w:r>
              <w:rPr>
                <w:b/>
                <w:noProof/>
                <w:sz w:val="20"/>
              </w:rPr>
              <w:t>TOTAL</w:t>
            </w:r>
          </w:p>
        </w:tc>
      </w:tr>
      <w:tr>
        <w:trPr>
          <w:gridAfter w:val="4"/>
          <w:wAfter w:w="4026" w:type="dxa"/>
        </w:trPr>
        <w:tc>
          <w:tcPr>
            <w:tcW w:w="3960" w:type="dxa"/>
            <w:vAlign w:val="center"/>
          </w:tcPr>
          <w:p>
            <w:pPr>
              <w:spacing w:before="60" w:after="60"/>
              <w:jc w:val="center"/>
              <w:rPr>
                <w:noProof/>
                <w:sz w:val="22"/>
              </w:rPr>
            </w:pPr>
            <w:r>
              <w:rPr>
                <w:noProof/>
                <w:sz w:val="22"/>
              </w:rPr>
              <w:t>DG: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r>
              <w:rPr>
                <w:rStyle w:val="FootnoteReference"/>
                <w:b/>
                <w:noProof/>
                <w:sz w:val="20"/>
              </w:rPr>
              <w:footnoteReference w:id="18"/>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99" w:type="dxa"/>
          </w:tcPr>
          <w:p>
            <w:pPr>
              <w:jc w:val="center"/>
              <w:rPr>
                <w:noProof/>
                <w:sz w:val="18"/>
              </w:rPr>
            </w:pPr>
            <w:r>
              <w:rPr>
                <w:noProof/>
                <w:sz w:val="20"/>
              </w:rPr>
              <w:t>Year</w:t>
            </w:r>
            <w:r>
              <w:rPr>
                <w:noProof/>
                <w:sz w:val="22"/>
              </w:rPr>
              <w:br/>
            </w:r>
            <w:r>
              <w:rPr>
                <w:b/>
                <w:noProof/>
                <w:sz w:val="20"/>
              </w:rPr>
              <w:t>2025</w:t>
            </w:r>
          </w:p>
        </w:tc>
        <w:tc>
          <w:tcPr>
            <w:tcW w:w="992" w:type="dxa"/>
          </w:tcPr>
          <w:p>
            <w:pPr>
              <w:jc w:val="center"/>
              <w:rPr>
                <w:noProof/>
                <w:sz w:val="18"/>
              </w:rPr>
            </w:pPr>
            <w:r>
              <w:rPr>
                <w:noProof/>
                <w:sz w:val="20"/>
              </w:rPr>
              <w:t>Year</w:t>
            </w:r>
            <w:r>
              <w:rPr>
                <w:noProof/>
                <w:sz w:val="22"/>
              </w:rPr>
              <w:br/>
            </w:r>
            <w:r>
              <w:rPr>
                <w:b/>
                <w:noProof/>
                <w:sz w:val="20"/>
              </w:rPr>
              <w:t>2026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99" w:type="dxa"/>
          </w:tcPr>
          <w:p>
            <w:pPr>
              <w:spacing w:line="276" w:lineRule="auto"/>
              <w:rPr>
                <w:noProof/>
                <w:lang w:val="en-US"/>
              </w:rPr>
            </w:pPr>
            <w:r>
              <w:rPr>
                <w:noProof/>
                <w:sz w:val="20"/>
                <w:lang w:val="en-US"/>
              </w:rPr>
              <w:t>16.521754</w:t>
            </w:r>
          </w:p>
        </w:tc>
        <w:tc>
          <w:tcPr>
            <w:tcW w:w="992" w:type="dxa"/>
          </w:tcPr>
          <w:p>
            <w:pPr>
              <w:spacing w:line="276" w:lineRule="auto"/>
              <w:rPr>
                <w:noProof/>
                <w:lang w:val="en-US"/>
              </w:rPr>
            </w:pPr>
            <w:r>
              <w:rPr>
                <w:noProof/>
                <w:sz w:val="20"/>
                <w:lang w:val="en-US"/>
              </w:rPr>
              <w:t>16.521754</w:t>
            </w:r>
          </w:p>
        </w:tc>
        <w:tc>
          <w:tcPr>
            <w:tcW w:w="1777" w:type="dxa"/>
            <w:vAlign w:val="center"/>
          </w:tcPr>
          <w:p>
            <w:pPr>
              <w:spacing w:before="20" w:after="20" w:line="276" w:lineRule="auto"/>
              <w:jc w:val="right"/>
              <w:rPr>
                <w:b/>
                <w:noProof/>
                <w:sz w:val="20"/>
                <w:lang w:val="en-US"/>
              </w:rPr>
            </w:pPr>
            <w:r>
              <w:rPr>
                <w:b/>
                <w:noProof/>
                <w:sz w:val="20"/>
                <w:lang w:val="en-US"/>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68" w:type="dxa"/>
          </w:tcPr>
          <w:p>
            <w:pPr>
              <w:spacing w:line="276" w:lineRule="auto"/>
              <w:rPr>
                <w:noProof/>
                <w:lang w:val="en-US"/>
              </w:rPr>
            </w:pPr>
            <w:r>
              <w:rPr>
                <w:noProof/>
                <w:sz w:val="20"/>
                <w:lang w:val="en-US"/>
              </w:rPr>
              <w:t>16.521754</w:t>
            </w:r>
          </w:p>
        </w:tc>
        <w:tc>
          <w:tcPr>
            <w:tcW w:w="899" w:type="dxa"/>
          </w:tcPr>
          <w:p>
            <w:pPr>
              <w:spacing w:line="276" w:lineRule="auto"/>
              <w:rPr>
                <w:noProof/>
                <w:lang w:val="en-US"/>
              </w:rPr>
            </w:pPr>
            <w:r>
              <w:rPr>
                <w:noProof/>
                <w:sz w:val="20"/>
                <w:lang w:val="en-US"/>
              </w:rPr>
              <w:t>16.521754</w:t>
            </w:r>
          </w:p>
        </w:tc>
        <w:tc>
          <w:tcPr>
            <w:tcW w:w="992" w:type="dxa"/>
          </w:tcPr>
          <w:p>
            <w:pPr>
              <w:spacing w:line="276" w:lineRule="auto"/>
              <w:rPr>
                <w:noProof/>
                <w:lang w:val="en-US"/>
              </w:rPr>
            </w:pPr>
            <w:r>
              <w:rPr>
                <w:noProof/>
                <w:sz w:val="20"/>
                <w:lang w:val="en-US"/>
              </w:rPr>
              <w:t>16.521754</w:t>
            </w:r>
          </w:p>
        </w:tc>
        <w:tc>
          <w:tcPr>
            <w:tcW w:w="1777" w:type="dxa"/>
            <w:vAlign w:val="center"/>
          </w:tcPr>
          <w:p>
            <w:pPr>
              <w:spacing w:before="20" w:after="20" w:line="276" w:lineRule="auto"/>
              <w:jc w:val="right"/>
              <w:rPr>
                <w:b/>
                <w:noProof/>
                <w:sz w:val="20"/>
                <w:lang w:val="en-US"/>
              </w:rPr>
            </w:pPr>
            <w:r>
              <w:rPr>
                <w:b/>
                <w:noProof/>
                <w:sz w:val="20"/>
                <w:lang w:val="en-US"/>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lang w:val="en-US"/>
              </w:rPr>
            </w:pPr>
            <w:r>
              <w:rPr>
                <w:b/>
                <w:noProof/>
                <w:sz w:val="18"/>
                <w:lang w:val="en-US"/>
              </w:rPr>
              <w:t xml:space="preserve">Indicate objectives and outputs </w:t>
            </w:r>
          </w:p>
          <w:p>
            <w:pPr>
              <w:spacing w:line="276" w:lineRule="auto"/>
              <w:ind w:right="-29"/>
              <w:jc w:val="center"/>
              <w:rPr>
                <w:b/>
                <w:noProof/>
                <w:sz w:val="18"/>
                <w:szCs w:val="18"/>
                <w:lang w:val="en-US"/>
              </w:rPr>
            </w:pPr>
          </w:p>
          <w:p>
            <w:pPr>
              <w:spacing w:line="276" w:lineRule="auto"/>
              <w:ind w:right="-29"/>
              <w:jc w:val="center"/>
              <w:rPr>
                <w:noProof/>
                <w:sz w:val="18"/>
                <w:szCs w:val="18"/>
                <w:lang w:val="en-US"/>
              </w:rPr>
            </w:pPr>
            <w:r>
              <w:rPr>
                <w:noProof/>
                <w:sz w:val="18"/>
                <w:lang w:val="en-US"/>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val="en-US"/>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lang w:val="en-US"/>
              </w:rPr>
            </w:pPr>
          </w:p>
        </w:tc>
        <w:tc>
          <w:tcPr>
            <w:tcW w:w="1224" w:type="dxa"/>
            <w:gridSpan w:val="5"/>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2021</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2022</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2023</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2024</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val="en-US"/>
              </w:rPr>
            </w:pPr>
            <w:r>
              <w:rPr>
                <w:b/>
                <w:noProof/>
                <w:sz w:val="18"/>
                <w:lang w:val="en-US"/>
              </w:rPr>
              <w:t>2025</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lang w:val="en-US"/>
              </w:rPr>
            </w:pPr>
            <w:r>
              <w:rPr>
                <w:b/>
                <w:noProof/>
                <w:sz w:val="18"/>
                <w:lang w:val="en-US"/>
              </w:rPr>
              <w:t>2026</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lang w:val="en-US"/>
              </w:rPr>
            </w:pPr>
            <w:r>
              <w:rPr>
                <w:b/>
                <w:noProof/>
                <w:sz w:val="18"/>
                <w:lang w:val="en-US"/>
              </w:rPr>
              <w:t>TOTAL</w:t>
            </w:r>
          </w:p>
        </w:tc>
      </w:tr>
      <w:tr>
        <w:trPr>
          <w:gridBefore w:val="1"/>
          <w:gridAfter w:val="27"/>
          <w:wBefore w:w="6" w:type="dxa"/>
          <w:wAfter w:w="978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lang w:val="en-US"/>
              </w:rPr>
            </w:pPr>
          </w:p>
        </w:tc>
        <w:tc>
          <w:tcPr>
            <w:tcW w:w="1566" w:type="dxa"/>
            <w:gridSpan w:val="5"/>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lang w:val="en-US"/>
              </w:rPr>
            </w:pPr>
            <w:r>
              <w:rPr>
                <w:noProof/>
                <w:sz w:val="18"/>
                <w:lang w:val="en-US"/>
              </w:rPr>
              <w:t>Type</w:t>
            </w:r>
            <w:r>
              <w:rPr>
                <w:rStyle w:val="FootnoteReference"/>
                <w:noProof/>
                <w:sz w:val="18"/>
                <w:lang w:val="en-US"/>
              </w:rPr>
              <w:footnoteReference w:id="19"/>
            </w:r>
          </w:p>
          <w:p>
            <w:pPr>
              <w:spacing w:before="0" w:after="0" w:line="276" w:lineRule="auto"/>
              <w:jc w:val="center"/>
              <w:rPr>
                <w:noProof/>
                <w:sz w:val="18"/>
                <w:szCs w:val="18"/>
                <w:lang w:val="en-US"/>
              </w:rPr>
            </w:pP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lang w:val="en-US"/>
              </w:rPr>
            </w:pPr>
            <w:r>
              <w:rPr>
                <w:noProof/>
                <w:sz w:val="18"/>
                <w:lang w:val="en-US"/>
              </w:rPr>
              <w:t>Average cost</w:t>
            </w:r>
          </w:p>
        </w:tc>
        <w:tc>
          <w:tcPr>
            <w:tcW w:w="504" w:type="dxa"/>
            <w:gridSpan w:val="3"/>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lang w:val="en-US"/>
              </w:rPr>
            </w:pPr>
            <w:r>
              <w:rPr>
                <w:noProof/>
                <w:sz w:val="18"/>
                <w:lang w:val="en-US"/>
              </w:rPr>
              <w:t>Number</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Cost</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lang w:val="en-US"/>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lang w:val="en-US"/>
              </w:rPr>
            </w:pPr>
            <w:r>
              <w:rPr>
                <w:noProof/>
                <w:sz w:val="18"/>
                <w:lang w:val="en-US"/>
              </w:rPr>
              <w:t>Total number</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lang w:val="en-US"/>
              </w:rPr>
            </w:pPr>
            <w:r>
              <w:rPr>
                <w:noProof/>
                <w:sz w:val="18"/>
                <w:lang w:val="en-US"/>
              </w:rPr>
              <w:t>Total cost</w:t>
            </w:r>
          </w:p>
        </w:tc>
      </w:tr>
      <w:tr>
        <w:trPr>
          <w:gridAfter w:val="2"/>
          <w:wAfter w:w="18" w:type="dxa"/>
          <w:jc w:val="center"/>
        </w:trPr>
        <w:tc>
          <w:tcPr>
            <w:tcW w:w="2841"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lang w:val="en-US"/>
              </w:rPr>
            </w:pPr>
            <w:r>
              <w:rPr>
                <w:noProof/>
                <w:sz w:val="18"/>
                <w:lang w:val="en-US"/>
              </w:rPr>
              <w:t>SPECIFIC OBJECTIVE No 1</w:t>
            </w:r>
            <w:r>
              <w:rPr>
                <w:rStyle w:val="FootnoteReference"/>
                <w:noProof/>
                <w:sz w:val="18"/>
                <w:lang w:val="en-US"/>
              </w:rPr>
              <w:footnoteReference w:id="20"/>
            </w:r>
            <w:r>
              <w:rPr>
                <w:noProof/>
                <w:sz w:val="18"/>
                <w:lang w:val="en-US"/>
              </w:rPr>
              <w:t>...</w:t>
            </w:r>
          </w:p>
        </w:tc>
        <w:tc>
          <w:tcPr>
            <w:tcW w:w="504" w:type="dxa"/>
            <w:gridSpan w:val="3"/>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54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23"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540"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708"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42"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1284" w:type="dxa"/>
            <w:gridSpan w:val="2"/>
            <w:tcBorders>
              <w:top w:val="nil"/>
              <w:left w:val="nil"/>
              <w:bottom w:val="nil"/>
              <w:right w:val="nil"/>
            </w:tcBorders>
          </w:tcPr>
          <w:p>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pPr>
              <w:spacing w:before="60" w:after="60" w:line="276" w:lineRule="auto"/>
              <w:ind w:right="-29"/>
              <w:jc w:val="center"/>
              <w:rPr>
                <w:noProof/>
                <w:sz w:val="18"/>
                <w:szCs w:val="18"/>
                <w:lang w:val="en-US"/>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xml:space="preserve">- Access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Annual</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81.544524</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Sectoral</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Annual</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szCs w:val="18"/>
                <w:lang w:val="en-US"/>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lang w:val="en-US"/>
              </w:rPr>
            </w:pPr>
            <w:r>
              <w:rPr>
                <w:noProof/>
                <w:sz w:val="18"/>
                <w:lang w:val="en-US"/>
              </w:rPr>
              <w:t>- Output</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04"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lang w:val="en-US"/>
              </w:rPr>
            </w:pPr>
          </w:p>
        </w:tc>
      </w:tr>
      <w:tr>
        <w:trPr>
          <w:gridAfter w:val="2"/>
          <w:wAfter w:w="18" w:type="dxa"/>
          <w:trHeight w:val="77"/>
          <w:jc w:val="center"/>
        </w:trPr>
        <w:tc>
          <w:tcPr>
            <w:tcW w:w="2841"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lang w:val="en-US"/>
              </w:rPr>
            </w:pPr>
            <w:r>
              <w:rPr>
                <w:noProof/>
                <w:sz w:val="18"/>
                <w:lang w:val="en-US"/>
              </w:rPr>
              <w:t>Subtotal for specific objective No 1</w:t>
            </w:r>
          </w:p>
        </w:tc>
        <w:tc>
          <w:tcPr>
            <w:tcW w:w="504" w:type="dxa"/>
            <w:gridSpan w:val="3"/>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lang w:val="en-US"/>
              </w:rPr>
            </w:pPr>
          </w:p>
        </w:tc>
      </w:tr>
      <w:tr>
        <w:trPr>
          <w:gridAfter w:val="2"/>
          <w:wAfter w:w="18" w:type="dxa"/>
          <w:jc w:val="center"/>
        </w:trPr>
        <w:tc>
          <w:tcPr>
            <w:tcW w:w="2841"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lang w:val="en-US"/>
              </w:rPr>
            </w:pPr>
            <w:r>
              <w:rPr>
                <w:b/>
                <w:noProof/>
                <w:sz w:val="18"/>
                <w:lang w:val="en-US"/>
              </w:rPr>
              <w:t>TOTALS</w:t>
            </w:r>
          </w:p>
        </w:tc>
        <w:tc>
          <w:tcPr>
            <w:tcW w:w="504" w:type="dxa"/>
            <w:gridSpan w:val="3"/>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lang w:val="en-US"/>
              </w:rPr>
            </w:pPr>
            <w:r>
              <w:rPr>
                <w:noProof/>
                <w:sz w:val="20"/>
                <w:lang w:val="en-US"/>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lang w:val="en-US"/>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lang w:val="en-US"/>
              </w:rPr>
            </w:pPr>
            <w:r>
              <w:rPr>
                <w:b/>
                <w:noProof/>
                <w:sz w:val="20"/>
                <w:lang w:val="en-US"/>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3"/>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This concerns the use of the reserve line (Chapter 40).</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X The proposal/initiative does not provide for co-financing by third parties. </w:t>
      </w:r>
    </w:p>
    <w:p>
      <w:pPr>
        <w:pStyle w:val="ListDash1"/>
        <w:rPr>
          <w:noProof/>
        </w:rPr>
      </w:pPr>
      <w:r>
        <w:rPr>
          <w:noProof/>
        </w:rPr>
        <w:sym w:font="Wingdings" w:char="F0A8"/>
      </w:r>
      <w:r>
        <w:rPr>
          <w:noProof/>
        </w:rPr>
        <w:t xml:space="preserve"> 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en-IE"/>
        </w:rPr>
      </w:pPr>
      <w:r>
        <w:rPr>
          <w:rStyle w:val="FootnoteReference"/>
        </w:rPr>
        <w:footnoteRef/>
      </w:r>
      <w:r>
        <w:tab/>
        <w:t>https://www.consilium.europa.eu/en/documents-publications/treaties-agreements/agreement/?id=2007046&amp;DocLanguage=en</w:t>
      </w:r>
    </w:p>
  </w:footnote>
  <w:footnote w:id="2">
    <w:p>
      <w:pPr>
        <w:pStyle w:val="FootnoteText"/>
        <w:rPr>
          <w:lang w:val="es-ES"/>
        </w:rPr>
      </w:pPr>
      <w:r>
        <w:rPr>
          <w:rStyle w:val="FootnoteReference"/>
        </w:rPr>
        <w:footnoteRef/>
      </w:r>
      <w:r>
        <w:rPr>
          <w:lang w:val="es-ES"/>
        </w:rPr>
        <w:tab/>
        <w:t>OJ L 172, 30.6.2007</w:t>
      </w:r>
    </w:p>
  </w:footnote>
  <w:footnote w:id="3">
    <w:p>
      <w:pPr>
        <w:pStyle w:val="FootnoteText"/>
        <w:ind w:left="0" w:firstLine="0"/>
        <w:rPr>
          <w:lang w:val="es-ES"/>
        </w:rPr>
      </w:pPr>
      <w:r>
        <w:rPr>
          <w:rStyle w:val="FootnoteReference"/>
        </w:rPr>
        <w:footnoteRef/>
      </w:r>
      <w:r>
        <w:rPr>
          <w:lang w:val="es-ES"/>
        </w:rPr>
        <w:tab/>
        <w:t>OJ L 305, 21.11.2015, p. 1</w:t>
      </w:r>
    </w:p>
  </w:footnote>
  <w:footnote w:id="4">
    <w:p>
      <w:pPr>
        <w:pStyle w:val="FootnoteText"/>
        <w:ind w:left="0" w:firstLine="0"/>
        <w:rPr>
          <w:lang w:val="es-ES"/>
        </w:rPr>
      </w:pPr>
      <w:r>
        <w:rPr>
          <w:rStyle w:val="FootnoteReference"/>
        </w:rPr>
        <w:footnoteRef/>
      </w:r>
      <w:r>
        <w:rPr>
          <w:lang w:val="es-ES"/>
        </w:rPr>
        <w:tab/>
        <w:t>https://www.consilium.europa.eu/en/documents-publications/treaties-agreements/agreement/?id=2015055&amp;DocLanguage=en</w:t>
      </w:r>
    </w:p>
  </w:footnote>
  <w:footnote w:id="5">
    <w:p>
      <w:pPr>
        <w:pStyle w:val="FootnoteText"/>
        <w:ind w:left="0" w:firstLine="0"/>
      </w:pPr>
      <w:r>
        <w:rPr>
          <w:rStyle w:val="FootnoteReference"/>
        </w:rPr>
        <w:footnoteRef/>
      </w:r>
      <w:r>
        <w:tab/>
        <w:t>OJ L 354, 28.12.2013, p. 22.</w:t>
      </w:r>
    </w:p>
  </w:footnote>
  <w:footnote w:id="6">
    <w:p>
      <w:pPr>
        <w:pStyle w:val="FootnoteText"/>
        <w:ind w:left="0" w:firstLine="0"/>
        <w:rPr>
          <w:lang w:val="en-IE"/>
        </w:rPr>
      </w:pPr>
      <w:r>
        <w:rPr>
          <w:rStyle w:val="FootnoteReference"/>
        </w:rPr>
        <w:footnoteRef/>
      </w:r>
      <w:r>
        <w:tab/>
        <w:t>19 March 2012 Council conclusions on the Commission’s Communication on the </w:t>
      </w:r>
      <w:r>
        <w:rPr>
          <w:i/>
          <w:iCs/>
        </w:rPr>
        <w:t>External</w:t>
      </w:r>
      <w:r>
        <w:t> </w:t>
      </w:r>
      <w:r>
        <w:rPr>
          <w:i/>
          <w:iCs/>
        </w:rPr>
        <w:t>dimension of the common fisheries policy</w:t>
      </w:r>
    </w:p>
  </w:footnote>
  <w:footnote w:id="7">
    <w:p>
      <w:pPr>
        <w:pStyle w:val="FootnoteText"/>
      </w:pPr>
      <w:r>
        <w:rPr>
          <w:rStyle w:val="FootnoteReference"/>
        </w:rPr>
        <w:footnoteRef/>
      </w:r>
      <w:r>
        <w:tab/>
        <w:t>In accordance with the Interinstitutional Agreement on cooperation in budgetary matters (2013/C 373/01).</w:t>
      </w:r>
    </w:p>
  </w:footnote>
  <w:footnote w:id="8">
    <w:p>
      <w:pPr>
        <w:pStyle w:val="FootnoteText"/>
        <w:rPr>
          <w:lang w:val="fr-BE"/>
        </w:rPr>
      </w:pPr>
      <w:r>
        <w:rPr>
          <w:rStyle w:val="FootnoteReference"/>
        </w:rPr>
        <w:footnoteRef/>
      </w:r>
      <w:r>
        <w:tab/>
      </w:r>
    </w:p>
  </w:footnote>
  <w:footnote w:id="9">
    <w:p>
      <w:pPr>
        <w:pStyle w:val="FootnoteText"/>
        <w:ind w:left="0" w:firstLine="0"/>
      </w:pPr>
      <w:r>
        <w:rPr>
          <w:rStyle w:val="FootnoteReference"/>
        </w:rPr>
        <w:footnoteRef/>
      </w:r>
      <w:r>
        <w:tab/>
        <w:t>OJ L ..., ..., p. .</w:t>
      </w:r>
    </w:p>
  </w:footnote>
  <w:footnote w:id="10">
    <w:p>
      <w:pPr>
        <w:pStyle w:val="FootnoteText"/>
        <w:rPr>
          <w:szCs w:val="24"/>
        </w:rPr>
      </w:pPr>
      <w:r>
        <w:rPr>
          <w:rStyle w:val="FootnoteReference"/>
        </w:rPr>
        <w:footnoteRef/>
      </w:r>
      <w:r>
        <w:tab/>
        <w:t>ABM: activity-based management; ABB: activity-based budgeting.</w:t>
      </w:r>
    </w:p>
  </w:footnote>
  <w:footnote w:id="11">
    <w:p>
      <w:pPr>
        <w:pStyle w:val="FootnoteText"/>
        <w:rPr>
          <w:szCs w:val="24"/>
        </w:rPr>
      </w:pPr>
      <w:r>
        <w:rPr>
          <w:rStyle w:val="FootnoteReference"/>
        </w:rPr>
        <w:footnoteRef/>
      </w:r>
      <w:r>
        <w:tab/>
        <w:t>As referred to in Article 54(2)(a) or (b) of the Financial Regulation.</w:t>
      </w:r>
    </w:p>
  </w:footnote>
  <w:footnote w:id="12">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3">
    <w:p>
      <w:pPr>
        <w:pStyle w:val="FootnoteText"/>
        <w:rPr>
          <w:szCs w:val="24"/>
        </w:rPr>
      </w:pPr>
      <w:r>
        <w:rPr>
          <w:rStyle w:val="FootnoteReference"/>
        </w:rPr>
        <w:footnoteRef/>
      </w:r>
      <w:r>
        <w:tab/>
        <w:t>Diff. = Differentiated appropriations / Non-diff. = Non-differentiated appropriations.</w:t>
      </w:r>
    </w:p>
  </w:footnote>
  <w:footnote w:id="14">
    <w:p>
      <w:pPr>
        <w:pStyle w:val="FootnoteText"/>
        <w:rPr>
          <w:szCs w:val="24"/>
        </w:rPr>
      </w:pPr>
      <w:r>
        <w:rPr>
          <w:rStyle w:val="FootnoteReference"/>
        </w:rPr>
        <w:footnoteRef/>
      </w:r>
      <w:r>
        <w:tab/>
        <w:t xml:space="preserve">EFTA: European Free Trade Association. </w:t>
      </w:r>
    </w:p>
  </w:footnote>
  <w:footnote w:id="15">
    <w:p>
      <w:pPr>
        <w:pStyle w:val="FootnoteText"/>
        <w:rPr>
          <w:szCs w:val="24"/>
        </w:rPr>
      </w:pPr>
      <w:r>
        <w:rPr>
          <w:rStyle w:val="FootnoteReference"/>
        </w:rPr>
        <w:footnoteRef/>
      </w:r>
      <w:r>
        <w:tab/>
        <w:t>Candidate countries and, where applicable, potential candidate countries from the Western Balkans.</w:t>
      </w:r>
    </w:p>
  </w:footnote>
  <w:footnote w:id="16">
    <w:p>
      <w:pPr>
        <w:pStyle w:val="FootnoteText"/>
        <w:rPr>
          <w:sz w:val="18"/>
          <w:szCs w:val="18"/>
        </w:rPr>
      </w:pPr>
      <w:r>
        <w:rPr>
          <w:rStyle w:val="FootnoteReference"/>
        </w:rPr>
        <w:footnoteRef/>
      </w:r>
      <w:r>
        <w:tab/>
      </w:r>
      <w:r>
        <w:rPr>
          <w:sz w:val="18"/>
        </w:rPr>
        <w:t>According to the official budget nomenclature.</w:t>
      </w:r>
    </w:p>
  </w:footnote>
  <w:footnote w:id="17">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Year N is the year in which implementation of the proposal/initiative starts.</w:t>
      </w:r>
    </w:p>
  </w:footnote>
  <w:footnote w:id="19">
    <w:p>
      <w:pPr>
        <w:pStyle w:val="FootnoteText"/>
        <w:rPr>
          <w:szCs w:val="24"/>
        </w:rPr>
      </w:pPr>
      <w:r>
        <w:rPr>
          <w:rStyle w:val="FootnoteReference"/>
        </w:rPr>
        <w:footnoteRef/>
      </w:r>
      <w:r>
        <w:tab/>
        <w:t>Outputs are products and services to be supplied (e.g. number of student exchanges financed, number of km of roads built).</w:t>
      </w:r>
    </w:p>
  </w:footnote>
  <w:footnote w:id="20">
    <w:p>
      <w:pPr>
        <w:pStyle w:val="FootnoteText"/>
        <w:rPr>
          <w:szCs w:val="24"/>
        </w:rPr>
      </w:pPr>
      <w:r>
        <w:rPr>
          <w:rStyle w:val="FootnoteReference"/>
        </w:rPr>
        <w:footnoteRef/>
      </w:r>
      <w:r>
        <w:tab/>
        <w:t xml:space="preserve">As described in point 1.4.2. ‘Specific objective(s)…’ </w:t>
      </w:r>
    </w:p>
  </w:footnote>
  <w:footnote w:id="21">
    <w:p>
      <w:pPr>
        <w:pStyle w:val="FootnoteText"/>
        <w:rPr>
          <w:szCs w:val="24"/>
        </w:rPr>
      </w:pPr>
      <w:r>
        <w:rPr>
          <w:rStyle w:val="FootnoteReference"/>
        </w:rPr>
        <w:footnoteRef/>
      </w:r>
      <w:r>
        <w:tab/>
        <w:t>Year N is the year in which implementation of the proposal/initiative starts.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4">
    <w:p>
      <w:pPr>
        <w:pStyle w:val="FootnoteText"/>
        <w:rPr>
          <w:szCs w:val="24"/>
        </w:rPr>
      </w:pPr>
      <w:r>
        <w:rPr>
          <w:rStyle w:val="FootnoteReference"/>
        </w:rPr>
        <w:footnoteRef/>
      </w:r>
      <w:r>
        <w:tab/>
        <w:t>Sub-ceiling for external staff covered by operational appropriations (former ‘BA’ lines).</w:t>
      </w:r>
    </w:p>
  </w:footnote>
  <w:footnote w:id="2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1"/>
  </w:num>
  <w:num w:numId="18">
    <w:abstractNumId w:val="11"/>
  </w:num>
  <w:num w:numId="19">
    <w:abstractNumId w:val="24"/>
  </w:num>
  <w:num w:numId="20">
    <w:abstractNumId w:val="6"/>
  </w:num>
  <w:num w:numId="21">
    <w:abstractNumId w:val="12"/>
  </w:num>
  <w:num w:numId="22">
    <w:abstractNumId w:val="4"/>
  </w:num>
  <w:num w:numId="23">
    <w:abstractNumId w:val="23"/>
  </w:num>
  <w:num w:numId="24">
    <w:abstractNumId w:val="3"/>
  </w:num>
  <w:num w:numId="25">
    <w:abstractNumId w:val="13"/>
  </w:num>
  <w:num w:numId="26">
    <w:abstractNumId w:val="19"/>
  </w:num>
  <w:num w:numId="27">
    <w:abstractNumId w:val="20"/>
  </w:num>
  <w:num w:numId="28">
    <w:abstractNumId w:val="5"/>
  </w:num>
  <w:num w:numId="29">
    <w:abstractNumId w:val="17"/>
  </w:num>
  <w:num w:numId="30">
    <w:abstractNumId w:val="2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6 09:10: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95F7EC-9853-4644-A9F2-869D75DCC32F"/>
    <w:docVar w:name="LW_COVERPAGE_TYPE" w:val="1"/>
    <w:docVar w:name="LW_CROSSREFERENCE" w:val="&lt;UNUSED&gt;"/>
    <w:docVar w:name="LW_DocType" w:val="COM"/>
    <w:docVar w:name="LW_EMISSION" w:val="16.2.2021"/>
    <w:docVar w:name="LW_EMISSION_ISODATE" w:val="2021-02-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7"/>
    <w:docVar w:name="LW_REF.II.NEW.CP_YEAR" w:val="2021"/>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a Sustainable Fisheries Partnership Agreement between the European Union on the one hand, and the Government of Greenland and the Government of Denmark, on the other hand and the Implementation Protocol theret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17</Pages>
  <Words>4695</Words>
  <Characters>27044</Characters>
  <Application>Microsoft Office Word</Application>
  <DocSecurity>0</DocSecurity>
  <Lines>1423</Lines>
  <Paragraphs>610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2021-01-28T21:04:00Z</dcterms:created>
  <dcterms:modified xsi:type="dcterms:W3CDTF">2021-02-16T08:10:00Z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