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83CDD6B-ACA9-41AB-9899-95A11D4A5E36" style="width:450.7pt;height:306.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les travaux des comités en 2019</w:t>
      </w:r>
    </w:p>
    <w:p>
      <w:pPr>
        <w:pStyle w:val="Sous-titreobjet"/>
        <w:rPr>
          <w:noProof/>
        </w:rPr>
      </w:pPr>
    </w:p>
    <w:p>
      <w:pPr>
        <w:jc w:val="both"/>
        <w:rPr>
          <w:rFonts w:ascii="Times New Roman" w:hAnsi="Times New Roman"/>
          <w:noProof/>
          <w:sz w:val="24"/>
          <w:szCs w:val="24"/>
        </w:rPr>
      </w:pPr>
      <w:r>
        <w:rPr>
          <w:rFonts w:ascii="Times New Roman" w:hAnsi="Times New Roman"/>
          <w:noProof/>
          <w:sz w:val="24"/>
          <w:szCs w:val="24"/>
        </w:rPr>
        <w:t>Conformément à l’article 10, paragraphe 2, du règlement (UE) nº 182/2011 établissant les règles et principes généraux relatifs aux modalités de contrôle par les États membres de l’exercice des compétences d’exécution par la Commission</w:t>
      </w:r>
      <w:r>
        <w:rPr>
          <w:rFonts w:ascii="Times New Roman" w:hAnsi="Times New Roman"/>
          <w:noProof/>
          <w:sz w:val="24"/>
          <w:szCs w:val="24"/>
          <w:vertAlign w:val="superscript"/>
        </w:rPr>
        <w:footnoteReference w:id="1"/>
      </w:r>
      <w:r>
        <w:rPr>
          <w:rFonts w:ascii="Times New Roman" w:hAnsi="Times New Roman"/>
          <w:noProof/>
          <w:sz w:val="24"/>
          <w:szCs w:val="24"/>
        </w:rPr>
        <w:t xml:space="preserve"> (le «règlement de comitologie»), la Commission présente ci-après le rapport annuel sur les travaux des comités en 2019.</w:t>
      </w:r>
    </w:p>
    <w:p>
      <w:pPr>
        <w:jc w:val="both"/>
        <w:rPr>
          <w:rFonts w:ascii="Times New Roman" w:hAnsi="Times New Roman"/>
          <w:noProof/>
          <w:sz w:val="24"/>
          <w:szCs w:val="24"/>
        </w:rPr>
      </w:pPr>
      <w:r>
        <w:rPr>
          <w:rFonts w:ascii="Times New Roman" w:hAnsi="Times New Roman"/>
          <w:noProof/>
          <w:sz w:val="24"/>
          <w:szCs w:val="24"/>
        </w:rPr>
        <w:t>Le présent rapport fait un tour d’horizon de l’évolution du système de comitologie en 2019 et présente une synthèse des activités des comités. Il est accompagné d’un document de travail des services de la Commission contenant des statistiques détaillées sur les travaux des différents comités.</w:t>
      </w:r>
    </w:p>
    <w:p>
      <w:pPr>
        <w:jc w:val="both"/>
        <w:rPr>
          <w:rFonts w:ascii="Times New Roman" w:hAnsi="Times New Roman"/>
          <w:noProof/>
          <w:sz w:val="24"/>
          <w:szCs w:val="24"/>
        </w:rPr>
      </w:pPr>
    </w:p>
    <w:p>
      <w:pPr>
        <w:pStyle w:val="ManualHeading1"/>
        <w:rPr>
          <w:noProof/>
          <w:color w:val="FF0000"/>
        </w:rPr>
      </w:pPr>
      <w:r>
        <w:t>1.</w:t>
      </w:r>
      <w:r>
        <w:tab/>
      </w:r>
      <w:r>
        <w:rPr>
          <w:noProof/>
        </w:rPr>
        <w:t>Tour d’horizon de l’évolution du système de comitologie en 2019</w:t>
      </w:r>
    </w:p>
    <w:p>
      <w:pPr>
        <w:pStyle w:val="ManualHeading2"/>
        <w:rPr>
          <w:noProof/>
        </w:rPr>
      </w:pPr>
      <w:r>
        <w:t>1.1.</w:t>
      </w:r>
      <w:r>
        <w:tab/>
      </w:r>
      <w:r>
        <w:rPr>
          <w:noProof/>
        </w:rPr>
        <w:t>Évolution générale</w:t>
      </w:r>
    </w:p>
    <w:p>
      <w:pPr>
        <w:jc w:val="both"/>
        <w:rPr>
          <w:rFonts w:ascii="Times New Roman" w:hAnsi="Times New Roman"/>
          <w:b/>
          <w:noProof/>
          <w:sz w:val="24"/>
          <w:szCs w:val="24"/>
        </w:rPr>
      </w:pPr>
      <w:r>
        <w:rPr>
          <w:rFonts w:ascii="Times New Roman" w:hAnsi="Times New Roman"/>
          <w:noProof/>
          <w:sz w:val="24"/>
          <w:szCs w:val="24"/>
        </w:rPr>
        <w:t>À l’exception de la procédure de réglementation avec contrôle, toutes les procédures de comitologie prévues par l’«ancienne» décision de comitologie</w:t>
      </w:r>
      <w:r>
        <w:rPr>
          <w:rFonts w:ascii="Times New Roman" w:hAnsi="Times New Roman"/>
          <w:noProof/>
          <w:sz w:val="24"/>
          <w:szCs w:val="24"/>
          <w:vertAlign w:val="superscript"/>
        </w:rPr>
        <w:footnoteReference w:id="2"/>
      </w:r>
      <w:r>
        <w:rPr>
          <w:rFonts w:ascii="Times New Roman" w:hAnsi="Times New Roman"/>
          <w:noProof/>
          <w:sz w:val="24"/>
          <w:szCs w:val="24"/>
        </w:rPr>
        <w:t xml:space="preserve"> ont été automatiquement adaptées par le règlement de comitologie de façon à les aligner sur les procédures prévues par ce règlement.</w:t>
      </w:r>
    </w:p>
    <w:p>
      <w:pPr>
        <w:jc w:val="both"/>
        <w:rPr>
          <w:rFonts w:ascii="Times New Roman" w:hAnsi="Times New Roman"/>
          <w:noProof/>
          <w:sz w:val="24"/>
          <w:szCs w:val="24"/>
        </w:rPr>
      </w:pPr>
      <w:r>
        <w:rPr>
          <w:rFonts w:ascii="Times New Roman" w:hAnsi="Times New Roman"/>
          <w:noProof/>
          <w:sz w:val="24"/>
          <w:szCs w:val="24"/>
        </w:rPr>
        <w:t>Par conséquent, en 2019, les comités de comitologie ont travaillé selon les procédures définies dans le règlement de comitologie, c’est-à-dire selon la procédure consultative (article 4) et la procédure d’examen (article 5), ainsi que la procédure de réglementation avec contrôle définie à l’article 5 </w:t>
      </w:r>
      <w:r>
        <w:rPr>
          <w:rFonts w:ascii="Times New Roman" w:hAnsi="Times New Roman"/>
          <w:i/>
          <w:noProof/>
          <w:sz w:val="24"/>
          <w:szCs w:val="24"/>
        </w:rPr>
        <w:t>bis</w:t>
      </w:r>
      <w:r>
        <w:rPr>
          <w:rFonts w:ascii="Times New Roman" w:hAnsi="Times New Roman"/>
          <w:noProof/>
          <w:sz w:val="24"/>
          <w:szCs w:val="24"/>
        </w:rPr>
        <w:t xml:space="preserve"> de la décision de comitologie.</w:t>
      </w:r>
    </w:p>
    <w:p>
      <w:pPr>
        <w:jc w:val="both"/>
        <w:rPr>
          <w:rFonts w:ascii="Times New Roman" w:hAnsi="Times New Roman"/>
          <w:noProof/>
          <w:sz w:val="24"/>
          <w:szCs w:val="24"/>
        </w:rPr>
      </w:pPr>
      <w:r>
        <w:rPr>
          <w:rFonts w:ascii="Times New Roman" w:hAnsi="Times New Roman"/>
          <w:noProof/>
          <w:sz w:val="24"/>
          <w:szCs w:val="24"/>
        </w:rPr>
        <w:t>En ce qui concerne la procédure de réglementation avec contrôle, l'accord interinstitutionnel «Mieux légiférer» du 13 avril 2016</w:t>
      </w:r>
      <w:r>
        <w:rPr>
          <w:rStyle w:val="FootnoteReference"/>
          <w:rFonts w:ascii="Times New Roman" w:hAnsi="Times New Roman"/>
          <w:noProof/>
          <w:sz w:val="24"/>
          <w:szCs w:val="24"/>
        </w:rPr>
        <w:footnoteReference w:id="3"/>
      </w:r>
      <w:r>
        <w:rPr>
          <w:rFonts w:ascii="Times New Roman" w:hAnsi="Times New Roman"/>
          <w:noProof/>
          <w:sz w:val="24"/>
          <w:szCs w:val="24"/>
        </w:rPr>
        <w:t xml:space="preserve"> rappelle, en son point 27, la nécessité d’aligner les actes qui se réfèrent encore à cette procédure sur le nouveau cadre juridique introduit par le traité de Lisbonne.</w:t>
      </w:r>
    </w:p>
    <w:p>
      <w:pPr>
        <w:jc w:val="both"/>
        <w:rPr>
          <w:rFonts w:ascii="Times New Roman" w:hAnsi="Times New Roman"/>
          <w:noProof/>
          <w:sz w:val="24"/>
          <w:szCs w:val="24"/>
        </w:rPr>
      </w:pPr>
      <w:r>
        <w:rPr>
          <w:rFonts w:ascii="Times New Roman" w:hAnsi="Times New Roman"/>
          <w:noProof/>
          <w:sz w:val="24"/>
          <w:szCs w:val="24"/>
        </w:rPr>
        <w:t xml:space="preserve">En 2019, l'alignement de 64 actes de base prévoyant le recours à la procédure de réglementation avec contrôle sur les actes délégués et, dans quelques cas, sur les actes </w:t>
      </w:r>
      <w:r>
        <w:rPr>
          <w:rFonts w:ascii="Times New Roman" w:hAnsi="Times New Roman"/>
          <w:noProof/>
          <w:sz w:val="24"/>
          <w:szCs w:val="24"/>
        </w:rPr>
        <w:lastRenderedPageBreak/>
        <w:t>d’exécution a été approuvé</w:t>
      </w:r>
      <w:r>
        <w:rPr>
          <w:rFonts w:ascii="Times New Roman" w:hAnsi="Times New Roman"/>
          <w:noProof/>
          <w:sz w:val="24"/>
          <w:szCs w:val="24"/>
          <w:vertAlign w:val="superscript"/>
        </w:rPr>
        <w:footnoteReference w:id="4"/>
      </w:r>
      <w:r>
        <w:rPr>
          <w:rFonts w:ascii="Times New Roman" w:hAnsi="Times New Roman"/>
          <w:noProof/>
          <w:sz w:val="24"/>
          <w:szCs w:val="24"/>
        </w:rPr>
        <w:t>. À la suite de l'accord partiel portant sur la proposition de la Commission, les négociations interinstitutionnelles se poursuivent sur l’alignement des autres actes de base inclus dans la proposition générale de la Commission</w:t>
      </w:r>
      <w:r>
        <w:rPr>
          <w:rStyle w:val="FootnoteReference"/>
          <w:rFonts w:ascii="Times New Roman" w:hAnsi="Times New Roman"/>
          <w:noProof/>
          <w:sz w:val="24"/>
          <w:szCs w:val="24"/>
        </w:rPr>
        <w:footnoteReference w:id="5"/>
      </w:r>
      <w:r>
        <w:rPr>
          <w:rFonts w:ascii="Times New Roman" w:hAnsi="Times New Roman"/>
          <w:noProof/>
          <w:sz w:val="24"/>
          <w:szCs w:val="24"/>
        </w:rPr>
        <w:t xml:space="preserve"> et dans la proposition de la Commission relative au domaine de la justice</w:t>
      </w:r>
      <w:r>
        <w:rPr>
          <w:rStyle w:val="FootnoteReference"/>
          <w:rFonts w:ascii="Times New Roman" w:hAnsi="Times New Roman"/>
          <w:noProof/>
          <w:sz w:val="24"/>
          <w:szCs w:val="24"/>
        </w:rPr>
        <w:footnoteReference w:id="6"/>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En outre, les négociations entre les trois institutions ont été menées à bien en 2019 concernant des critères non contraignants pour l’application des articles 290 et 291 du traité sur le fonctionnement de l’Union européenne, à savoir la délimitation entre actes délégués et actes d’exécution. Le texte final des critères de délimitation a été publié au Journal officiel le 3 juillet 2019</w:t>
      </w:r>
      <w:r>
        <w:rPr>
          <w:rFonts w:ascii="Times New Roman" w:hAnsi="Times New Roman"/>
          <w:noProof/>
          <w:sz w:val="24"/>
          <w:szCs w:val="24"/>
          <w:vertAlign w:val="superscript"/>
        </w:rPr>
        <w:footnoteReference w:id="7"/>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Les négociations se poursuivent sur une proposition de la Commission du 14 février 2017 relative à une proposition de règlement du Parlement européen et du Conseil portant modification du règlement (UE) n° 182/2011</w:t>
      </w:r>
      <w:r>
        <w:rPr>
          <w:rStyle w:val="FootnoteReference"/>
          <w:rFonts w:ascii="Times New Roman" w:hAnsi="Times New Roman"/>
          <w:noProof/>
          <w:sz w:val="24"/>
          <w:szCs w:val="24"/>
        </w:rPr>
        <w:footnoteReference w:id="8"/>
      </w:r>
      <w:r>
        <w:rPr>
          <w:rFonts w:ascii="Times New Roman" w:hAnsi="Times New Roman"/>
          <w:noProof/>
          <w:sz w:val="24"/>
          <w:szCs w:val="24"/>
        </w:rPr>
        <w:t xml:space="preserve"> sur la comitologie. Cette proposition énonce un certain nombre de modifications ciblées relatives au fonctionnement du comité d’appel pour régler les situations d’absence d’avis dans des domaines sensibles.</w:t>
      </w:r>
    </w:p>
    <w:p>
      <w:pPr>
        <w:jc w:val="both"/>
        <w:rPr>
          <w:rFonts w:ascii="Times New Roman" w:hAnsi="Times New Roman"/>
          <w:noProof/>
          <w:sz w:val="24"/>
          <w:szCs w:val="24"/>
        </w:rPr>
      </w:pPr>
      <w:r>
        <w:rPr>
          <w:rFonts w:ascii="Times New Roman" w:hAnsi="Times New Roman"/>
          <w:noProof/>
          <w:sz w:val="24"/>
          <w:szCs w:val="24"/>
        </w:rPr>
        <w:t>Dans sa communication intitulée «Améliorer la réglementation pour obtenir de meilleurs résultats» de mai 2015, la Commission s’est engagée à ce que les projets d’actes délégués et les projets d’actes d’exécution importants soient accessibles au grand public pendant une période de consultation de quatre semaines, ce qui permettra aux parties intéressées de formuler leurs observations. En 2019, 93 projets ont ainsi été publiés pour être soumis à l’avis du public, sur le site web de la Commission «</w:t>
      </w:r>
      <w:r>
        <w:rPr>
          <w:rFonts w:ascii="Times New Roman" w:hAnsi="Times New Roman"/>
          <w:bCs/>
          <w:noProof/>
          <w:sz w:val="24"/>
          <w:szCs w:val="24"/>
        </w:rPr>
        <w:t>Donnez votre avis</w:t>
      </w:r>
      <w:r>
        <w:rPr>
          <w:rFonts w:ascii="Times New Roman" w:hAnsi="Times New Roman"/>
          <w:noProof/>
          <w:sz w:val="24"/>
          <w:szCs w:val="24"/>
        </w:rPr>
        <w:t>»</w:t>
      </w:r>
      <w:r>
        <w:rPr>
          <w:rStyle w:val="FootnoteReference"/>
          <w:rFonts w:ascii="Times New Roman" w:hAnsi="Times New Roman"/>
          <w:noProof/>
          <w:sz w:val="24"/>
          <w:szCs w:val="24"/>
        </w:rPr>
        <w:footnoteReference w:id="9"/>
      </w:r>
      <w:r>
        <w:rPr>
          <w:rFonts w:ascii="Times New Roman" w:hAnsi="Times New Roman"/>
          <w:noProof/>
          <w:sz w:val="24"/>
          <w:szCs w:val="24"/>
        </w:rPr>
        <w:t>.</w:t>
      </w:r>
    </w:p>
    <w:p>
      <w:pPr>
        <w:pStyle w:val="ManualHeading1"/>
        <w:rPr>
          <w:noProof/>
        </w:rPr>
      </w:pPr>
      <w:r>
        <w:t>2.</w:t>
      </w:r>
      <w:r>
        <w:tab/>
      </w:r>
      <w:r>
        <w:rPr>
          <w:noProof/>
        </w:rPr>
        <w:t>Tour d’horizon des activités</w:t>
      </w:r>
    </w:p>
    <w:p>
      <w:pPr>
        <w:pStyle w:val="ManualHeading2"/>
        <w:rPr>
          <w:noProof/>
        </w:rPr>
      </w:pPr>
      <w:r>
        <w:t>2.1.</w:t>
      </w:r>
      <w:r>
        <w:tab/>
      </w:r>
      <w:r>
        <w:rPr>
          <w:noProof/>
        </w:rPr>
        <w:t>Nombre de comités et de réunions</w:t>
      </w:r>
    </w:p>
    <w:p>
      <w:pPr>
        <w:jc w:val="both"/>
        <w:rPr>
          <w:rFonts w:ascii="Times New Roman" w:hAnsi="Times New Roman"/>
          <w:noProof/>
          <w:sz w:val="24"/>
          <w:szCs w:val="24"/>
        </w:rPr>
      </w:pPr>
      <w:r>
        <w:rPr>
          <w:rFonts w:ascii="Times New Roman" w:hAnsi="Times New Roman"/>
          <w:noProof/>
          <w:sz w:val="24"/>
          <w:szCs w:val="24"/>
        </w:rPr>
        <w:t>Il importe de distinguer les comités de comitologie des autres entités, en particulier des «groupes d’experts» créés par la Commission elle-même. Ces derniers mettent leurs connaissances spécialisées à la disposition de la Commission</w:t>
      </w:r>
      <w:r>
        <w:rPr>
          <w:rFonts w:ascii="Times New Roman" w:hAnsi="Times New Roman"/>
          <w:noProof/>
          <w:sz w:val="24"/>
          <w:szCs w:val="24"/>
          <w:vertAlign w:val="superscript"/>
        </w:rPr>
        <w:footnoteReference w:id="10"/>
      </w:r>
      <w:r>
        <w:rPr>
          <w:rFonts w:ascii="Times New Roman" w:hAnsi="Times New Roman"/>
          <w:noProof/>
          <w:sz w:val="24"/>
          <w:szCs w:val="24"/>
        </w:rPr>
        <w:t xml:space="preserve"> pour l'élaboration et la mise en œuvre des politiques ainsi que des actes délégués, tandis que les comités de comitologie assistent la Commission dans l’exercice des compétences d’exécution qui lui ont été conférées par des actes législatifs de base. Le présent rapport porte exclusivement sur les comités de comitologie. Le tableau I ci-dessous présente le nombre de comités de comitologie actifs par secteur d’activité pour la période comprise entre le 1</w:t>
      </w:r>
      <w:r>
        <w:rPr>
          <w:rFonts w:ascii="Times New Roman" w:hAnsi="Times New Roman"/>
          <w:noProof/>
          <w:sz w:val="24"/>
          <w:szCs w:val="24"/>
          <w:vertAlign w:val="superscript"/>
        </w:rPr>
        <w:t>er</w:t>
      </w:r>
      <w:r>
        <w:rPr>
          <w:rFonts w:ascii="Times New Roman" w:hAnsi="Times New Roman"/>
          <w:noProof/>
          <w:sz w:val="24"/>
          <w:szCs w:val="24"/>
        </w:rPr>
        <w:t> janvier et le 31 décembre 2019. Les chiffres relatifs à l'année antérieure (au 31 décembre 2018) sont également indiqués à titre de comparaison. Les sections et configurations ne sont pas comptées à part, car elles font partie d’un comité principal.</w:t>
      </w:r>
    </w:p>
    <w:p>
      <w:pPr>
        <w:keepNext/>
        <w:spacing w:line="240" w:lineRule="auto"/>
        <w:rPr>
          <w:rFonts w:ascii="Times New Roman" w:hAnsi="Times New Roman"/>
          <w:b/>
          <w:noProof/>
          <w:sz w:val="24"/>
          <w:szCs w:val="24"/>
          <w:u w:val="single"/>
        </w:rPr>
      </w:pPr>
      <w:r>
        <w:rPr>
          <w:rFonts w:ascii="Times New Roman" w:hAnsi="Times New Roman"/>
          <w:b/>
          <w:noProof/>
          <w:sz w:val="24"/>
          <w:szCs w:val="24"/>
          <w:u w:val="single"/>
        </w:rPr>
        <w:t>TABLEAU I – </w:t>
      </w:r>
      <w:r>
        <w:rPr>
          <w:rFonts w:ascii="Times New Roman" w:hAnsi="Times New Roman"/>
          <w:b/>
          <w:smallCaps/>
          <w:noProof/>
          <w:sz w:val="24"/>
          <w:szCs w:val="24"/>
          <w:u w:val="single"/>
        </w:rPr>
        <w:t>Nombre total de comités</w:t>
      </w:r>
    </w:p>
    <w:tbl>
      <w:tblPr>
        <w:tblW w:w="5169" w:type="pct"/>
        <w:tblInd w:w="-132" w:type="dxa"/>
        <w:tblLayout w:type="fixed"/>
        <w:tblLook w:val="0000" w:firstRow="0" w:lastRow="0" w:firstColumn="0" w:lastColumn="0" w:noHBand="0" w:noVBand="0"/>
      </w:tblPr>
      <w:tblGrid>
        <w:gridCol w:w="6223"/>
        <w:gridCol w:w="1697"/>
        <w:gridCol w:w="1680"/>
      </w:tblGrid>
      <w:tr>
        <w:trPr>
          <w:trHeight w:val="510"/>
        </w:trPr>
        <w:tc>
          <w:tcPr>
            <w:tcW w:w="3241"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Domaine d’action</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2018</w:t>
            </w:r>
          </w:p>
        </w:tc>
        <w:tc>
          <w:tcPr>
            <w:tcW w:w="875" w:type="pct"/>
            <w:tcBorders>
              <w:top w:val="single" w:sz="4" w:space="0" w:color="auto"/>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2019</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AGRI   (Agriculture et développement rural)</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11</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BUDG   (Budget)</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CLIMA   (Action pour le climat)</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5</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CNECT   (Réseaux de communication, contenu et technologies)</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7</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9</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DEFIS   (Industrie de la défense et de l’espace)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6</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DEVCO (Coopération internationale et développement)</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5</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DIGIT   (Informatique)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EAC   (Éducation et culture)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ECFIN   (Affaires économiques et financières)</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ECHO   (Aide humanitaire et protection civile)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EMPL   (Emploi, affaires sociales et inclusion)</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5</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ENER   (Énergie)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14</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sz w:val="18"/>
                <w:szCs w:val="18"/>
              </w:rPr>
            </w:pPr>
            <w:r>
              <w:rPr>
                <w:rFonts w:ascii="Times New Roman" w:hAnsi="Times New Roman"/>
                <w:b/>
                <w:noProof/>
                <w:color w:val="000000"/>
                <w:sz w:val="18"/>
                <w:szCs w:val="18"/>
              </w:rPr>
              <w:t>ENV   (Environnement)</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30</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27</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ESTAT   (Eurostat)</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4</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FISMA   (Stabilité financière, services financiers et union des marchés des capitaux)</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8</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9</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FPI   (Service des instruments de politique étrangère)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4</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4</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GROW   (Marché intérieur, industrie, entrepreneuriat et PME)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44</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36</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HOME   (Migration et affaires intérieures)</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18</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JUST   (Justice et consommateurs)</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24</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szCs w:val="18"/>
              </w:rPr>
              <w:t>MARE   (Affaires maritimes et pêche)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Cs/>
                <w:noProof/>
                <w:color w:val="000000"/>
                <w:sz w:val="18"/>
                <w:szCs w:val="18"/>
              </w:rPr>
            </w:pPr>
            <w:r>
              <w:rPr>
                <w:rFonts w:ascii="Times New Roman" w:hAnsi="Times New Roman"/>
                <w:bCs/>
                <w:noProof/>
                <w:color w:val="000000"/>
                <w:sz w:val="18"/>
                <w:szCs w:val="18"/>
              </w:rPr>
              <w:t>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bCs/>
                <w:noProof/>
                <w:color w:val="000000"/>
                <w:sz w:val="18"/>
                <w:szCs w:val="18"/>
              </w:rPr>
              <w:t>3</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MOVE   (Mobilité et transports)</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31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32</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NEAR   (Voisinage et négociations d’élargissement)</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3</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OLAF   (Office européen de lutte antifraude)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REGIO   (Politique régionale et urbaine)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r>
      <w:tr>
        <w:trPr>
          <w:trHeight w:val="240"/>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RTD   (Recherche et innovation)</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7</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17</w:t>
            </w:r>
          </w:p>
        </w:tc>
      </w:tr>
      <w:tr>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SANTE   (Santé et sécurité alimentaire)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17</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34</w:t>
            </w:r>
          </w:p>
        </w:tc>
      </w:tr>
      <w:tr>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SG   (Secrétariat général)</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4*</w:t>
            </w:r>
          </w:p>
        </w:tc>
      </w:tr>
      <w:tr>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TAXUD   (Fiscalité et union douanière)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13</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26</w:t>
            </w:r>
          </w:p>
        </w:tc>
      </w:tr>
      <w:tr>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sz w:val="18"/>
                <w:szCs w:val="18"/>
              </w:rPr>
            </w:pPr>
            <w:r>
              <w:rPr>
                <w:rFonts w:ascii="Times New Roman" w:hAnsi="Times New Roman"/>
                <w:b/>
                <w:noProof/>
                <w:sz w:val="18"/>
                <w:szCs w:val="18"/>
              </w:rPr>
              <w:t>TRADE   (Commerce)</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r>
      <w:tr>
        <w:trPr>
          <w:trHeight w:val="255"/>
        </w:trPr>
        <w:tc>
          <w:tcPr>
            <w:tcW w:w="3241"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sz w:val="18"/>
                <w:szCs w:val="18"/>
              </w:rPr>
            </w:pPr>
            <w:r>
              <w:rPr>
                <w:rFonts w:ascii="Times New Roman" w:hAnsi="Times New Roman"/>
                <w:b/>
                <w:bCs/>
                <w:noProof/>
                <w:sz w:val="18"/>
                <w:szCs w:val="18"/>
              </w:rPr>
              <w:t>TOTAL:</w:t>
            </w:r>
          </w:p>
        </w:tc>
        <w:tc>
          <w:tcPr>
            <w:tcW w:w="884"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275</w:t>
            </w:r>
          </w:p>
        </w:tc>
        <w:tc>
          <w:tcPr>
            <w:tcW w:w="875"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318</w:t>
            </w:r>
          </w:p>
        </w:tc>
      </w:tr>
    </w:tbl>
    <w:p>
      <w:pPr>
        <w:spacing w:line="240" w:lineRule="auto"/>
        <w:jc w:val="both"/>
        <w:rPr>
          <w:rFonts w:ascii="Times New Roman" w:hAnsi="Times New Roman"/>
          <w:i/>
          <w:noProof/>
          <w:sz w:val="18"/>
          <w:szCs w:val="18"/>
        </w:rPr>
      </w:pPr>
      <w:r>
        <w:rPr>
          <w:rFonts w:ascii="Times New Roman" w:hAnsi="Times New Roman"/>
          <w:noProof/>
          <w:sz w:val="18"/>
          <w:szCs w:val="18"/>
        </w:rPr>
        <w:t xml:space="preserve">* </w:t>
      </w:r>
      <w:r>
        <w:rPr>
          <w:rFonts w:ascii="Times New Roman" w:hAnsi="Times New Roman"/>
          <w:i/>
          <w:noProof/>
          <w:sz w:val="18"/>
          <w:szCs w:val="18"/>
        </w:rPr>
        <w:t>Y compris le comité d’appel (pour les besoins du registre de comitologie, le comité d’appel est pris en compte en tant que comité relevant de la responsabilité du secrétariat général; dans la pratique, il est géré par tous les services concernés).</w:t>
      </w:r>
    </w:p>
    <w:p>
      <w:pPr>
        <w:jc w:val="both"/>
        <w:rPr>
          <w:rFonts w:ascii="Times New Roman" w:hAnsi="Times New Roman"/>
          <w:noProof/>
          <w:sz w:val="24"/>
          <w:szCs w:val="24"/>
        </w:rPr>
      </w:pPr>
      <w:r>
        <w:rPr>
          <w:rFonts w:ascii="Times New Roman" w:hAnsi="Times New Roman"/>
          <w:noProof/>
          <w:sz w:val="24"/>
          <w:szCs w:val="24"/>
        </w:rPr>
        <w:t>En 2019, 318 comités de comitologie étaient en activité. Ce nombre incluait toutes les configurations de comités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Alors que, les années précédentes, les configurations des comités étaient énumérées dans le document de travail des services de la Commission qui accompagne le rapport, elles sont désormais systématiquement incluses dans les chiffres généraux. </w:t>
      </w:r>
    </w:p>
    <w:p>
      <w:pPr>
        <w:jc w:val="both"/>
        <w:rPr>
          <w:rFonts w:ascii="Times New Roman" w:hAnsi="Times New Roman"/>
          <w:b/>
          <w:noProof/>
          <w:sz w:val="24"/>
          <w:szCs w:val="24"/>
          <w:u w:val="single"/>
        </w:rPr>
      </w:pPr>
      <w:r>
        <w:rPr>
          <w:rFonts w:ascii="Times New Roman" w:hAnsi="Times New Roman"/>
          <w:noProof/>
          <w:sz w:val="24"/>
          <w:szCs w:val="24"/>
        </w:rPr>
        <w:t>Les comités de comitologie peuvent généralement être ventilés selon le type de procédure qui régit leur activité (procédure consultative, procédure d'examen, procédure de réglementation avec contrôle – voir tableau II). Dans le tableau ci-dessous, qui ventile les comités en activité en 2019 par procédure, certains comités ayant appliqué des procédures multiples ont été séparés des comités opérant selon une procédure unique.</w:t>
      </w:r>
      <w:bookmarkStart w:id="2" w:name="_Toc138589006"/>
      <w:r>
        <w:rPr>
          <w:noProof/>
        </w:rPr>
        <w:br w:type="page"/>
      </w:r>
    </w:p>
    <w:p>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t>TABLEAU II – </w:t>
      </w:r>
      <w:r>
        <w:rPr>
          <w:rFonts w:ascii="Times New Roman" w:hAnsi="Times New Roman"/>
          <w:b/>
          <w:smallCaps/>
          <w:noProof/>
          <w:sz w:val="24"/>
          <w:szCs w:val="24"/>
          <w:u w:val="single"/>
        </w:rPr>
        <w:t>Nombre de comités par type de procédure</w:t>
      </w:r>
      <w:bookmarkEnd w:id="2"/>
    </w:p>
    <w:tbl>
      <w:tblPr>
        <w:tblW w:w="5171" w:type="pct"/>
        <w:tblInd w:w="-318" w:type="dxa"/>
        <w:tblLook w:val="0000" w:firstRow="0" w:lastRow="0" w:firstColumn="0" w:lastColumn="0" w:noHBand="0" w:noVBand="0"/>
      </w:tblPr>
      <w:tblGrid>
        <w:gridCol w:w="1417"/>
        <w:gridCol w:w="1634"/>
        <w:gridCol w:w="1637"/>
        <w:gridCol w:w="1637"/>
        <w:gridCol w:w="1644"/>
        <w:gridCol w:w="1635"/>
      </w:tblGrid>
      <w:tr>
        <w:trPr>
          <w:trHeight w:val="510"/>
        </w:trPr>
        <w:tc>
          <w:tcPr>
            <w:tcW w:w="738"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 xml:space="preserve"> </w:t>
            </w:r>
          </w:p>
        </w:tc>
        <w:tc>
          <w:tcPr>
            <w:tcW w:w="3411"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Type de procédure</w:t>
            </w:r>
          </w:p>
        </w:tc>
        <w:tc>
          <w:tcPr>
            <w:tcW w:w="85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p>
        </w:tc>
      </w:tr>
      <w:tr>
        <w:trPr>
          <w:trHeight w:val="510"/>
        </w:trPr>
        <w:tc>
          <w:tcPr>
            <w:tcW w:w="738"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lang w:eastAsia="en-GB"/>
              </w:rPr>
            </w:pPr>
          </w:p>
        </w:tc>
        <w:tc>
          <w:tcPr>
            <w:tcW w:w="85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Consultative</w:t>
            </w:r>
          </w:p>
        </w:tc>
        <w:tc>
          <w:tcPr>
            <w:tcW w:w="852"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Examen</w:t>
            </w:r>
          </w:p>
        </w:tc>
        <w:tc>
          <w:tcPr>
            <w:tcW w:w="852"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Réglementation avec contrôle</w:t>
            </w:r>
          </w:p>
        </w:tc>
        <w:tc>
          <w:tcPr>
            <w:tcW w:w="856"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Opérant selon plusieurs procédures</w:t>
            </w:r>
          </w:p>
        </w:tc>
        <w:tc>
          <w:tcPr>
            <w:tcW w:w="85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TOTAL</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AGRI</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11</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BUDG</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CLIMA</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CNECT</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DEFIS</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DEVCO</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DIGIT</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EAC</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ECFIN</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ECHO</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EMPL</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ENER</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ENV</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16</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27</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ESTAT</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FISMA</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FPI</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GROW</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24</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36</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HOME</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18</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JUST</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8</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8</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24</w:t>
            </w:r>
          </w:p>
        </w:tc>
      </w:tr>
      <w:tr>
        <w:trPr>
          <w:trHeight w:val="240"/>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MARE</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szCs w:val="18"/>
              </w:rPr>
              <w:t>MOVE</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4</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10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32</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NEAR</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OLAF</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REGIO</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RTD</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15</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17</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SANTÉ</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12</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22</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34</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SG</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TAXUD</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15</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26</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TRADE</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r>
      <w:tr>
        <w:trPr>
          <w:trHeight w:val="255"/>
        </w:trPr>
        <w:tc>
          <w:tcPr>
            <w:tcW w:w="738"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bCs/>
                <w:noProof/>
                <w:color w:val="000000"/>
                <w:sz w:val="18"/>
                <w:szCs w:val="18"/>
              </w:rPr>
              <w:t>TOTAL:</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23</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126</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20</w:t>
            </w:r>
          </w:p>
        </w:tc>
        <w:tc>
          <w:tcPr>
            <w:tcW w:w="856"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149</w:t>
            </w:r>
          </w:p>
        </w:tc>
        <w:tc>
          <w:tcPr>
            <w:tcW w:w="85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318</w:t>
            </w:r>
          </w:p>
        </w:tc>
      </w:tr>
    </w:tbl>
    <w:p>
      <w:pPr>
        <w:spacing w:line="240" w:lineRule="auto"/>
        <w:jc w:val="both"/>
        <w:rPr>
          <w:rFonts w:ascii="Times New Roman" w:hAnsi="Times New Roman"/>
          <w:noProof/>
          <w:sz w:val="18"/>
          <w:szCs w:val="18"/>
        </w:rPr>
      </w:pPr>
      <w:r>
        <w:rPr>
          <w:rFonts w:ascii="Times New Roman" w:hAnsi="Times New Roman"/>
          <w:noProof/>
          <w:sz w:val="18"/>
          <w:szCs w:val="18"/>
        </w:rPr>
        <w:t xml:space="preserve">* </w:t>
      </w:r>
      <w:r>
        <w:rPr>
          <w:rFonts w:ascii="Times New Roman" w:hAnsi="Times New Roman"/>
          <w:i/>
          <w:noProof/>
          <w:sz w:val="18"/>
          <w:szCs w:val="18"/>
        </w:rPr>
        <w:t>Y compris le comité d’appel.</w:t>
      </w:r>
    </w:p>
    <w:p>
      <w:pPr>
        <w:jc w:val="both"/>
        <w:rPr>
          <w:rFonts w:ascii="Times New Roman" w:hAnsi="Times New Roman"/>
          <w:noProof/>
          <w:sz w:val="24"/>
          <w:szCs w:val="24"/>
        </w:rPr>
      </w:pPr>
      <w:r>
        <w:rPr>
          <w:rFonts w:ascii="Times New Roman" w:hAnsi="Times New Roman"/>
          <w:noProof/>
          <w:sz w:val="24"/>
          <w:szCs w:val="24"/>
        </w:rPr>
        <w:t xml:space="preserve">Le nombre de comités n’est pas le seul indicateur de l’activité pour la comitologie. Le </w:t>
      </w:r>
      <w:r>
        <w:rPr>
          <w:rFonts w:ascii="Times New Roman" w:hAnsi="Times New Roman"/>
          <w:i/>
          <w:noProof/>
          <w:sz w:val="24"/>
          <w:szCs w:val="24"/>
        </w:rPr>
        <w:t>nombre de réunions</w:t>
      </w:r>
      <w:r>
        <w:rPr>
          <w:rFonts w:ascii="Times New Roman" w:hAnsi="Times New Roman"/>
          <w:noProof/>
          <w:sz w:val="24"/>
          <w:szCs w:val="24"/>
        </w:rPr>
        <w:t xml:space="preserve"> tenues et le </w:t>
      </w:r>
      <w:r>
        <w:rPr>
          <w:rFonts w:ascii="Times New Roman" w:hAnsi="Times New Roman"/>
          <w:i/>
          <w:noProof/>
          <w:sz w:val="24"/>
          <w:szCs w:val="24"/>
        </w:rPr>
        <w:t>nombre de procédures écrites</w:t>
      </w:r>
      <w:r>
        <w:rPr>
          <w:rFonts w:ascii="Times New Roman" w:hAnsi="Times New Roman"/>
          <w:i/>
          <w:noProof/>
          <w:sz w:val="24"/>
          <w:szCs w:val="24"/>
          <w:vertAlign w:val="superscript"/>
        </w:rPr>
        <w:footnoteReference w:id="12"/>
      </w:r>
      <w:r>
        <w:rPr>
          <w:rFonts w:ascii="Times New Roman" w:hAnsi="Times New Roman"/>
          <w:noProof/>
          <w:sz w:val="24"/>
          <w:szCs w:val="24"/>
        </w:rPr>
        <w:t xml:space="preserve"> utilisées en 2019 reflètent également l'intensité générale des travaux, à l'échelle tant des secteurs d'activité que des différents comités (tableau III).</w:t>
      </w:r>
    </w:p>
    <w:p>
      <w:pPr>
        <w:spacing w:after="0" w:line="240" w:lineRule="auto"/>
        <w:rPr>
          <w:rFonts w:ascii="Times New Roman" w:hAnsi="Times New Roman"/>
          <w:b/>
          <w:noProof/>
          <w:sz w:val="24"/>
          <w:szCs w:val="24"/>
          <w:u w:val="single"/>
        </w:rPr>
      </w:pPr>
      <w:r>
        <w:rPr>
          <w:noProof/>
        </w:rPr>
        <w:br w:type="page"/>
      </w:r>
    </w:p>
    <w:p>
      <w:pPr>
        <w:keepNext/>
        <w:spacing w:line="240" w:lineRule="auto"/>
        <w:rPr>
          <w:rFonts w:ascii="Times New Roman" w:hAnsi="Times New Roman"/>
          <w:b/>
          <w:noProof/>
          <w:sz w:val="24"/>
          <w:szCs w:val="24"/>
          <w:u w:val="single"/>
        </w:rPr>
      </w:pPr>
      <w:r>
        <w:rPr>
          <w:rFonts w:ascii="Times New Roman" w:hAnsi="Times New Roman"/>
          <w:b/>
          <w:noProof/>
          <w:sz w:val="24"/>
          <w:szCs w:val="24"/>
          <w:u w:val="single"/>
        </w:rPr>
        <w:t>TABLEAU III – </w:t>
      </w:r>
      <w:r>
        <w:rPr>
          <w:rFonts w:ascii="Times New Roman" w:hAnsi="Times New Roman"/>
          <w:b/>
          <w:smallCaps/>
          <w:noProof/>
          <w:sz w:val="24"/>
          <w:szCs w:val="24"/>
          <w:u w:val="single"/>
        </w:rPr>
        <w:t>Nombre de réunions et de procédures écrites</w:t>
      </w:r>
    </w:p>
    <w:tbl>
      <w:tblPr>
        <w:tblW w:w="5000" w:type="pct"/>
        <w:tblLook w:val="0000" w:firstRow="0" w:lastRow="0" w:firstColumn="0" w:lastColumn="0" w:noHBand="0" w:noVBand="0"/>
      </w:tblPr>
      <w:tblGrid>
        <w:gridCol w:w="1596"/>
        <w:gridCol w:w="1536"/>
        <w:gridCol w:w="1538"/>
        <w:gridCol w:w="1540"/>
        <w:gridCol w:w="1538"/>
        <w:gridCol w:w="1538"/>
      </w:tblGrid>
      <w:tr>
        <w:trPr>
          <w:trHeight w:val="510"/>
        </w:trPr>
        <w:tc>
          <w:tcPr>
            <w:tcW w:w="859"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 xml:space="preserve">Nombre de comités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Réunions</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Procédures écrites</w:t>
            </w:r>
          </w:p>
        </w:tc>
      </w:tr>
      <w:tr>
        <w:trPr>
          <w:trHeight w:val="510"/>
        </w:trPr>
        <w:tc>
          <w:tcPr>
            <w:tcW w:w="859"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2018</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2019</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2018</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2019</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AGRI</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95</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90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18</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BUDG</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CLIMA</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CNECT</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15</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15</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DEFIS</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DEVCO</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18</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DIGIT</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EAC</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ECFIN</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ECHO</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EMPL</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ENER</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11</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ENV</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30</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12</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ESTAT</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FISMA</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18</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FPI</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GROW</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64</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HOME</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39</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16</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JUST</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10</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MARE</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MOVE</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53</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31</w:t>
            </w:r>
          </w:p>
        </w:tc>
      </w:tr>
      <w:tr>
        <w:trPr>
          <w:trHeight w:val="240"/>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NEAR</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8</w:t>
            </w:r>
          </w:p>
        </w:tc>
      </w:tr>
      <w:tr>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szCs w:val="18"/>
              </w:rPr>
              <w:t>OLAF</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0</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REGIO</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RTD</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53</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218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228</w:t>
            </w:r>
          </w:p>
        </w:tc>
      </w:tr>
      <w:tr>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SANTE</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100</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107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430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476</w:t>
            </w:r>
          </w:p>
        </w:tc>
      </w:tr>
      <w:tr>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SG</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TAXUD</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36</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18</w:t>
            </w:r>
          </w:p>
        </w:tc>
      </w:tr>
      <w:tr>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TRADE</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29</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32</w:t>
            </w:r>
          </w:p>
        </w:tc>
      </w:tr>
      <w:tr>
        <w:trPr>
          <w:trHeight w:val="255"/>
        </w:trPr>
        <w:tc>
          <w:tcPr>
            <w:tcW w:w="85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szCs w:val="18"/>
              </w:rPr>
              <w:t>TOTAL:</w:t>
            </w:r>
          </w:p>
        </w:tc>
        <w:tc>
          <w:tcPr>
            <w:tcW w:w="82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318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620</w:t>
            </w:r>
          </w:p>
        </w:tc>
        <w:tc>
          <w:tcPr>
            <w:tcW w:w="82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590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880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944</w:t>
            </w:r>
          </w:p>
        </w:tc>
      </w:tr>
    </w:tbl>
    <w:p>
      <w:pPr>
        <w:spacing w:line="240" w:lineRule="auto"/>
        <w:jc w:val="both"/>
        <w:rPr>
          <w:rFonts w:ascii="Times New Roman" w:hAnsi="Times New Roman"/>
          <w:i/>
          <w:noProof/>
          <w:sz w:val="18"/>
          <w:szCs w:val="18"/>
        </w:rPr>
      </w:pPr>
      <w:r>
        <w:rPr>
          <w:rFonts w:ascii="Times New Roman" w:hAnsi="Times New Roman"/>
          <w:i/>
          <w:noProof/>
          <w:sz w:val="18"/>
          <w:szCs w:val="18"/>
        </w:rPr>
        <w:t>* Réunions/procédures écrites du comité d’appel</w:t>
      </w:r>
    </w:p>
    <w:p>
      <w:pPr>
        <w:jc w:val="both"/>
        <w:rPr>
          <w:rFonts w:ascii="Times New Roman" w:hAnsi="Times New Roman"/>
          <w:noProof/>
          <w:sz w:val="24"/>
          <w:szCs w:val="24"/>
        </w:rPr>
      </w:pPr>
      <w:r>
        <w:rPr>
          <w:rFonts w:ascii="Times New Roman" w:hAnsi="Times New Roman"/>
          <w:noProof/>
          <w:sz w:val="24"/>
          <w:szCs w:val="24"/>
        </w:rPr>
        <w:t xml:space="preserve">On a dénombré 590 réunions en 2019, soit un faible recul par rapport à 2018, et 944 procédures écrites, soit une légère progression par rapport à 2018. </w:t>
      </w:r>
    </w:p>
    <w:p>
      <w:pPr>
        <w:pStyle w:val="ManualHeading2"/>
        <w:rPr>
          <w:noProof/>
        </w:rPr>
      </w:pPr>
      <w:r>
        <w:t>2.2.</w:t>
      </w:r>
      <w:r>
        <w:tab/>
      </w:r>
      <w:r>
        <w:rPr>
          <w:noProof/>
        </w:rPr>
        <w:t>Nombre d'avis et de mesures/d’actes d’exécution</w:t>
      </w:r>
    </w:p>
    <w:p>
      <w:pPr>
        <w:jc w:val="both"/>
        <w:rPr>
          <w:rFonts w:ascii="Times New Roman" w:hAnsi="Times New Roman"/>
          <w:noProof/>
          <w:sz w:val="24"/>
          <w:szCs w:val="24"/>
        </w:rPr>
      </w:pPr>
      <w:r>
        <w:rPr>
          <w:rFonts w:ascii="Times New Roman" w:hAnsi="Times New Roman"/>
          <w:noProof/>
          <w:sz w:val="24"/>
          <w:szCs w:val="24"/>
        </w:rPr>
        <w:t xml:space="preserve">Comme chaque fois, le présent rapport fournit des chiffres globaux pour les </w:t>
      </w:r>
      <w:r>
        <w:rPr>
          <w:rFonts w:ascii="Times New Roman" w:hAnsi="Times New Roman"/>
          <w:i/>
          <w:noProof/>
          <w:sz w:val="24"/>
          <w:szCs w:val="24"/>
        </w:rPr>
        <w:t>avis</w:t>
      </w:r>
      <w:r>
        <w:rPr>
          <w:rFonts w:ascii="Times New Roman" w:hAnsi="Times New Roman"/>
          <w:noProof/>
          <w:sz w:val="24"/>
          <w:szCs w:val="24"/>
        </w:rPr>
        <w:t xml:space="preserve"> formels émis par les comités et les </w:t>
      </w:r>
      <w:r>
        <w:rPr>
          <w:rFonts w:ascii="Times New Roman" w:hAnsi="Times New Roman"/>
          <w:i/>
          <w:noProof/>
          <w:sz w:val="24"/>
          <w:szCs w:val="24"/>
        </w:rPr>
        <w:t>mesures/actes d’exécution</w:t>
      </w:r>
      <w:r>
        <w:rPr>
          <w:rFonts w:ascii="Times New Roman" w:hAnsi="Times New Roman"/>
          <w:noProof/>
          <w:sz w:val="24"/>
          <w:szCs w:val="24"/>
        </w:rPr>
        <w:t xml:space="preserve"> correspondants adoptés par la Commission</w:t>
      </w:r>
      <w:r>
        <w:rPr>
          <w:rFonts w:ascii="Times New Roman" w:hAnsi="Times New Roman"/>
          <w:noProof/>
          <w:sz w:val="24"/>
          <w:szCs w:val="24"/>
          <w:vertAlign w:val="superscript"/>
        </w:rPr>
        <w:footnoteReference w:id="13"/>
      </w:r>
      <w:r>
        <w:rPr>
          <w:rFonts w:ascii="Times New Roman" w:hAnsi="Times New Roman"/>
          <w:noProof/>
          <w:sz w:val="24"/>
          <w:szCs w:val="24"/>
        </w:rPr>
        <w:t xml:space="preserve">. Ces chiffres quantifient le travail tangible fourni par les comités (voir tableau IV). </w:t>
      </w:r>
    </w:p>
    <w:p>
      <w:pPr>
        <w:jc w:val="both"/>
        <w:rPr>
          <w:rFonts w:ascii="Times New Roman" w:hAnsi="Times New Roman"/>
          <w:noProof/>
          <w:sz w:val="24"/>
          <w:szCs w:val="24"/>
        </w:rPr>
      </w:pPr>
      <w:r>
        <w:rPr>
          <w:rFonts w:ascii="Times New Roman" w:hAnsi="Times New Roman"/>
          <w:noProof/>
          <w:sz w:val="24"/>
          <w:szCs w:val="24"/>
        </w:rPr>
        <w:t>L’article 11 du règlement de comitologie confère au Parlement européen et au Conseil un droit de regard. En  2019, le Parlement européen a adopté 25 résolutions sur la base de l’article 11 du règlement de comitologie, tandis que le Conseil n’en a adopté aucune.</w:t>
      </w:r>
    </w:p>
    <w:p>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t>TABLEAU IV – </w:t>
      </w:r>
      <w:r>
        <w:rPr>
          <w:rFonts w:ascii="Times New Roman" w:hAnsi="Times New Roman"/>
          <w:b/>
          <w:smallCaps/>
          <w:noProof/>
          <w:sz w:val="24"/>
          <w:szCs w:val="24"/>
          <w:u w:val="single"/>
        </w:rPr>
        <w:t>Nombre d’avis et de mesures/d’actes d’exécution adoptés</w:t>
      </w:r>
    </w:p>
    <w:tbl>
      <w:tblPr>
        <w:tblW w:w="5136" w:type="pct"/>
        <w:tblInd w:w="-252" w:type="dxa"/>
        <w:tblLook w:val="0000" w:firstRow="0" w:lastRow="0" w:firstColumn="0" w:lastColumn="0" w:noHBand="0" w:noVBand="0"/>
      </w:tblPr>
      <w:tblGrid>
        <w:gridCol w:w="1201"/>
        <w:gridCol w:w="1389"/>
        <w:gridCol w:w="1391"/>
        <w:gridCol w:w="1391"/>
        <w:gridCol w:w="1393"/>
        <w:gridCol w:w="1389"/>
        <w:gridCol w:w="1385"/>
      </w:tblGrid>
      <w:tr>
        <w:trPr>
          <w:trHeight w:val="510"/>
        </w:trPr>
        <w:tc>
          <w:tcPr>
            <w:tcW w:w="629"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 xml:space="preserve"> </w:t>
            </w:r>
          </w:p>
        </w:tc>
        <w:tc>
          <w:tcPr>
            <w:tcW w:w="14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Avis</w:t>
            </w:r>
            <w:r>
              <w:rPr>
                <w:rStyle w:val="FootnoteReference"/>
                <w:rFonts w:ascii="Times New Roman" w:hAnsi="Times New Roman"/>
                <w:b/>
                <w:noProof/>
                <w:color w:val="000000"/>
                <w:sz w:val="18"/>
                <w:szCs w:val="18"/>
                <w:lang w:eastAsia="en-GB"/>
              </w:rPr>
              <w:footnoteReference w:id="14"/>
            </w:r>
          </w:p>
        </w:tc>
        <w:tc>
          <w:tcPr>
            <w:tcW w:w="145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Actes d’exécution</w:t>
            </w:r>
            <w:r>
              <w:rPr>
                <w:noProof/>
              </w:rPr>
              <w:t xml:space="preserve"> </w:t>
            </w:r>
            <w:r>
              <w:rPr>
                <w:noProof/>
              </w:rPr>
              <w:br/>
            </w:r>
            <w:r>
              <w:rPr>
                <w:rFonts w:ascii="Times New Roman" w:hAnsi="Times New Roman"/>
                <w:b/>
                <w:noProof/>
                <w:color w:val="000000"/>
                <w:sz w:val="18"/>
                <w:szCs w:val="18"/>
              </w:rPr>
              <w:t>adoptés</w:t>
            </w:r>
          </w:p>
        </w:tc>
        <w:tc>
          <w:tcPr>
            <w:tcW w:w="145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 xml:space="preserve"> Procédure de réglementation avec contrôle – mesures</w:t>
            </w:r>
            <w:r>
              <w:rPr>
                <w:noProof/>
              </w:rPr>
              <w:t xml:space="preserve"> </w:t>
            </w:r>
            <w:r>
              <w:rPr>
                <w:noProof/>
              </w:rPr>
              <w:br/>
            </w:r>
            <w:r>
              <w:rPr>
                <w:rFonts w:ascii="Times New Roman" w:hAnsi="Times New Roman"/>
                <w:b/>
                <w:noProof/>
                <w:color w:val="000000"/>
                <w:sz w:val="18"/>
                <w:szCs w:val="18"/>
              </w:rPr>
              <w:t>adoptées</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2018</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2019</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2018</w:t>
            </w:r>
          </w:p>
        </w:tc>
        <w:tc>
          <w:tcPr>
            <w:tcW w:w="73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2019</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highlight w:val="cyan"/>
              </w:rPr>
            </w:pPr>
            <w:r>
              <w:rPr>
                <w:rFonts w:ascii="Times New Roman" w:hAnsi="Times New Roman"/>
                <w:b/>
                <w:noProof/>
                <w:color w:val="000000"/>
                <w:sz w:val="18"/>
                <w:szCs w:val="18"/>
              </w:rPr>
              <w:t>2018</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2019</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AGRI</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111</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111</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5</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BUDG</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CLIMA</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1</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CNECT</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19</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21</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23</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DEFIS</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DEVCO</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67</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61</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59</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DIGIT</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EAC</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8</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ECFIN</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ECHO</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10</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8</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EMPL</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ENER</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12</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ENV</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31</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26</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21</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11</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ESTAT</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10</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8</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3</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FISMA</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18</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28</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17</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6</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FPI</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GROW</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77</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69</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53</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38</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15</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19</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HOME</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66</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61</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21</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JUST</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10</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8</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MARE</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17</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10</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15</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MOVE</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61</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62</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57</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62</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11</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40"/>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NEAR</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86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58</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86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58</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szCs w:val="18"/>
              </w:rPr>
              <w:t>OLAF</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0</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0</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0</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Cs/>
                <w:noProof/>
                <w:sz w:val="18"/>
                <w:szCs w:val="18"/>
                <w:highlight w:val="cyan"/>
              </w:rPr>
            </w:pPr>
            <w:r>
              <w:rPr>
                <w:rFonts w:ascii="Times New Roman" w:hAnsi="Times New Roman"/>
                <w:bCs/>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0</w:t>
            </w:r>
          </w:p>
        </w:tc>
      </w:tr>
      <w:tr>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REGIO</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RTD</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225</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228</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159</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158</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SANTE</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629</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762</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603</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733</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38</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41</w:t>
            </w:r>
          </w:p>
        </w:tc>
      </w:tr>
      <w:tr>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SG</w:t>
            </w:r>
            <w:r>
              <w:rPr>
                <w:rFonts w:ascii="Times New Roman" w:hAnsi="Times New Roman"/>
                <w:noProof/>
                <w:color w:val="000000"/>
                <w:sz w:val="18"/>
                <w:szCs w:val="18"/>
              </w:rPr>
              <w:t>*</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12</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20</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11</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18</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TAXUD</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56</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61</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57</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58</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TRADE</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59</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68</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52</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68</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sz w:val="18"/>
                <w:szCs w:val="18"/>
                <w:highlight w:val="cyan"/>
              </w:rPr>
            </w:pPr>
            <w:r>
              <w:rPr>
                <w:rFonts w:ascii="Times New Roman" w:hAnsi="Times New Roman"/>
                <w:noProof/>
                <w:sz w:val="18"/>
                <w:szCs w:val="18"/>
              </w:rPr>
              <w:t>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r>
      <w:tr>
        <w:trPr>
          <w:trHeight w:val="255"/>
        </w:trPr>
        <w:tc>
          <w:tcPr>
            <w:tcW w:w="62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szCs w:val="18"/>
              </w:rPr>
              <w:t>TOTAL:</w:t>
            </w:r>
          </w:p>
        </w:tc>
        <w:tc>
          <w:tcPr>
            <w:tcW w:w="72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1 633</w:t>
            </w:r>
          </w:p>
        </w:tc>
        <w:tc>
          <w:tcPr>
            <w:tcW w:w="72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1 729</w:t>
            </w:r>
          </w:p>
        </w:tc>
        <w:tc>
          <w:tcPr>
            <w:tcW w:w="72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1 456</w:t>
            </w:r>
          </w:p>
        </w:tc>
        <w:tc>
          <w:tcPr>
            <w:tcW w:w="73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1 501</w:t>
            </w:r>
          </w:p>
        </w:tc>
        <w:tc>
          <w:tcPr>
            <w:tcW w:w="728" w:type="pct"/>
            <w:tcBorders>
              <w:top w:val="nil"/>
              <w:left w:val="single" w:sz="4" w:space="0" w:color="auto"/>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bCs/>
                <w:noProof/>
                <w:sz w:val="18"/>
                <w:szCs w:val="18"/>
                <w:highlight w:val="cyan"/>
              </w:rPr>
            </w:pPr>
            <w:r>
              <w:rPr>
                <w:rFonts w:ascii="Times New Roman" w:hAnsi="Times New Roman"/>
                <w:b/>
                <w:bCs/>
                <w:noProof/>
                <w:sz w:val="18"/>
                <w:szCs w:val="18"/>
              </w:rPr>
              <w:t>90</w:t>
            </w:r>
          </w:p>
        </w:tc>
        <w:tc>
          <w:tcPr>
            <w:tcW w:w="72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sz w:val="18"/>
                <w:szCs w:val="18"/>
              </w:rPr>
            </w:pPr>
            <w:r>
              <w:rPr>
                <w:rFonts w:ascii="Times New Roman" w:hAnsi="Times New Roman"/>
                <w:b/>
                <w:bCs/>
                <w:noProof/>
                <w:sz w:val="18"/>
                <w:szCs w:val="18"/>
              </w:rPr>
              <w:t>88</w:t>
            </w:r>
          </w:p>
        </w:tc>
      </w:tr>
    </w:tbl>
    <w:p>
      <w:pPr>
        <w:spacing w:line="240" w:lineRule="auto"/>
        <w:ind w:left="240" w:hanging="240"/>
        <w:jc w:val="both"/>
        <w:rPr>
          <w:rFonts w:ascii="Times New Roman" w:hAnsi="Times New Roman"/>
          <w:i/>
          <w:noProof/>
          <w:sz w:val="18"/>
          <w:szCs w:val="18"/>
        </w:rPr>
      </w:pPr>
      <w:r>
        <w:rPr>
          <w:rFonts w:ascii="Times New Roman" w:hAnsi="Times New Roman"/>
          <w:i/>
          <w:noProof/>
          <w:sz w:val="18"/>
          <w:szCs w:val="18"/>
        </w:rPr>
        <w:t>*   Y compris les avis émis par le comité d’appel et les actes adoptés.</w:t>
      </w:r>
      <w:r>
        <w:rPr>
          <w:noProof/>
        </w:rPr>
        <w:tab/>
        <w:t xml:space="preserve"> </w:t>
      </w:r>
      <w:r>
        <w:rPr>
          <w:noProof/>
        </w:rPr>
        <w:br/>
      </w:r>
    </w:p>
    <w:p>
      <w:pPr>
        <w:jc w:val="both"/>
        <w:rPr>
          <w:rFonts w:ascii="Times New Roman" w:hAnsi="Times New Roman"/>
          <w:noProof/>
          <w:sz w:val="24"/>
          <w:szCs w:val="24"/>
        </w:rPr>
      </w:pPr>
      <w:r>
        <w:rPr>
          <w:rFonts w:ascii="Times New Roman" w:hAnsi="Times New Roman"/>
          <w:noProof/>
          <w:sz w:val="24"/>
          <w:szCs w:val="24"/>
        </w:rPr>
        <w:t>Les comités ont rendu 1 729 avis en 2019, soit une légère hausse par rapport à l'année précédente. Le nombre d'actes d’exécution adoptés à la suite d’une procédure de comité s’élevait à 1 501, en légère progression par rapport à 2018. Le nombre de mesures adoptées dans le cadre de la procédure de réglementation avec contrôle est resté stable.</w:t>
      </w:r>
    </w:p>
    <w:p>
      <w:pPr>
        <w:pStyle w:val="ManualHeading2"/>
        <w:rPr>
          <w:noProof/>
        </w:rPr>
      </w:pPr>
      <w:r>
        <w:t>2.3.</w:t>
      </w:r>
      <w:r>
        <w:tab/>
      </w:r>
      <w:r>
        <w:rPr>
          <w:noProof/>
        </w:rPr>
        <w:t>Réunions du comité d’appel</w:t>
      </w:r>
    </w:p>
    <w:p>
      <w:pPr>
        <w:jc w:val="both"/>
        <w:rPr>
          <w:rFonts w:ascii="Times New Roman" w:hAnsi="Times New Roman"/>
          <w:noProof/>
          <w:sz w:val="24"/>
          <w:szCs w:val="24"/>
        </w:rPr>
      </w:pPr>
      <w:r>
        <w:rPr>
          <w:rFonts w:ascii="Times New Roman" w:hAnsi="Times New Roman"/>
          <w:noProof/>
          <w:sz w:val="24"/>
          <w:szCs w:val="24"/>
        </w:rPr>
        <w:t>Le comité d’appel s’est réuni 6 fois au cours de l’année 2019 et a examiné 12 projets d’actes d’exécution (dans les domaines de la santé et de la politique des consommateurs) qui lui ont été soumis par la Commission. Dans les 12 cas, il n’a émis aucun avis. La Commission a décidé d’adopter 11 actes d’exécution établis en l’absence d'avis en 2019.</w:t>
      </w:r>
    </w:p>
    <w:p>
      <w:pPr>
        <w:pStyle w:val="ManualHeading2"/>
        <w:rPr>
          <w:noProof/>
        </w:rPr>
      </w:pPr>
      <w:r>
        <w:t>2.4.</w:t>
      </w:r>
      <w:r>
        <w:tab/>
      </w:r>
      <w:r>
        <w:rPr>
          <w:noProof/>
        </w:rPr>
        <w:t xml:space="preserve">Recours à la procédure de réglementation avec contrôle </w:t>
      </w:r>
    </w:p>
    <w:p>
      <w:pPr>
        <w:jc w:val="both"/>
        <w:rPr>
          <w:rFonts w:ascii="Times New Roman" w:hAnsi="Times New Roman"/>
          <w:noProof/>
          <w:sz w:val="24"/>
          <w:szCs w:val="24"/>
        </w:rPr>
      </w:pPr>
      <w:r>
        <w:rPr>
          <w:rFonts w:ascii="Times New Roman" w:hAnsi="Times New Roman"/>
          <w:noProof/>
          <w:sz w:val="24"/>
          <w:szCs w:val="24"/>
        </w:rPr>
        <w:t>Comme indiqué à la section 1, la procédure de réglementation avec contrôle n’a pas été concernée par la réforme de la comitologie en 2011. Cette procédure ne peut plus être utilisée dans la nouvelle législation, mais elle apparaît encore dans de nombreux actes de base existants et continuera de s’appliquer en vertu de ces actes jusqu’à ce que ceux-ci soient adaptés. En 2019, 88 mesures ont été adoptées selon la procédure de réglementation avec contrôle (voir tableau V), un nombre équivalent à celui de 2018. Le Parlement européen a utilisé son droit de veto une fois en 2019.</w:t>
      </w:r>
    </w:p>
    <w:p>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t>TABLEAU V – </w:t>
      </w:r>
      <w:r>
        <w:rPr>
          <w:rFonts w:ascii="Times New Roman" w:hAnsi="Times New Roman"/>
          <w:b/>
          <w:smallCaps/>
          <w:noProof/>
          <w:sz w:val="24"/>
          <w:szCs w:val="24"/>
          <w:u w:val="single"/>
        </w:rPr>
        <w:t xml:space="preserve">Nombre de mesures adoptées selon la procédure de réglementation avec contrôle </w:t>
      </w:r>
    </w:p>
    <w:tbl>
      <w:tblPr>
        <w:tblW w:w="5000" w:type="pct"/>
        <w:tblLook w:val="0000" w:firstRow="0" w:lastRow="0" w:firstColumn="0" w:lastColumn="0" w:noHBand="0" w:noVBand="0"/>
      </w:tblPr>
      <w:tblGrid>
        <w:gridCol w:w="1714"/>
        <w:gridCol w:w="2524"/>
        <w:gridCol w:w="2526"/>
        <w:gridCol w:w="2522"/>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 xml:space="preserve">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Procédure de réglementation avec contrôle – mesures</w:t>
            </w:r>
            <w:r>
              <w:rPr>
                <w:noProof/>
              </w:rPr>
              <w:t xml:space="preserve"> </w:t>
            </w:r>
            <w:r>
              <w:rPr>
                <w:noProof/>
              </w:rPr>
              <w:br/>
            </w:r>
            <w:r>
              <w:rPr>
                <w:rFonts w:ascii="Times New Roman" w:hAnsi="Times New Roman"/>
                <w:b/>
                <w:noProof/>
                <w:color w:val="000000"/>
                <w:sz w:val="18"/>
                <w:szCs w:val="18"/>
              </w:rPr>
              <w:t>adoptées</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 xml:space="preserve">Opposition du Parlement européen à l’adoption de projets de mesures </w:t>
            </w:r>
          </w:p>
        </w:tc>
        <w:tc>
          <w:tcPr>
            <w:tcW w:w="1358"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szCs w:val="18"/>
              </w:rPr>
              <w:t xml:space="preserve">Opposition du Conseil à l’adoption de projets de mesures </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AGRI</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BUDG</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CLIMA</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CNECT</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DEFIS</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DEVCO</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DIGIT</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EAC</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ECFIN</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ECHO</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EMPL</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ENER</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ENV</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ESTAT</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FISMA</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FPI</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GROW</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HOME</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JUST</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MARE</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MOVE</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NEAR</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szCs w:val="18"/>
              </w:rPr>
              <w:t>OLAF</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bCs/>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bCs/>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bCs/>
                <w:noProof/>
                <w:color w:val="000000"/>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REGIO</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RTD</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SANTE</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41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1</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SG</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TAXUD</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szCs w:val="18"/>
              </w:rPr>
              <w:t>TRADE</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ind w:left="720"/>
              <w:rPr>
                <w:rFonts w:ascii="Times New Roman" w:hAnsi="Times New Roman"/>
                <w:b/>
                <w:bCs/>
                <w:noProof/>
                <w:color w:val="000000"/>
                <w:sz w:val="18"/>
                <w:szCs w:val="18"/>
              </w:rPr>
            </w:pPr>
            <w:r>
              <w:rPr>
                <w:rFonts w:ascii="Times New Roman" w:hAnsi="Times New Roman"/>
                <w:b/>
                <w:noProof/>
                <w:color w:val="000000"/>
                <w:sz w:val="18"/>
                <w:szCs w:val="18"/>
              </w:rPr>
              <w:t>TOTAL:</w:t>
            </w:r>
          </w:p>
        </w:tc>
        <w:tc>
          <w:tcPr>
            <w:tcW w:w="135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88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bCs/>
                <w:noProof/>
                <w:color w:val="000000"/>
                <w:sz w:val="18"/>
                <w:szCs w:val="18"/>
              </w:rPr>
              <w:t>1</w:t>
            </w:r>
          </w:p>
        </w:tc>
        <w:tc>
          <w:tcPr>
            <w:tcW w:w="1358"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bCs/>
                <w:noProof/>
                <w:color w:val="000000"/>
                <w:sz w:val="18"/>
                <w:szCs w:val="18"/>
              </w:rPr>
              <w:t>0</w:t>
            </w:r>
          </w:p>
        </w:tc>
      </w:tr>
    </w:tbl>
    <w:p>
      <w:pPr>
        <w:pStyle w:val="ManualHeading1"/>
        <w:rPr>
          <w:noProof/>
        </w:rPr>
      </w:pPr>
      <w:r>
        <w:t>3.</w:t>
      </w:r>
      <w:r>
        <w:tab/>
      </w:r>
      <w:r>
        <w:rPr>
          <w:noProof/>
        </w:rPr>
        <w:t>Informations détaillées sur les activités des comités</w:t>
      </w:r>
    </w:p>
    <w:p>
      <w:pPr>
        <w:jc w:val="both"/>
        <w:rPr>
          <w:rFonts w:ascii="Times New Roman" w:hAnsi="Times New Roman"/>
          <w:noProof/>
          <w:sz w:val="24"/>
          <w:szCs w:val="24"/>
        </w:rPr>
      </w:pPr>
      <w:r>
        <w:rPr>
          <w:rFonts w:ascii="Times New Roman" w:hAnsi="Times New Roman"/>
          <w:noProof/>
          <w:sz w:val="24"/>
          <w:szCs w:val="24"/>
        </w:rPr>
        <w:t>Le document de travail qui accompagne le présent rapport fournit des informations détaillées sur les activités de chaque comité en 2019, ventilées en fonction des différentes directions générales de la Commission concernées.</w:t>
      </w:r>
      <w:bookmarkStart w:id="3" w:name="_CopyToNewDocument_"/>
      <w:bookmarkEnd w:id="3"/>
    </w:p>
    <w:p>
      <w:pPr>
        <w:pStyle w:val="ManualHeading1"/>
        <w:rPr>
          <w:noProof/>
        </w:rPr>
      </w:pPr>
      <w:r>
        <w:t>4.</w:t>
      </w:r>
      <w:r>
        <w:tab/>
      </w:r>
      <w:r>
        <w:rPr>
          <w:noProof/>
        </w:rPr>
        <w:t>Conclusion</w:t>
      </w:r>
    </w:p>
    <w:p>
      <w:pPr>
        <w:jc w:val="both"/>
        <w:rPr>
          <w:rFonts w:ascii="Times New Roman" w:hAnsi="Times New Roman"/>
          <w:noProof/>
          <w:sz w:val="24"/>
          <w:szCs w:val="24"/>
        </w:rPr>
      </w:pPr>
      <w:r>
        <w:rPr>
          <w:rFonts w:ascii="Times New Roman" w:hAnsi="Times New Roman"/>
          <w:noProof/>
          <w:sz w:val="24"/>
          <w:szCs w:val="24"/>
        </w:rPr>
        <w:t xml:space="preserve">En 2019, l'activité des comités s’est maintenue à un niveau comparable à celui des années précédentes: 318 comités étaient en activité; ils ont organisé 590 réunions, engagé 944 procédures écrites et rendu 1 729 avis. </w:t>
      </w:r>
    </w:p>
    <w:p>
      <w:pPr>
        <w:rPr>
          <w:noProof/>
        </w:rPr>
      </w:pPr>
      <w:r>
        <w:rPr>
          <w:rFonts w:ascii="Times New Roman" w:hAnsi="Times New Roman"/>
          <w:noProof/>
          <w:sz w:val="24"/>
          <w:szCs w:val="24"/>
        </w:rPr>
        <w:t>Le Parlement européen et le Conseil sont invités à prendre note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270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Style w:val="Strong"/>
          <w:b w:val="0"/>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
    <w:p>
      <w:pPr>
        <w:pStyle w:val="FootnoteText"/>
      </w:pPr>
      <w:r>
        <w:rPr>
          <w:rStyle w:val="FootnoteReference"/>
        </w:rPr>
        <w:footnoteRef/>
      </w:r>
      <w:r>
        <w:tab/>
        <w:t>Décision du Conseil 1999/468/CE du 28 juin 1999 fixant les modalités de l'exercice des compétences d'exécution conférées à la Commission (JO L 184 du 17.7.1999, p. 23), modifiée par la décision 2006/512/CE (JO L 200 du 22.7.2006, p. 11). Version consolidée publiée dans le JO C 255 du 21.10.2006, p. 4.</w:t>
      </w:r>
    </w:p>
  </w:footnote>
  <w:footnote w:id="3">
    <w:p>
      <w:pPr>
        <w:pStyle w:val="FootnoteText"/>
      </w:pPr>
      <w:r>
        <w:rPr>
          <w:rStyle w:val="FootnoteReference"/>
        </w:rPr>
        <w:footnoteRef/>
      </w:r>
      <w:r>
        <w:t xml:space="preserve"> </w:t>
      </w:r>
      <w:r>
        <w:tab/>
        <w:t xml:space="preserve">Accord interinstitutionnel entre le Parlement européen, le Conseil de l’Union européenne et la Commission européenne «Mieux légiférer» du 13 avril 2016 (JO L 123 du 12.5.2016, p. 1). </w:t>
      </w:r>
    </w:p>
  </w:footnote>
  <w:footnote w:id="4">
    <w:p>
      <w:pPr>
        <w:pStyle w:val="FootnoteText"/>
      </w:pPr>
      <w:r>
        <w:rPr>
          <w:rStyle w:val="FootnoteReference"/>
        </w:rPr>
        <w:footnoteRef/>
      </w:r>
      <w:r>
        <w:tab/>
        <w:t>Règlement (UE) 2019/1243 du Parlement européen et du Conseil du 20 juin 2019 adaptant aux articles 290 et 291 du traité sur le fonctionnement de l’Union européenne une série d’actes juridiques prévoyant le recours à la procédure de réglementation avec contrôle (JO L 198 du 25.7.2019, p. 241).</w:t>
      </w:r>
    </w:p>
  </w:footnote>
  <w:footnote w:id="5">
    <w:p>
      <w:pPr>
        <w:pStyle w:val="FootnoteText"/>
      </w:pPr>
      <w:r>
        <w:rPr>
          <w:rStyle w:val="FootnoteReference"/>
        </w:rPr>
        <w:footnoteRef/>
      </w:r>
      <w:r>
        <w:t xml:space="preserve"> </w:t>
      </w:r>
      <w:r>
        <w:tab/>
        <w:t xml:space="preserve">Proposition de règlement du Parlement européen et du Conseil adaptant aux articles 290 et 291 du traité sur le fonctionnement de l’Union européenne une série d’actes juridiques prévoyant le recours à la procédure de réglementation avec contrôle [COM(2016) 799]. </w:t>
      </w:r>
    </w:p>
  </w:footnote>
  <w:footnote w:id="6">
    <w:p>
      <w:pPr>
        <w:pStyle w:val="FootnoteText"/>
      </w:pPr>
      <w:r>
        <w:rPr>
          <w:rStyle w:val="FootnoteReference"/>
        </w:rPr>
        <w:footnoteRef/>
      </w:r>
      <w:r>
        <w:tab/>
        <w:t>Proposition de règlement du Parlement européen et du Conseil adaptant à l’article 290 du traité sur le fonctionnement de l’Union européenne une série d’actes juridiques dans le domaine de la justice prévoyant le recours à la procédure de réglementation avec contrôle [COM(2016) 798].</w:t>
      </w:r>
    </w:p>
  </w:footnote>
  <w:footnote w:id="7">
    <w:p>
      <w:pPr>
        <w:pStyle w:val="FootnoteText"/>
      </w:pPr>
      <w:r>
        <w:rPr>
          <w:rStyle w:val="FootnoteReference"/>
        </w:rPr>
        <w:footnoteRef/>
      </w:r>
      <w:r>
        <w:t xml:space="preserve"> </w:t>
      </w:r>
      <w:r>
        <w:tab/>
        <w:t>Accord interinstitutionnel - Critères non contraignants pour l’application des articles 290 et 291 du traité sur le fonctionnement de l’Union européenne (JO C 223 du 3.7.2019, p. 1).</w:t>
      </w:r>
    </w:p>
  </w:footnote>
  <w:footnote w:id="8">
    <w:p>
      <w:pPr>
        <w:pStyle w:val="FootnoteText"/>
      </w:pPr>
      <w:r>
        <w:rPr>
          <w:rStyle w:val="FootnoteReference"/>
        </w:rPr>
        <w:footnoteRef/>
      </w:r>
      <w:r>
        <w:t xml:space="preserve"> </w:t>
      </w:r>
      <w:r>
        <w:tab/>
        <w:t>Proposition de règlement du Parlement européen et du Conseil portant modification du règlement (UE) nº 182/2011 établissant les règles et principes généraux relatifs aux modalités de contrôle par les États membres de l’exercice des compétences d’exécution par la Commission [COM(2017) 085 final].</w:t>
      </w:r>
    </w:p>
  </w:footnote>
  <w:footnote w:id="9">
    <w:p>
      <w:pPr>
        <w:pStyle w:val="FootnoteText"/>
      </w:pPr>
      <w:r>
        <w:rPr>
          <w:rStyle w:val="FootnoteReference"/>
        </w:rPr>
        <w:footnoteRef/>
      </w:r>
      <w:r>
        <w:t xml:space="preserve"> </w:t>
      </w:r>
      <w:r>
        <w:tab/>
      </w:r>
      <w:hyperlink r:id="rId1" w:history="1">
        <w:r>
          <w:rPr>
            <w:rStyle w:val="Hyperlink"/>
          </w:rPr>
          <w:t>https://ec.europa.eu/info/law/better-regulation/have-your-say_fr</w:t>
        </w:r>
      </w:hyperlink>
      <w:r>
        <w:t xml:space="preserve"> </w:t>
      </w:r>
    </w:p>
  </w:footnote>
  <w:footnote w:id="10">
    <w:p>
      <w:pPr>
        <w:pStyle w:val="FootnoteText"/>
      </w:pPr>
      <w:r>
        <w:rPr>
          <w:rStyle w:val="FootnoteReference"/>
        </w:rPr>
        <w:footnoteRef/>
      </w:r>
      <w:r>
        <w:tab/>
        <w:t xml:space="preserve">Pour de plus amples informations, voir: </w:t>
      </w:r>
      <w:hyperlink r:id="rId2" w:history="1">
        <w:r>
          <w:rPr>
            <w:rStyle w:val="Hyperlink"/>
          </w:rPr>
          <w:t>http://ec.europa.eu/transparency/regexpert/index.cfm?Lang=FR</w:t>
        </w:r>
      </w:hyperlink>
      <w:r>
        <w:t xml:space="preserve"> </w:t>
      </w:r>
    </w:p>
  </w:footnote>
  <w:footnote w:id="11">
    <w:p>
      <w:pPr>
        <w:pStyle w:val="FootnoteText"/>
      </w:pPr>
      <w:r>
        <w:rPr>
          <w:rStyle w:val="FootnoteReference"/>
        </w:rPr>
        <w:footnoteRef/>
      </w:r>
      <w:r>
        <w:t xml:space="preserve"> </w:t>
      </w:r>
      <w:r>
        <w:tab/>
        <w:t>Dans certains actes de base, le législateur a indiqué les configurations spécifiques du comité.</w:t>
      </w:r>
    </w:p>
  </w:footnote>
  <w:footnote w:id="12">
    <w:p>
      <w:pPr>
        <w:pStyle w:val="FootnoteText"/>
      </w:pPr>
      <w:r>
        <w:rPr>
          <w:rStyle w:val="FootnoteReference"/>
        </w:rPr>
        <w:footnoteRef/>
      </w:r>
      <w:r>
        <w:tab/>
        <w:t>Le vote du comité peut avoir lieu au cours d’une réunion ordinaire de celui-ci ou, dans des cas dûment justifiés, par procédure écrite, conformément à l'article 3, paragraphe 5, du règlement de comitologie.</w:t>
      </w:r>
    </w:p>
  </w:footnote>
  <w:footnote w:id="13">
    <w:p>
      <w:pPr>
        <w:pStyle w:val="FootnoteText"/>
      </w:pPr>
      <w:r>
        <w:rPr>
          <w:rStyle w:val="FootnoteReference"/>
        </w:rPr>
        <w:footnoteRef/>
      </w:r>
      <w:r>
        <w:tab/>
        <w:t>Il y a lieu de préciser que des écarts sont possibles entre le nombre d’avis et le nombre de mesures/d'actes d’exécution pour une année donnée. Le document de travail des services de la Commission qui accompagne le rapport en précise les raisons dans son introduction.</w:t>
      </w:r>
    </w:p>
  </w:footnote>
  <w:footnote w:id="14">
    <w:p>
      <w:pPr>
        <w:pStyle w:val="FootnoteText"/>
      </w:pPr>
      <w:r>
        <w:rPr>
          <w:rStyle w:val="FootnoteReference"/>
        </w:rPr>
        <w:footnoteRef/>
      </w:r>
      <w:r>
        <w:t xml:space="preserve"> </w:t>
      </w:r>
      <w:r>
        <w:tab/>
      </w:r>
      <w:r>
        <w:rPr>
          <w:color w:val="000000"/>
        </w:rPr>
        <w:t>Un vote qui débouche sur une absence d’avis est comptabilisé dans le nombre total d’avis.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8FF2E258"/>
    <w:name w:val="Bullet 0"/>
    <w:lvl w:ilvl="0">
      <w:start w:val="1"/>
      <w:numFmt w:val="decimal"/>
      <w:pStyle w:val="Heading1"/>
      <w:lvlText w:val="%1."/>
      <w:lvlJc w:val="left"/>
      <w:pPr>
        <w:tabs>
          <w:tab w:val="num" w:pos="850"/>
        </w:tabs>
        <w:ind w:left="850" w:hanging="850"/>
      </w:pPr>
      <w:rPr>
        <w:color w:val="auto"/>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3CDD6B-ACA9-41AB-9899-95A11D4A5E36"/>
    <w:docVar w:name="LW_COVERPAGE_TYPE" w:val="1"/>
    <w:docVar w:name="LW_CROSSREFERENCE" w:val="{SWD(2021) 21 final}"/>
    <w:docVar w:name="LW_DocType" w:val="NORMAL"/>
    <w:docVar w:name="LW_EMISSION" w:val="19.2.2021"/>
    <w:docVar w:name="LW_EMISSION_ISODATE" w:val="2021-02-1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s travaux des comités en 2019"/>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bCs/>
      <w:smallCaps/>
      <w:sz w:val="24"/>
      <w:szCs w:val="32"/>
      <w:lang w:eastAsia="en-US"/>
    </w:rPr>
  </w:style>
  <w:style w:type="character" w:customStyle="1" w:styleId="Heading2Char">
    <w:name w:val="Heading 2 Char"/>
    <w:basedOn w:val="DefaultParagraphFont"/>
    <w:link w:val="Heading2"/>
    <w:rPr>
      <w:b/>
      <w:bCs/>
      <w:iCs/>
      <w:sz w:val="24"/>
      <w:szCs w:val="28"/>
      <w:lang w:eastAsia="en-US"/>
    </w:rPr>
  </w:style>
  <w:style w:type="character" w:customStyle="1" w:styleId="Heading3Char">
    <w:name w:val="Heading 3 Char"/>
    <w:basedOn w:val="DefaultParagraphFont"/>
    <w:link w:val="Heading3"/>
    <w:rPr>
      <w:bCs/>
      <w:i/>
      <w:sz w:val="24"/>
      <w:szCs w:val="26"/>
      <w:lang w:eastAsia="en-US"/>
    </w:rPr>
  </w:style>
  <w:style w:type="character" w:customStyle="1" w:styleId="Heading4Char">
    <w:name w:val="Heading 4 Char"/>
    <w:basedOn w:val="DefaultParagraphFont"/>
    <w:link w:val="Heading4"/>
    <w:rPr>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Pr>
      <w:lang w:eastAsia="en-US"/>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Pr>
      <w:rFonts w:eastAsia="Calibri"/>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basedOn w:val="DefaultParagraphFont"/>
    <w:link w:val="Footer"/>
    <w:uiPriority w:val="99"/>
    <w:rPr>
      <w:sz w:val="24"/>
      <w:szCs w:val="24"/>
      <w:lang w:eastAsia="en-US"/>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Pr>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basedOn w:val="CommentTextChar"/>
    <w:link w:val="CommentSubject"/>
    <w:semiHidden/>
    <w:rPr>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Pr>
      <w:rFonts w:ascii="Tahoma" w:hAnsi="Tahoma" w:cs="Tahoma"/>
      <w:sz w:val="16"/>
      <w:szCs w:val="16"/>
      <w:lang w:eastAsia="de-DE"/>
    </w:rPr>
  </w:style>
  <w:style w:type="paragraph" w:styleId="Revision">
    <w:name w:val="Revision"/>
    <w:uiPriority w:val="99"/>
    <w:semiHidden/>
    <w:rPr>
      <w:sz w:val="24"/>
      <w:szCs w:val="24"/>
      <w:lang w:eastAsia="en-US"/>
    </w:rPr>
  </w:style>
  <w:style w:type="paragraph" w:styleId="TOCHeading">
    <w:name w:val="TOC Heading"/>
    <w:basedOn w:val="Normal"/>
    <w:next w:val="Normal"/>
    <w:unhideWhenUsed/>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IntrtEEEPagedecouverture">
    <w:name w:val="Intérêt EEE (Page de couverture)"/>
    <w:basedOn w:val="IntrtEEE"/>
    <w:next w:val="Rfrencecroise"/>
  </w:style>
  <w:style w:type="paragraph" w:customStyle="1" w:styleId="ObjetacteprincipalPagedecouverture">
    <w:name w:val="Objet acte principal (Page de couverture)"/>
    <w:basedOn w:val="Objetacteprincipal"/>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FooterCoverPageChar">
    <w:name w:val="Footer Cover Page Char"/>
    <w:link w:val="FooterCoverPage"/>
    <w:locked/>
    <w:rPr>
      <w:rFonts w:eastAsia="Calibr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HeaderCoverPageChar">
    <w:name w:val="Header Cover Page Char"/>
    <w:link w:val="HeaderCoverPage"/>
    <w:locked/>
    <w:rPr>
      <w:rFonts w:eastAsia="Calibr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bCs/>
      <w:smallCaps/>
      <w:sz w:val="24"/>
      <w:szCs w:val="32"/>
      <w:lang w:eastAsia="en-US"/>
    </w:rPr>
  </w:style>
  <w:style w:type="character" w:customStyle="1" w:styleId="Heading2Char">
    <w:name w:val="Heading 2 Char"/>
    <w:basedOn w:val="DefaultParagraphFont"/>
    <w:link w:val="Heading2"/>
    <w:rPr>
      <w:b/>
      <w:bCs/>
      <w:iCs/>
      <w:sz w:val="24"/>
      <w:szCs w:val="28"/>
      <w:lang w:eastAsia="en-US"/>
    </w:rPr>
  </w:style>
  <w:style w:type="character" w:customStyle="1" w:styleId="Heading3Char">
    <w:name w:val="Heading 3 Char"/>
    <w:basedOn w:val="DefaultParagraphFont"/>
    <w:link w:val="Heading3"/>
    <w:rPr>
      <w:bCs/>
      <w:i/>
      <w:sz w:val="24"/>
      <w:szCs w:val="26"/>
      <w:lang w:eastAsia="en-US"/>
    </w:rPr>
  </w:style>
  <w:style w:type="character" w:customStyle="1" w:styleId="Heading4Char">
    <w:name w:val="Heading 4 Char"/>
    <w:basedOn w:val="DefaultParagraphFont"/>
    <w:link w:val="Heading4"/>
    <w:rPr>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Pr>
      <w:lang w:eastAsia="en-US"/>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Pr>
      <w:rFonts w:eastAsia="Calibri"/>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basedOn w:val="DefaultParagraphFont"/>
    <w:link w:val="Footer"/>
    <w:uiPriority w:val="99"/>
    <w:rPr>
      <w:sz w:val="24"/>
      <w:szCs w:val="24"/>
      <w:lang w:eastAsia="en-US"/>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Pr>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basedOn w:val="CommentTextChar"/>
    <w:link w:val="CommentSubject"/>
    <w:semiHidden/>
    <w:rPr>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Pr>
      <w:rFonts w:ascii="Tahoma" w:hAnsi="Tahoma" w:cs="Tahoma"/>
      <w:sz w:val="16"/>
      <w:szCs w:val="16"/>
      <w:lang w:eastAsia="de-DE"/>
    </w:rPr>
  </w:style>
  <w:style w:type="paragraph" w:styleId="Revision">
    <w:name w:val="Revision"/>
    <w:uiPriority w:val="99"/>
    <w:semiHidden/>
    <w:rPr>
      <w:sz w:val="24"/>
      <w:szCs w:val="24"/>
      <w:lang w:eastAsia="en-US"/>
    </w:rPr>
  </w:style>
  <w:style w:type="paragraph" w:styleId="TOCHeading">
    <w:name w:val="TOC Heading"/>
    <w:basedOn w:val="Normal"/>
    <w:next w:val="Normal"/>
    <w:unhideWhenUsed/>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IntrtEEEPagedecouverture">
    <w:name w:val="Intérêt EEE (Page de couverture)"/>
    <w:basedOn w:val="IntrtEEE"/>
    <w:next w:val="Rfrencecroise"/>
  </w:style>
  <w:style w:type="paragraph" w:customStyle="1" w:styleId="ObjetacteprincipalPagedecouverture">
    <w:name w:val="Objet acte principal (Page de couverture)"/>
    <w:basedOn w:val="Objetacteprincipal"/>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FooterCoverPageChar">
    <w:name w:val="Footer Cover Page Char"/>
    <w:link w:val="FooterCoverPage"/>
    <w:locked/>
    <w:rPr>
      <w:rFonts w:eastAsia="Calibr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HeaderCoverPageChar">
    <w:name w:val="Header Cover Page Char"/>
    <w:link w:val="HeaderCoverPage"/>
    <w:locked/>
    <w:rPr>
      <w:rFonts w:eastAsia="Calibri"/>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4329">
      <w:bodyDiv w:val="1"/>
      <w:marLeft w:val="0"/>
      <w:marRight w:val="0"/>
      <w:marTop w:val="0"/>
      <w:marBottom w:val="0"/>
      <w:divBdr>
        <w:top w:val="none" w:sz="0" w:space="0" w:color="auto"/>
        <w:left w:val="none" w:sz="0" w:space="0" w:color="auto"/>
        <w:bottom w:val="none" w:sz="0" w:space="0" w:color="auto"/>
        <w:right w:val="none" w:sz="0" w:space="0" w:color="auto"/>
      </w:divBdr>
    </w:div>
    <w:div w:id="530075490">
      <w:bodyDiv w:val="1"/>
      <w:marLeft w:val="0"/>
      <w:marRight w:val="0"/>
      <w:marTop w:val="0"/>
      <w:marBottom w:val="0"/>
      <w:divBdr>
        <w:top w:val="none" w:sz="0" w:space="0" w:color="auto"/>
        <w:left w:val="none" w:sz="0" w:space="0" w:color="auto"/>
        <w:bottom w:val="none" w:sz="0" w:space="0" w:color="auto"/>
        <w:right w:val="none" w:sz="0" w:space="0" w:color="auto"/>
      </w:divBdr>
    </w:div>
    <w:div w:id="7532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arency/regexpert/index.cfm?Lang=FR" TargetMode="External"/><Relationship Id="rId1" Type="http://schemas.openxmlformats.org/officeDocument/2006/relationships/hyperlink" Target="https://ec.europa.eu/info/law/better-regulation/have-your-say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A5A580-748C-4D11-BE04-93C0DBF9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2435</Words>
  <Characters>10669</Characters>
  <Application>Microsoft Office Word</Application>
  <DocSecurity>0</DocSecurity>
  <Lines>1066</Lines>
  <Paragraphs>1007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2020-07-08T12:19:00Z</cp:lastPrinted>
  <dcterms:created xsi:type="dcterms:W3CDTF">2021-02-05T16:45:00Z</dcterms:created>
  <dcterms:modified xsi:type="dcterms:W3CDTF">2021-02-17T08:10:00Z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