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DC66D6BE-18E1-4AB5-A186-DD22A8825A0D" style="width:450.75pt;height:306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ДОКЛАД НА КОМИСИЯТА ДО ЕВРОПЕЙСКИЯ ПАРЛАМЕНТ И СЪВЕТА</w:t>
      </w:r>
    </w:p>
    <w:p>
      <w:pPr>
        <w:pStyle w:val="Titreobjet"/>
        <w:rPr>
          <w:noProof/>
        </w:rPr>
      </w:pPr>
      <w:r>
        <w:rPr>
          <w:noProof/>
        </w:rPr>
        <w:t>за работата на комитетите през 2019 година</w:t>
      </w:r>
    </w:p>
    <w:p>
      <w:pPr>
        <w:pStyle w:val="Sous-titreobjet"/>
        <w:rPr>
          <w:noProof/>
        </w:rPr>
      </w:pP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Съгласно член 10, параграф 2 от Регламент (ЕС) № 182/2011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</w:t>
      </w:r>
      <w:r>
        <w:rPr>
          <w:rFonts w:ascii="Times New Roman" w:hAnsi="Times New Roman"/>
          <w:noProof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noProof/>
          <w:sz w:val="24"/>
          <w:szCs w:val="24"/>
        </w:rPr>
        <w:t xml:space="preserve"> (наричан по-нататък „Регламентът относно комитологията“) Комисията представя годишния доклад за работата на комитетите през 2019 г.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Настоящият доклад съдържа преглед на развитията в системата на комитологията през 2019 г. и резюме на дейностите на комитетите. Той е придружен от работен документ на службите на Комисията, съдържащ подробна статистика за работата на отделните комитети.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pStyle w:val="ManualHeading1"/>
        <w:rPr>
          <w:noProof/>
          <w:color w:val="FF0000"/>
        </w:rPr>
      </w:pPr>
      <w:r>
        <w:t>1.</w:t>
      </w:r>
      <w:r>
        <w:tab/>
      </w:r>
      <w:r>
        <w:rPr>
          <w:noProof/>
        </w:rPr>
        <w:t>Преглед на развитията в системата на комитологията през 2019 г.</w:t>
      </w:r>
    </w:p>
    <w:p>
      <w:pPr>
        <w:pStyle w:val="ManualHeading2"/>
        <w:rPr>
          <w:noProof/>
        </w:rPr>
      </w:pPr>
      <w:r>
        <w:t>1.1.</w:t>
      </w:r>
      <w:r>
        <w:tab/>
      </w:r>
      <w:r>
        <w:rPr>
          <w:noProof/>
        </w:rPr>
        <w:t>Общи тенденции</w:t>
      </w: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Всички процедури по комитология, предвидени в предходното Решение относно комитологията</w:t>
      </w:r>
      <w:r>
        <w:rPr>
          <w:rFonts w:ascii="Times New Roman" w:hAnsi="Times New Roman"/>
          <w:noProof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noProof/>
          <w:sz w:val="24"/>
          <w:szCs w:val="24"/>
        </w:rPr>
        <w:t>, с изключение на процедурата по регулиране с контрол, бяха автоматично адаптирани с Регламента относно комитологията към процедурите, предвидени в този регламент.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Следователно през 2019 г. комитетите по комитология са функционирали съгласно процедурите, определени в Регламента относно комитологията, а именно по консултиране (член 4) и по разглеждане (член 5), както и съгласно процедурата по регулиране с контрол, определена в член 5а от Решението относно комитологията.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Що се отнася до процедурата по регулиране с контрол, Междуинституционалното споразумение за по-добро законотворчество от 13 април 2016 г.</w:t>
      </w:r>
      <w:r>
        <w:rPr>
          <w:rStyle w:val="FootnoteReference"/>
          <w:rFonts w:ascii="Times New Roman" w:hAnsi="Times New Roman"/>
          <w:noProof/>
          <w:sz w:val="24"/>
          <w:szCs w:val="24"/>
        </w:rPr>
        <w:footnoteReference w:id="3"/>
      </w:r>
      <w:r>
        <w:rPr>
          <w:rFonts w:ascii="Times New Roman" w:hAnsi="Times New Roman"/>
          <w:noProof/>
          <w:sz w:val="24"/>
          <w:szCs w:val="24"/>
        </w:rPr>
        <w:t xml:space="preserve"> припомня в точка 27 необходимостта от привеждане в съответствие на актовете, които все още се позовават на тази процедура, с новата правна рамка, въведена с Договора от Лисабон.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През 2019 г. беше постигнато съгласие за привеждането в съответствие на 64 основни акта, предвиждащи процедурата по регулиране с контрол, с делегирани актове, а в няколко случая — с актове за изпълнение</w:t>
      </w:r>
      <w:r>
        <w:rPr>
          <w:rFonts w:ascii="Times New Roman" w:hAnsi="Times New Roman"/>
          <w:noProof/>
          <w:sz w:val="24"/>
          <w:szCs w:val="24"/>
          <w:vertAlign w:val="superscript"/>
        </w:rPr>
        <w:footnoteReference w:id="4"/>
      </w:r>
      <w:r>
        <w:rPr>
          <w:rFonts w:ascii="Times New Roman" w:hAnsi="Times New Roman"/>
          <w:noProof/>
          <w:sz w:val="24"/>
          <w:szCs w:val="24"/>
        </w:rPr>
        <w:t>. След това частично споразумение по предложението на Комисията междуинституционалните преговори продължават по привеждането в съответствие на останалите основни актове, включени в общото предложение на Комисията</w:t>
      </w:r>
      <w:r>
        <w:rPr>
          <w:rStyle w:val="FootnoteReference"/>
          <w:rFonts w:ascii="Times New Roman" w:hAnsi="Times New Roman"/>
          <w:noProof/>
          <w:sz w:val="24"/>
          <w:szCs w:val="24"/>
        </w:rPr>
        <w:footnoteReference w:id="5"/>
      </w:r>
      <w:r>
        <w:rPr>
          <w:rFonts w:ascii="Times New Roman" w:hAnsi="Times New Roman"/>
          <w:noProof/>
          <w:sz w:val="24"/>
          <w:szCs w:val="24"/>
        </w:rPr>
        <w:t xml:space="preserve"> и в предложението на Комисията относно пространството на правосъдие</w:t>
      </w:r>
      <w:r>
        <w:rPr>
          <w:rStyle w:val="FootnoteReference"/>
          <w:rFonts w:ascii="Times New Roman" w:hAnsi="Times New Roman"/>
          <w:noProof/>
          <w:sz w:val="24"/>
          <w:szCs w:val="24"/>
        </w:rPr>
        <w:footnoteReference w:id="6"/>
      </w:r>
      <w:r>
        <w:rPr>
          <w:rFonts w:ascii="Times New Roman" w:hAnsi="Times New Roman"/>
          <w:noProof/>
          <w:sz w:val="24"/>
          <w:szCs w:val="24"/>
        </w:rPr>
        <w:t>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Освен това през 2019 г. приключиха успешно преговорите между трите институции по необвързващи критерии за прилагането на членове 290 и 291 от Договора за функционирането на Европейския съюз, а именно относно разграничението между делегираните актове и актовете за изпълнение. Окончателният текст на критериите за разграничение беше публикуван в Официален вестник на 3 юли 2019 г.</w:t>
      </w:r>
      <w:r>
        <w:rPr>
          <w:rFonts w:ascii="Times New Roman" w:hAnsi="Times New Roman"/>
          <w:noProof/>
          <w:sz w:val="24"/>
          <w:szCs w:val="24"/>
          <w:vertAlign w:val="superscript"/>
        </w:rPr>
        <w:footnoteReference w:id="7"/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Все още продължават преговорите по Предложението на Комисията от 14 февруари 2017 г. за Регламент на Европейския парламент и на Съвета за изменение на Регламента на относно комитологията (Регламент (ЕС) № 182/2011)</w:t>
      </w:r>
      <w:r>
        <w:rPr>
          <w:rStyle w:val="FootnoteReference"/>
          <w:rFonts w:ascii="Times New Roman" w:hAnsi="Times New Roman"/>
          <w:noProof/>
          <w:sz w:val="24"/>
          <w:szCs w:val="24"/>
        </w:rPr>
        <w:footnoteReference w:id="8"/>
      </w:r>
      <w:r>
        <w:rPr>
          <w:rFonts w:ascii="Times New Roman" w:hAnsi="Times New Roman"/>
          <w:noProof/>
          <w:sz w:val="24"/>
          <w:szCs w:val="24"/>
        </w:rPr>
        <w:t>. С това предложение се предлагат редица целенасочени промени по отношение на функционирането на апелативния комитет с цел преодоляване на ситуации „без становище“ в чувствителни области.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съобщението си „По-добро регулиране за постигането на по-добри резултати“ от май 2015 г. Комисията пое ангажимент проектите на текстове за делегирани актове и проектите на важни актове за изпълнение да се оповестяват публично за период от четири седмици за получаване на коментари, с което да се даде възможност на заинтересованите страни да представят становищата си. През 2019 г. 93 такива проекти на актове бяха публикувани за обществено обсъждане на уебсайта на Комисията </w:t>
      </w:r>
      <w:r>
        <w:rPr>
          <w:rFonts w:ascii="Times New Roman" w:hAnsi="Times New Roman"/>
          <w:bCs/>
          <w:noProof/>
          <w:sz w:val="24"/>
          <w:szCs w:val="24"/>
        </w:rPr>
        <w:t>„Споделете мнението си“</w:t>
      </w:r>
      <w:r>
        <w:rPr>
          <w:rStyle w:val="FootnoteReference"/>
          <w:rFonts w:ascii="Times New Roman" w:hAnsi="Times New Roman"/>
          <w:noProof/>
          <w:sz w:val="24"/>
          <w:szCs w:val="24"/>
        </w:rPr>
        <w:footnoteReference w:id="9"/>
      </w:r>
      <w:r>
        <w:rPr>
          <w:rFonts w:ascii="Times New Roman" w:hAnsi="Times New Roman"/>
          <w:noProof/>
          <w:sz w:val="24"/>
          <w:szCs w:val="24"/>
        </w:rPr>
        <w:t>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Преглед на дейностите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Брой на комитетите и на заседанията</w:t>
      </w:r>
    </w:p>
    <w:p>
      <w:pPr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</w:rPr>
        <w:t>Важно е да се прави разграничение между комитетите по комитология, от една страна, и други структури, по-специално „експертните групи“, създадени от самата Комисия, от друга страна. Тези групи предоставят експертни познания на Комисията</w:t>
      </w:r>
      <w:r>
        <w:rPr>
          <w:rFonts w:ascii="Times New Roman" w:hAnsi="Times New Roman"/>
          <w:noProof/>
          <w:spacing w:val="-4"/>
          <w:sz w:val="24"/>
          <w:szCs w:val="24"/>
          <w:vertAlign w:val="superscript"/>
        </w:rPr>
        <w:footnoteReference w:id="10"/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 при изготвянето и изпълнението на политиките, както и на делегираните актове, докато комитетите по комитология подпомагат Комисията при упражняването на изпълнителните правомощия, които са ѝ предоставени с основни правни актове. Настоящият доклад е посветен единствено на комитетите по комитология. Броят на действащите комитети по комитология в периода 1 януари—31 декември 2019 г. бе изчислен по сектор на дейност (вж. таблица I). С цел да се даде възможност за сравнение, са дадени и данните за предходната година (към 31 декември 2018 г.). Подразделенията и конфигурациите не са отчетени отделно, тъй като принадлежат към даден основен комитет.</w:t>
      </w:r>
    </w:p>
    <w:p>
      <w:pPr>
        <w:keepNext/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ТАБЛИЦА I — Общ брой на комитетите</w:t>
      </w:r>
    </w:p>
    <w:tbl>
      <w:tblPr>
        <w:tblW w:w="5169" w:type="pct"/>
        <w:tblInd w:w="-132" w:type="dxa"/>
        <w:tblLayout w:type="fixed"/>
        <w:tblLook w:val="0000" w:firstRow="0" w:lastRow="0" w:firstColumn="0" w:lastColumn="0" w:noHBand="0" w:noVBand="0"/>
      </w:tblPr>
      <w:tblGrid>
        <w:gridCol w:w="6223"/>
        <w:gridCol w:w="1697"/>
        <w:gridCol w:w="1680"/>
      </w:tblGrid>
      <w:tr>
        <w:trPr>
          <w:trHeight w:val="510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Сектор на политиката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2019 г.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AGRI (Земеделие и развитие на селските райони)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11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BUDG (Бюджет)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CLIMA (Действия по климата)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5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CNECT (Съобщителни мрежи, съдържание и технологии)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9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DEFIS (Отбранителна промишленост и космическо пространство)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6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DEVCO (Международно сътрудничество и развитие)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5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DIGIT (Информатика)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EAC (Образование и култура)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ECFIN (Икономически и финансови въпроси)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ECHO (Хуманитарна помощ и гражданска защита)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EMPL (Трудова заетост, социални въпроси и приобщаване)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5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ENER (Енергетика)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14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ENV (Околна среда)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27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ESTAT (Евростат)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FISMA (Финансова стабилност, финансови услуги и съюз на капиталовите пазари)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9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FPI (Служба за инструментите в областта на външната политика)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4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GROW (Вътрешен пазар, промишленост, предприемачество и МСП)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44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36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HOME (Миграция и вътрешни работи)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18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JUST (Правосъдие и потребители)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24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MARE (Морско дело и рибарство)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</w:rPr>
              <w:t>3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MOVE (Мобилност и транспорт)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31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32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NEAR (Политика за съседство и преговори за разширяване)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3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OLAF (Европейска служба за борба с измамите)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REGIO (Регионална и селищна политика)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240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RTD (Научни изследвания и иновации)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17</w:t>
            </w:r>
          </w:p>
        </w:tc>
      </w:tr>
      <w:tr>
        <w:trPr>
          <w:trHeight w:val="255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SANTE (Здравеопазване и безопасност на храните)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34</w:t>
            </w:r>
          </w:p>
        </w:tc>
      </w:tr>
      <w:tr>
        <w:trPr>
          <w:trHeight w:val="255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SG (Генерален секретариат)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3*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4*</w:t>
            </w:r>
          </w:p>
        </w:tc>
      </w:tr>
      <w:tr>
        <w:trPr>
          <w:trHeight w:val="255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TAXUD (Данъчно облагане и митнически съюз)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26</w:t>
            </w:r>
          </w:p>
        </w:tc>
      </w:tr>
      <w:tr>
        <w:trPr>
          <w:trHeight w:val="255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ГД TRADE (Търговия)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</w:t>
            </w:r>
          </w:p>
        </w:tc>
      </w:tr>
      <w:tr>
        <w:trPr>
          <w:trHeight w:val="255"/>
        </w:trPr>
        <w:tc>
          <w:tcPr>
            <w:tcW w:w="3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ОБЩО: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275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318</w:t>
            </w:r>
          </w:p>
        </w:tc>
      </w:tr>
    </w:tbl>
    <w:p>
      <w:pPr>
        <w:spacing w:line="240" w:lineRule="auto"/>
        <w:jc w:val="both"/>
        <w:rPr>
          <w:rFonts w:ascii="Times New Roman" w:hAnsi="Times New Roman"/>
          <w:i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* </w:t>
      </w:r>
      <w:r>
        <w:rPr>
          <w:rFonts w:ascii="Times New Roman" w:hAnsi="Times New Roman"/>
          <w:i/>
          <w:noProof/>
          <w:sz w:val="18"/>
          <w:szCs w:val="18"/>
        </w:rPr>
        <w:t>Включително апелативния комитет (за нуждите на регистъра на комитологията апелативният комитет е регистриран като комитет, за който отговорната служба е Генералният секретариат; на практика той се управлява от всички засегнати служби).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През 2019 г. са действали 318 комитета по комитология. Този брой включва всички състави на комитетите</w:t>
      </w:r>
      <w:r>
        <w:rPr>
          <w:rStyle w:val="FootnoteReference"/>
          <w:rFonts w:ascii="Times New Roman" w:hAnsi="Times New Roman"/>
          <w:noProof/>
          <w:sz w:val="24"/>
          <w:szCs w:val="24"/>
        </w:rPr>
        <w:footnoteReference w:id="11"/>
      </w:r>
      <w:r>
        <w:rPr>
          <w:rFonts w:ascii="Times New Roman" w:hAnsi="Times New Roman"/>
          <w:noProof/>
          <w:sz w:val="24"/>
          <w:szCs w:val="24"/>
        </w:rPr>
        <w:t xml:space="preserve">. Докато през предходните години съставите на комитетите бяха изброени в придружаващия работен документ на службите на Комисията, те вече систематично се включват и в общите данни. 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Комитетите по комитология могат като цяло да се класифицират според вида на процедурата, по реда на която осъществяват дейността си (процедура по консултиране, процедура по разглеждане, процедура по регулиране с контрол — вж. таблица II). В таблицата по-долу, в която се разглеждат действащите през 2019 г. комитети по процедури, комитетите, които прилагат повече от една процедура, са отделени от комитетите, работещи по една-единствена процедура.</w:t>
      </w:r>
    </w:p>
    <w:p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  <w:bookmarkStart w:id="2" w:name="_Toc138589006"/>
    </w:p>
    <w:p>
      <w:pPr>
        <w:keepNext/>
        <w:spacing w:line="240" w:lineRule="auto"/>
        <w:rPr>
          <w:rFonts w:ascii="Times New Roman" w:hAnsi="Times New Roman"/>
          <w:b/>
          <w:smallCaps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ТАБЛИЦА II — Брой на комитетите по процедури</w:t>
      </w:r>
      <w:bookmarkEnd w:id="2"/>
    </w:p>
    <w:tbl>
      <w:tblPr>
        <w:tblW w:w="5171" w:type="pct"/>
        <w:tblInd w:w="-318" w:type="dxa"/>
        <w:tblLook w:val="0000" w:firstRow="0" w:lastRow="0" w:firstColumn="0" w:lastColumn="0" w:noHBand="0" w:noVBand="0"/>
      </w:tblPr>
      <w:tblGrid>
        <w:gridCol w:w="1417"/>
        <w:gridCol w:w="1634"/>
        <w:gridCol w:w="1637"/>
        <w:gridCol w:w="1637"/>
        <w:gridCol w:w="1644"/>
        <w:gridCol w:w="1635"/>
      </w:tblGrid>
      <w:tr>
        <w:trPr>
          <w:trHeight w:val="51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Вид на процедурата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51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Консултиране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Разглеждане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Регулиране с контрол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Работи, следвайки няколко процедури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ОБЩО: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AGRI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11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BUDG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CLIMA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CNECT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DEFIS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DEVCO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DIGIT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EAC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ECFIN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ECHO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EMPL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ENER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ENV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27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ESTAT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FISMA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FPI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GROW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36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HOME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18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JUST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24</w:t>
            </w:r>
          </w:p>
        </w:tc>
      </w:tr>
      <w:tr>
        <w:trPr>
          <w:trHeight w:val="24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MARE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</w:tr>
      <w:tr>
        <w:trPr>
          <w:trHeight w:val="25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MOVE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10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32</w:t>
            </w:r>
          </w:p>
        </w:tc>
      </w:tr>
      <w:tr>
        <w:trPr>
          <w:trHeight w:val="25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NEAR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</w:tr>
      <w:tr>
        <w:trPr>
          <w:trHeight w:val="25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OLAF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</w:tr>
      <w:tr>
        <w:trPr>
          <w:trHeight w:val="25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REGIO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</w:tr>
      <w:tr>
        <w:trPr>
          <w:trHeight w:val="25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RTD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17</w:t>
            </w:r>
          </w:p>
        </w:tc>
      </w:tr>
      <w:tr>
        <w:trPr>
          <w:trHeight w:val="25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SANTE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34</w:t>
            </w:r>
          </w:p>
        </w:tc>
      </w:tr>
      <w:tr>
        <w:trPr>
          <w:trHeight w:val="25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SG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4*</w:t>
            </w:r>
          </w:p>
        </w:tc>
      </w:tr>
      <w:tr>
        <w:trPr>
          <w:trHeight w:val="25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TAXUD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26</w:t>
            </w:r>
          </w:p>
        </w:tc>
      </w:tr>
      <w:tr>
        <w:trPr>
          <w:trHeight w:val="25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TRADE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</w:t>
            </w:r>
          </w:p>
        </w:tc>
      </w:tr>
      <w:tr>
        <w:trPr>
          <w:trHeight w:val="25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ОБЩО: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126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149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318</w:t>
            </w:r>
          </w:p>
        </w:tc>
      </w:tr>
    </w:tbl>
    <w:p>
      <w:pPr>
        <w:spacing w:line="240" w:lineRule="auto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* </w:t>
      </w:r>
      <w:r>
        <w:rPr>
          <w:rFonts w:ascii="Times New Roman" w:hAnsi="Times New Roman"/>
          <w:i/>
          <w:noProof/>
          <w:sz w:val="18"/>
          <w:szCs w:val="18"/>
        </w:rPr>
        <w:t>Включително апелативния комитет.</w:t>
      </w:r>
    </w:p>
    <w:p>
      <w:pPr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pacing w:val="-6"/>
          <w:sz w:val="24"/>
          <w:szCs w:val="24"/>
        </w:rPr>
        <w:t xml:space="preserve">Броят на комитетите не е единственият показател за дейността на равнище комитология. </w:t>
      </w:r>
      <w:r>
        <w:rPr>
          <w:rFonts w:ascii="Times New Roman" w:hAnsi="Times New Roman"/>
          <w:i/>
          <w:noProof/>
          <w:spacing w:val="-6"/>
          <w:sz w:val="24"/>
          <w:szCs w:val="24"/>
        </w:rPr>
        <w:t>Броят на заседанията</w:t>
      </w:r>
      <w:r>
        <w:rPr>
          <w:rFonts w:ascii="Times New Roman" w:hAnsi="Times New Roman"/>
          <w:noProof/>
          <w:spacing w:val="-6"/>
          <w:sz w:val="24"/>
          <w:szCs w:val="24"/>
        </w:rPr>
        <w:t xml:space="preserve">, които са били проведени, както и </w:t>
      </w:r>
      <w:r>
        <w:rPr>
          <w:rFonts w:ascii="Times New Roman" w:hAnsi="Times New Roman"/>
          <w:i/>
          <w:noProof/>
          <w:spacing w:val="-6"/>
          <w:sz w:val="24"/>
          <w:szCs w:val="24"/>
        </w:rPr>
        <w:t>броят на писмените процедури</w:t>
      </w:r>
      <w:r>
        <w:rPr>
          <w:rFonts w:ascii="Times New Roman" w:hAnsi="Times New Roman"/>
          <w:i/>
          <w:noProof/>
          <w:spacing w:val="-6"/>
          <w:sz w:val="24"/>
          <w:szCs w:val="24"/>
          <w:vertAlign w:val="superscript"/>
        </w:rPr>
        <w:footnoteReference w:id="12"/>
      </w:r>
      <w:r>
        <w:rPr>
          <w:rFonts w:ascii="Times New Roman" w:hAnsi="Times New Roman"/>
          <w:noProof/>
          <w:spacing w:val="-6"/>
          <w:sz w:val="24"/>
          <w:szCs w:val="24"/>
        </w:rPr>
        <w:t>, използвани през 2019 г., също отразяват интензивността на работата като цяло, както на секторно равнище, така и в отделните комитети (таблица III).</w:t>
      </w:r>
      <w:r>
        <w:rPr>
          <w:noProof/>
        </w:rPr>
        <w:br w:type="page"/>
      </w:r>
    </w:p>
    <w:p>
      <w:pPr>
        <w:keepNext/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ТАБЛИЦА III — </w:t>
      </w:r>
      <w:r>
        <w:rPr>
          <w:rFonts w:ascii="Times New Roman" w:hAnsi="Times New Roman"/>
          <w:b/>
          <w:smallCaps/>
          <w:noProof/>
          <w:sz w:val="24"/>
          <w:szCs w:val="24"/>
          <w:u w:val="single"/>
        </w:rPr>
        <w:t>Брой на заседанията и на писмените процедури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96"/>
        <w:gridCol w:w="1536"/>
        <w:gridCol w:w="1538"/>
        <w:gridCol w:w="1540"/>
        <w:gridCol w:w="1538"/>
        <w:gridCol w:w="1538"/>
      </w:tblGrid>
      <w:tr>
        <w:trPr>
          <w:trHeight w:val="510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 xml:space="preserve">Брой на комитетите 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Заседания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Писмени процедури</w:t>
            </w:r>
          </w:p>
        </w:tc>
      </w:tr>
      <w:tr>
        <w:trPr>
          <w:trHeight w:val="510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2019 г.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AGRI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18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BUDG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CLIMA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CNECT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15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DEFIS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DEVCO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DIGIT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EAC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ECFIN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ECHO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EMPL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ENER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ENV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12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ESTAT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FISMA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18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FPI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GROW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HOME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16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JUST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MARE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MOVE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31</w:t>
            </w:r>
          </w:p>
        </w:tc>
      </w:tr>
      <w:tr>
        <w:trPr>
          <w:trHeight w:val="24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NEAR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</w:tr>
      <w:tr>
        <w:trPr>
          <w:trHeight w:val="25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OLAF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REGIO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</w:tr>
      <w:tr>
        <w:trPr>
          <w:trHeight w:val="25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RTD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228</w:t>
            </w:r>
          </w:p>
        </w:tc>
      </w:tr>
      <w:tr>
        <w:trPr>
          <w:trHeight w:val="25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SANTE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476</w:t>
            </w:r>
          </w:p>
        </w:tc>
      </w:tr>
      <w:tr>
        <w:trPr>
          <w:trHeight w:val="25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SG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6*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TAXUD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18</w:t>
            </w:r>
          </w:p>
        </w:tc>
      </w:tr>
      <w:tr>
        <w:trPr>
          <w:trHeight w:val="25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TRADE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32</w:t>
            </w:r>
          </w:p>
        </w:tc>
      </w:tr>
      <w:tr>
        <w:trPr>
          <w:trHeight w:val="255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ОБЩО: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318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620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590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880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944</w:t>
            </w:r>
          </w:p>
        </w:tc>
      </w:tr>
    </w:tbl>
    <w:p>
      <w:pPr>
        <w:spacing w:line="240" w:lineRule="auto"/>
        <w:jc w:val="both"/>
        <w:rPr>
          <w:rFonts w:ascii="Times New Roman" w:hAnsi="Times New Roman"/>
          <w:i/>
          <w:noProof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t>* заседания/писмени процедури на апелативния комитет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През 2019 г. се проведоха 590 заседания, малко по-малко, отколкото през 2018 г., и 944 писмени процедури, малко повече в сравнение с 2018 г. 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Брой на становищата и на актовете/мерките за изпълнение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Както винаги, в настоящия доклад се посочва общият брой на официалните </w:t>
      </w:r>
      <w:r>
        <w:rPr>
          <w:rFonts w:ascii="Times New Roman" w:hAnsi="Times New Roman"/>
          <w:i/>
          <w:noProof/>
          <w:sz w:val="24"/>
          <w:szCs w:val="24"/>
        </w:rPr>
        <w:t>становища</w:t>
      </w:r>
      <w:r>
        <w:rPr>
          <w:rFonts w:ascii="Times New Roman" w:hAnsi="Times New Roman"/>
          <w:noProof/>
          <w:sz w:val="24"/>
          <w:szCs w:val="24"/>
        </w:rPr>
        <w:t xml:space="preserve">, дадени от комитетите, и на последвалите </w:t>
      </w:r>
      <w:r>
        <w:rPr>
          <w:rFonts w:ascii="Times New Roman" w:hAnsi="Times New Roman"/>
          <w:i/>
          <w:noProof/>
          <w:sz w:val="24"/>
          <w:szCs w:val="24"/>
        </w:rPr>
        <w:t>актове/мерки за изпълнение</w:t>
      </w:r>
      <w:r>
        <w:rPr>
          <w:rFonts w:ascii="Times New Roman" w:hAnsi="Times New Roman"/>
          <w:noProof/>
          <w:sz w:val="24"/>
          <w:szCs w:val="24"/>
        </w:rPr>
        <w:t>, приети от Комисията</w:t>
      </w:r>
      <w:r>
        <w:rPr>
          <w:rFonts w:ascii="Times New Roman" w:hAnsi="Times New Roman"/>
          <w:noProof/>
          <w:sz w:val="24"/>
          <w:szCs w:val="24"/>
          <w:vertAlign w:val="superscript"/>
        </w:rPr>
        <w:footnoteReference w:id="13"/>
      </w:r>
      <w:r>
        <w:rPr>
          <w:rFonts w:ascii="Times New Roman" w:hAnsi="Times New Roman"/>
          <w:noProof/>
          <w:sz w:val="24"/>
          <w:szCs w:val="24"/>
        </w:rPr>
        <w:t xml:space="preserve">. Чрез тези данни се измерват количествено осезаемите „резултати“ от работата на комитетите (вж. таблица IV). 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Европейският парламент и Съветът имат право на контрол съгласно член 11 от Регламента относно комитологията. През 2019 г. Европейският парламент е приел 25 резолюции въз основа на член 11 от Регламента относно комитологията, а Съветът не е приел нито една такава резолюция.</w:t>
      </w:r>
    </w:p>
    <w:p>
      <w:pPr>
        <w:keepNext/>
        <w:spacing w:line="240" w:lineRule="auto"/>
        <w:rPr>
          <w:rFonts w:ascii="Times New Roman" w:hAnsi="Times New Roman"/>
          <w:b/>
          <w:smallCaps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ТАБЛИЦА IV — </w:t>
      </w:r>
      <w:r>
        <w:rPr>
          <w:rFonts w:ascii="Times New Roman" w:hAnsi="Times New Roman"/>
          <w:b/>
          <w:smallCaps/>
          <w:noProof/>
          <w:sz w:val="24"/>
          <w:szCs w:val="24"/>
          <w:u w:val="single"/>
        </w:rPr>
        <w:t>Брой на становищата и на приетите актове/мерки за изпълнение</w:t>
      </w:r>
    </w:p>
    <w:tbl>
      <w:tblPr>
        <w:tblW w:w="5136" w:type="pct"/>
        <w:tblInd w:w="-252" w:type="dxa"/>
        <w:tblLook w:val="0000" w:firstRow="0" w:lastRow="0" w:firstColumn="0" w:lastColumn="0" w:noHBand="0" w:noVBand="0"/>
      </w:tblPr>
      <w:tblGrid>
        <w:gridCol w:w="1201"/>
        <w:gridCol w:w="1389"/>
        <w:gridCol w:w="1391"/>
        <w:gridCol w:w="1391"/>
        <w:gridCol w:w="1393"/>
        <w:gridCol w:w="1389"/>
        <w:gridCol w:w="1385"/>
      </w:tblGrid>
      <w:tr>
        <w:trPr>
          <w:trHeight w:val="51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Становища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18"/>
                <w:szCs w:val="18"/>
                <w:lang w:eastAsia="en-GB"/>
              </w:rPr>
              <w:footnoteReference w:id="14"/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Актове за изпълнение —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приети мерки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 xml:space="preserve"> Процедура по регулиране с контрол —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приети мерки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2019 г.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AGRI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146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111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145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111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BUDG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CLIMA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CNECT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19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21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15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23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DEFIS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/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DEVCO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67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61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66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59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DIGIT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EAC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ECFIN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ECHO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EMPL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ENER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ENV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31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26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21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11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ESTAT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FISMA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18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28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17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FPI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GROW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77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69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53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38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15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19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HOME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74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66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61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21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JUST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MARE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17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15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MOVE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61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62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57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62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11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</w:tr>
      <w:tr>
        <w:trPr>
          <w:trHeight w:val="24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NEAR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86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58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86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58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OLAF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REGIO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RTD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225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228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159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158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SANTE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629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762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603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733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38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41</w:t>
            </w:r>
          </w:p>
        </w:tc>
      </w:tr>
      <w:tr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SG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*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11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18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TAXUD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56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61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57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58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TRADE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59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68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52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68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ОБЩО: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1633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1729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1456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1501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90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88</w:t>
            </w:r>
          </w:p>
        </w:tc>
      </w:tr>
    </w:tbl>
    <w:p>
      <w:pPr>
        <w:spacing w:line="240" w:lineRule="auto"/>
        <w:ind w:left="240" w:hanging="240"/>
        <w:jc w:val="both"/>
        <w:rPr>
          <w:rFonts w:ascii="Times New Roman" w:hAnsi="Times New Roman"/>
          <w:i/>
          <w:noProof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t>*   Включително становища, дадени от апелативния комитет, и приети актове.</w:t>
      </w:r>
      <w:r>
        <w:rPr>
          <w:noProof/>
        </w:rPr>
        <w:tab/>
        <w:t xml:space="preserve"> </w:t>
      </w:r>
      <w:r>
        <w:rPr>
          <w:noProof/>
        </w:rPr>
        <w:br/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Комитетите дадоха 1729 становища през 2019 г., малко повече отколкото през предходната година. Броят на актовете за изпълнение, приети в резултат на процедура на комитет, беше 1501, тоест малко по-висок, отколкото през 2018 г. Броят на мерките, приети съгласно процедурата по регулиране с контрол, остана стабилен.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Заседания на апелативния комитет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През 2019 г. апелативният комитет е заседавал 6 пъти и е разгледал общо 12 проекта на актове за изпълнение (в областта на здравеопазването и политиката за потребителите), за които е бил сезиран от Комисията. Апелативният комитет не е дал становище и по дванадесетте случая. През 2019 г. Комисията реши да приеме 11 акта за изпълнение след такива случаи на недаване на становище.</w:t>
      </w:r>
    </w:p>
    <w:p>
      <w:pPr>
        <w:pStyle w:val="ManualHeading2"/>
        <w:rPr>
          <w:noProof/>
        </w:rPr>
      </w:pPr>
      <w:r>
        <w:t>2.4.</w:t>
      </w:r>
      <w:r>
        <w:tab/>
      </w:r>
      <w:r>
        <w:rPr>
          <w:noProof/>
        </w:rPr>
        <w:t xml:space="preserve">Използване на процедурата по регулиране с контрол 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Както бе посочено в раздел 1, процедурата по регулиране с контрол не беше засегната от реформата в областта на комитологията от 2011 г. Тази процедура не може повече да се използва при новото законодателство, но все още се среща в множество съществуващи основни актове и ще продължи да се прилага по силата на тези актове до привеждането им в съответствие. През 2019 г. съгласно процедурата по регулиране с контрол бяха приети 88 мерки (вж. таблица V) — приблизително същия брой като през 2018 г. Правото на възражение е било упражнено веднъж от страна на Европейския парламент през 2019 г.</w:t>
      </w:r>
    </w:p>
    <w:p>
      <w:pPr>
        <w:keepNext/>
        <w:spacing w:line="240" w:lineRule="auto"/>
        <w:rPr>
          <w:rFonts w:ascii="Times New Roman" w:hAnsi="Times New Roman"/>
          <w:b/>
          <w:smallCaps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ТАБЛИЦА V — </w:t>
      </w:r>
      <w:r>
        <w:rPr>
          <w:rFonts w:ascii="Times New Roman" w:hAnsi="Times New Roman"/>
          <w:b/>
          <w:smallCaps/>
          <w:noProof/>
          <w:sz w:val="24"/>
          <w:szCs w:val="24"/>
          <w:u w:val="single"/>
        </w:rPr>
        <w:t xml:space="preserve">Брой на мерките, приети съгласно процедурата по регулиране с контрол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14"/>
        <w:gridCol w:w="2524"/>
        <w:gridCol w:w="2526"/>
        <w:gridCol w:w="2522"/>
      </w:tblGrid>
      <w:tr>
        <w:trPr>
          <w:trHeight w:val="59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Процедура по регулиране с контрол —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приети мерки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 xml:space="preserve">Възражения на Европейския парламент срещу приемането на проект на мерки 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 xml:space="preserve">Възражения на Съвета срещу приемането на проект на мерки 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AGRI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BUDG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CLIMA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CNECT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DEFIS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DEVCO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DIGIT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EAC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ECFIN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ECHO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EMPL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ENER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ENV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ESTAT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FISMA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FPI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GROW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HOME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JUST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MARE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MOVE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NEAR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OLAF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REGIO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RTD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SANTE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SG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TAXUD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ГД TRADE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55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ОБЩО: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88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  <w:t>0</w:t>
            </w:r>
          </w:p>
        </w:tc>
      </w:tr>
    </w:tbl>
    <w:p>
      <w:pPr>
        <w:pStyle w:val="ManualHeading1"/>
        <w:rPr>
          <w:noProof/>
        </w:rPr>
      </w:pPr>
      <w:r>
        <w:t>3.</w:t>
      </w:r>
      <w:r>
        <w:tab/>
      </w:r>
      <w:r>
        <w:rPr>
          <w:noProof/>
        </w:rPr>
        <w:t>Подробна информация за дейностите на комитетите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 работния документ, придружаващ настоящия доклад, е представена подробна информация за работата на отделните комитети през 2019 г., която включва разбивка въз основа на съответните заинтересовани дирекции на Комисията.</w:t>
      </w:r>
      <w:bookmarkStart w:id="3" w:name="_CopyToNewDocument_"/>
      <w:bookmarkEnd w:id="3"/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Заключение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През 2019 г. дейността на комитетите продължи на равнища, сравними с предходните години: имаше 318 действащи комитета, които проведоха 590 заседания и 944 писмени процедури и дадоха 1729 становища. </w:t>
      </w:r>
    </w:p>
    <w:p>
      <w:pPr>
        <w:rPr>
          <w:noProof/>
        </w:rPr>
      </w:pPr>
      <w:r>
        <w:rPr>
          <w:rFonts w:ascii="Times New Roman" w:hAnsi="Times New Roman"/>
          <w:noProof/>
          <w:sz w:val="24"/>
          <w:szCs w:val="24"/>
        </w:rPr>
        <w:t>Европейският парламент и Съветът се приканват да вземат под внимание настоящия доклад.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1418" w:bottom="1134" w:left="1418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32708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Strong"/>
          <w:b w:val="0"/>
        </w:rPr>
        <w:t>Регламент (ЕС) № 182/2011 на Европейския парламент и на Съвета от 16 февруари 2011 г.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(ОВ L 55, 28.2.2011 г., стр. 13).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1999/468/ЕО от 28 юни 1999 г. за установяване на условията и реда за упражняване на изпълнителните правомощия, предоставени на Комисията (ОВ L 184, 17.7.1999 г., стр. 23), изменено с Решение 2006/512/ЕО (ОВ L 200, 22.7.2006 г., стр. 11) (консолидирана версия в ОВ C 255, 21.10.2006 г., стр. 4).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Междуинституционално споразумение между Европейския парламент, Съвета на Европейския съюз и Европейската комисия за по-добро законотворчество от 13 април 2016 г. (ОВ L 123, 12.5.2014 г., стр. 1). 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2019/1243 на Европейския парламент и на Съвета от 20 юни 2019 г. за адаптиране на редица правни актове, предвиждащи използване на процедурата по регулиране с контрол, към членове 290 и 291 от Договора за функционирането на Европейския съюз (ОВ L 198, 25.7.2019 г., стр. 241).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Предложение за Регламент на Европейския парламент и на Съвета за адаптиране на редица правни актове, предвиждащи използване на процедурата по регулиране с контрол, към членове 290 и 291 от Договора за функционирането на Европейския съюз (COM(2016) 799). 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pacing w:val="-6"/>
        </w:rPr>
        <w:t>Предложение за Регламент на Европейския парламент и на Съвета за адаптиране на редица правни актове в областта на правосъдието, предвиждащи използване на процедурата по регулиране с контрол, към член 290 от Договора за функционирането на Европейския съюз (COM(2016) 798).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pacing w:val="-4"/>
        </w:rPr>
        <w:t>Междуинституционално споразумение относно необвързващите критерии за прилагането на членове 290 и 291 от Договора за функционирането на Европейския съюз (ОВ C 223, 3.7.2019 г., стр. 1).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Предложение за Регламент на Европейския парламент и на Съвета за изменение на Регламент (ЕС) № 182/2011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(COM(2017) 85 final).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1" w:history="1">
        <w:r>
          <w:rPr>
            <w:rStyle w:val="Hyperlink"/>
          </w:rPr>
          <w:t>https://ec.europa.eu/info/law/better-regulation/have-your-say_bg</w:t>
        </w:r>
      </w:hyperlink>
      <w:r>
        <w:rPr>
          <w:rStyle w:val="Hyperlink"/>
        </w:rPr>
        <w:t>.</w:t>
      </w:r>
      <w:r>
        <w:t xml:space="preserve"> 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 xml:space="preserve">За повече подробности виж: </w:t>
      </w:r>
      <w:hyperlink r:id="rId2" w:history="1">
        <w:r>
          <w:rPr>
            <w:rStyle w:val="Hyperlink"/>
          </w:rPr>
          <w:t>http://ec.europa.eu/transparency/regexpert/index.cfm?Lang=BG</w:t>
        </w:r>
      </w:hyperlink>
      <w:r>
        <w:t xml:space="preserve">. 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В няколко основни акта законодателят е предвидил специални състави на комитета.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Гласуването в рамките на комитета може да стане на негово редовно заседание или, в надлежно обосновани случаи, по реда на писмена процедура в съответствие с член 3, параграф 5 от Регламента относно комитологията.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Следва да се отбележи, че е възможно да има несъответствия между броя на становищата и този на актовете/мерките за изпълнение през дадена година. Причините за това са обяснени във въведението на придружаващия доклада работен документ на службите на Комисията.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color w:val="000000"/>
        </w:rPr>
        <w:t>В общия брой на становищата са включени и гласуванията, които не са довели до издаването на становище.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B1"/>
    <w:multiLevelType w:val="multilevel"/>
    <w:tmpl w:val="30847FD6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E43525"/>
    <w:multiLevelType w:val="multilevel"/>
    <w:tmpl w:val="76202BFE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2DD5905"/>
    <w:multiLevelType w:val="singleLevel"/>
    <w:tmpl w:val="6CB4B73E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">
    <w:nsid w:val="24E930D7"/>
    <w:multiLevelType w:val="multilevel"/>
    <w:tmpl w:val="EFD2E05E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F76E7A"/>
    <w:multiLevelType w:val="singleLevel"/>
    <w:tmpl w:val="C74C5A32"/>
    <w:name w:val="Bullet 1"/>
    <w:lvl w:ilvl="0">
      <w:start w:val="1"/>
      <w:numFmt w:val="bullet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5">
    <w:nsid w:val="3A5459E8"/>
    <w:multiLevelType w:val="singleLevel"/>
    <w:tmpl w:val="2188C92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>
    <w:nsid w:val="3BA736C9"/>
    <w:multiLevelType w:val="singleLevel"/>
    <w:tmpl w:val="F00A6C0C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>
    <w:nsid w:val="3C90278F"/>
    <w:multiLevelType w:val="singleLevel"/>
    <w:tmpl w:val="0FE08974"/>
    <w:name w:val="Tiret 1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>
    <w:nsid w:val="3E191884"/>
    <w:multiLevelType w:val="singleLevel"/>
    <w:tmpl w:val="3020C764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9">
    <w:nsid w:val="40315490"/>
    <w:multiLevelType w:val="singleLevel"/>
    <w:tmpl w:val="1F86C700"/>
    <w:name w:val="7,134676E-02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0">
    <w:nsid w:val="48842C30"/>
    <w:multiLevelType w:val="singleLevel"/>
    <w:tmpl w:val="4FA60B90"/>
    <w:name w:val="List Dash"/>
    <w:lvl w:ilvl="0">
      <w:start w:val="1"/>
      <w:numFmt w:val="bullet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1">
    <w:nsid w:val="54593082"/>
    <w:multiLevelType w:val="singleLevel"/>
    <w:tmpl w:val="EDE069AC"/>
    <w:name w:val="Tir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>
    <w:nsid w:val="568864DC"/>
    <w:multiLevelType w:val="singleLevel"/>
    <w:tmpl w:val="485EBDAC"/>
    <w:name w:val="Tiret 3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>
    <w:nsid w:val="596D67A1"/>
    <w:multiLevelType w:val="singleLevel"/>
    <w:tmpl w:val="9AC8831A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>
    <w:nsid w:val="5F342530"/>
    <w:multiLevelType w:val="singleLevel"/>
    <w:tmpl w:val="D5444702"/>
    <w:name w:val="List Dash 2"/>
    <w:lvl w:ilvl="0">
      <w:start w:val="1"/>
      <w:numFmt w:val="bullet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>
    <w:nsid w:val="5F8C3B69"/>
    <w:multiLevelType w:val="multilevel"/>
    <w:tmpl w:val="9B14DAA8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9C40AA"/>
    <w:multiLevelType w:val="singleLevel"/>
    <w:tmpl w:val="B89CB5A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7">
    <w:nsid w:val="62970F71"/>
    <w:multiLevelType w:val="singleLevel"/>
    <w:tmpl w:val="5AFA8C72"/>
    <w:name w:val="Bullet 4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>
    <w:nsid w:val="62A8042C"/>
    <w:multiLevelType w:val="singleLevel"/>
    <w:tmpl w:val="CCF20C06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9">
    <w:nsid w:val="69995580"/>
    <w:multiLevelType w:val="singleLevel"/>
    <w:tmpl w:val="75CC7CBA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0">
    <w:nsid w:val="6A6901C1"/>
    <w:multiLevelType w:val="singleLevel"/>
    <w:tmpl w:val="208841AE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1">
    <w:nsid w:val="6D2B5511"/>
    <w:multiLevelType w:val="singleLevel"/>
    <w:tmpl w:val="74A09970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2">
    <w:nsid w:val="711167E2"/>
    <w:multiLevelType w:val="multilevel"/>
    <w:tmpl w:val="C3843A7A"/>
    <w:name w:val="List Dash 1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5C26F71"/>
    <w:multiLevelType w:val="multilevel"/>
    <w:tmpl w:val="8FF2E258"/>
    <w:name w:val="Bullet 0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  <w:rPr>
        <w:color w:val="auto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8A241BD"/>
    <w:multiLevelType w:val="singleLevel"/>
    <w:tmpl w:val="53C4DF32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5">
    <w:nsid w:val="79C96D36"/>
    <w:multiLevelType w:val="multilevel"/>
    <w:tmpl w:val="BE983CE4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BE95D7F"/>
    <w:multiLevelType w:val="multilevel"/>
    <w:tmpl w:val="F126F780"/>
    <w:name w:val="List Bulle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7">
    <w:nsid w:val="7D8820A0"/>
    <w:multiLevelType w:val="singleLevel"/>
    <w:tmpl w:val="54F6C7B4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8">
    <w:nsid w:val="7F7154E1"/>
    <w:multiLevelType w:val="singleLevel"/>
    <w:tmpl w:val="E3F6D2C6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28"/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17"/>
  </w:num>
  <w:num w:numId="13">
    <w:abstractNumId w:val="7"/>
  </w:num>
  <w:num w:numId="14">
    <w:abstractNumId w:val="1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16"/>
  </w:num>
  <w:num w:numId="20">
    <w:abstractNumId w:val="14"/>
  </w:num>
  <w:num w:numId="21">
    <w:abstractNumId w:val="10"/>
  </w:num>
  <w:num w:numId="22">
    <w:abstractNumId w:val="19"/>
    <w:lvlOverride w:ilvl="0">
      <w:startOverride w:val="1"/>
    </w:lvlOverride>
  </w:num>
  <w:num w:numId="23">
    <w:abstractNumId w:val="20"/>
  </w:num>
  <w:num w:numId="24">
    <w:abstractNumId w:val="9"/>
  </w:num>
  <w:num w:numId="25">
    <w:abstractNumId w:val="18"/>
  </w:num>
  <w:num w:numId="26">
    <w:abstractNumId w:val="13"/>
  </w:num>
  <w:num w:numId="27">
    <w:abstractNumId w:val="24"/>
  </w:num>
  <w:num w:numId="28">
    <w:abstractNumId w:val="27"/>
  </w:num>
  <w:num w:numId="29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DC66D6BE-18E1-4AB5-A186-DD22A8825A0D"/>
    <w:docVar w:name="LW_COVERPAGE_TYPE" w:val="1"/>
    <w:docVar w:name="LW_CROSSREFERENCE" w:val="{SWD(2021) 21 final}"/>
    <w:docVar w:name="LW_DocType" w:val="NORMAL"/>
    <w:docVar w:name="LW_EMISSION" w:val="19.2.2021"/>
    <w:docVar w:name="LW_EMISSION_ISODATE" w:val="2021-02-19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1) 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79?\u1072? \u1088?\u1072?\u1073?\u1086?\u1090?\u1072?\u1090?\u1072? \u1085?\u1072? \u1082?\u1086?\u1084?\u1080?\u1090?\u1077?\u1090?\u1080?\u1090?\u1077? \u1087?\u1088?\u1077?\u1079? 2019 \u1075?\u1086?\u1076?\u1080?\u1085?\u1072?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bCs/>
      <w:smallCap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Pr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Pr>
      <w:bCs/>
      <w:i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Pr>
      <w:bCs/>
      <w:sz w:val="24"/>
      <w:szCs w:val="28"/>
      <w:lang w:eastAsia="en-US"/>
    </w:rPr>
  </w:style>
  <w:style w:type="character" w:styleId="Hyperlink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semiHidden/>
    <w:unhideWhenUsed/>
    <w:rPr>
      <w:color w:val="800080"/>
      <w:u w:val="single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unhideWhenUsed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unhideWhenUsed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unhideWhenUsed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unhideWhenUsed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unhideWhenUsed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  <w:style w:type="paragraph" w:styleId="CommentText">
    <w:name w:val="annotation text"/>
    <w:basedOn w:val="Normal"/>
    <w:link w:val="Comment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lang w:eastAsia="en-US"/>
    </w:rPr>
  </w:style>
  <w:style w:type="paragraph" w:styleId="ListBullet">
    <w:name w:val="List Bullet"/>
    <w:basedOn w:val="Normal"/>
    <w:semiHidden/>
    <w:unhideWhenUsed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Number">
    <w:name w:val="List Number"/>
    <w:basedOn w:val="Normal"/>
    <w:unhideWhenUsed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Bullet2">
    <w:name w:val="List Bullet 2"/>
    <w:basedOn w:val="Normal"/>
    <w:semiHidden/>
    <w:unhideWhenUsed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Bullet3">
    <w:name w:val="List Bullet 3"/>
    <w:basedOn w:val="Normal"/>
    <w:semiHidden/>
    <w:unhideWhenUsed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Bullet4">
    <w:name w:val="List Bullet 4"/>
    <w:basedOn w:val="Normal"/>
    <w:semiHidden/>
    <w:unhideWhenUsed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Number2">
    <w:name w:val="List Number 2"/>
    <w:basedOn w:val="Normal"/>
    <w:semiHidden/>
    <w:unhideWhenUsed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Number3">
    <w:name w:val="List Number 3"/>
    <w:basedOn w:val="Normal"/>
    <w:semiHidden/>
    <w:unhideWhenUsed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Number4">
    <w:name w:val="List Number 4"/>
    <w:basedOn w:val="Normal"/>
    <w:semiHidden/>
    <w:unhideWhenUsed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  <w:lang w:eastAsia="de-DE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eastAsia="de-DE"/>
    </w:rPr>
  </w:style>
  <w:style w:type="paragraph" w:styleId="BalloonText">
    <w:name w:val="Balloon Text"/>
    <w:basedOn w:val="Normal"/>
    <w:link w:val="BalloonTextChar"/>
    <w:semiHidden/>
    <w:unhideWhenUsed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eastAsia="de-DE"/>
    </w:rPr>
  </w:style>
  <w:style w:type="paragraph" w:styleId="Revision">
    <w:name w:val="Revision"/>
    <w:uiPriority w:val="99"/>
    <w:semiHidden/>
    <w:rPr>
      <w:sz w:val="24"/>
      <w:szCs w:val="24"/>
      <w:lang w:eastAsia="en-US"/>
    </w:rPr>
  </w:style>
  <w:style w:type="paragraph" w:styleId="TOCHeading">
    <w:name w:val="TOC Heading"/>
    <w:basedOn w:val="Normal"/>
    <w:next w:val="Normal"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/>
      <w:sz w:val="24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Point0number">
    <w:name w:val="Point 0 (number)"/>
    <w:basedOn w:val="Normal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2">
    <w:name w:val="Bullet 2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3">
    <w:name w:val="Bullet 3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4">
    <w:name w:val="Bullet 4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/>
      <w:i/>
      <w:sz w:val="24"/>
      <w:szCs w:val="24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/>
      <w:i/>
      <w:sz w:val="24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TypedudocumentPagedecouverture">
    <w:name w:val="Type du document (Page de couverture)"/>
    <w:basedOn w:val="Normal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  <w:jc w:val="both"/>
    </w:pPr>
    <w:rPr>
      <w:rFonts w:ascii="Times New Roman" w:eastAsia="Times New Roman" w:hAnsi="Times New Roman"/>
      <w:i/>
      <w:sz w:val="32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Considrant">
    <w:name w:val="Considérant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/>
      <w:sz w:val="24"/>
      <w:szCs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/>
      <w:i/>
      <w:sz w:val="24"/>
      <w:szCs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/>
      <w:b/>
      <w:caps/>
      <w:sz w:val="24"/>
      <w:szCs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/>
      <w:sz w:val="24"/>
      <w:szCs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/>
      <w:i/>
      <w:caps/>
      <w:sz w:val="24"/>
      <w:szCs w:val="24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/>
      <w:b/>
      <w:i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istBullet1">
    <w:name w:val="List Bullet 1"/>
    <w:basedOn w:val="Normal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Dash">
    <w:name w:val="List Dash"/>
    <w:basedOn w:val="Normal"/>
    <w:pPr>
      <w:numPr>
        <w:numId w:val="2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Dash1">
    <w:name w:val="List Dash 1"/>
    <w:basedOn w:val="Normal"/>
    <w:pPr>
      <w:numPr>
        <w:numId w:val="2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Dash2">
    <w:name w:val="List Dash 2"/>
    <w:basedOn w:val="Normal"/>
    <w:pPr>
      <w:numPr>
        <w:numId w:val="2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Dash3">
    <w:name w:val="List Dash 3"/>
    <w:basedOn w:val="Normal"/>
    <w:pPr>
      <w:numPr>
        <w:numId w:val="2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Dash4">
    <w:name w:val="List Dash 4"/>
    <w:basedOn w:val="Normal"/>
    <w:pPr>
      <w:numPr>
        <w:numId w:val="2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Number1">
    <w:name w:val="List Number 1"/>
    <w:basedOn w:val="Text1"/>
    <w:pPr>
      <w:numPr>
        <w:numId w:val="29"/>
      </w:numPr>
    </w:pPr>
    <w:rPr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Number1Level2">
    <w:name w:val="List Number 1 (Level 2)"/>
    <w:basedOn w:val="Text1"/>
    <w:pPr>
      <w:numPr>
        <w:ilvl w:val="1"/>
        <w:numId w:val="29"/>
      </w:numPr>
    </w:pPr>
    <w:rPr>
      <w:lang w:eastAsia="de-DE"/>
    </w:rPr>
  </w:style>
  <w:style w:type="paragraph" w:customStyle="1" w:styleId="ListNumber2Level2">
    <w:name w:val="List Number 2 (Level 2)"/>
    <w:basedOn w:val="Text2"/>
    <w:pPr>
      <w:numPr>
        <w:ilvl w:val="1"/>
        <w:numId w:val="7"/>
      </w:numPr>
    </w:pPr>
    <w:rPr>
      <w:lang w:eastAsia="de-DE"/>
    </w:rPr>
  </w:style>
  <w:style w:type="paragraph" w:customStyle="1" w:styleId="ListNumber3Level2">
    <w:name w:val="List Number 3 (Level 2)"/>
    <w:basedOn w:val="Text3"/>
    <w:pPr>
      <w:numPr>
        <w:ilvl w:val="1"/>
        <w:numId w:val="8"/>
      </w:numPr>
    </w:pPr>
    <w:rPr>
      <w:lang w:eastAsia="de-DE"/>
    </w:rPr>
  </w:style>
  <w:style w:type="paragraph" w:customStyle="1" w:styleId="ListNumber4Level2">
    <w:name w:val="List Number 4 (Level 2)"/>
    <w:basedOn w:val="Text4"/>
    <w:pPr>
      <w:numPr>
        <w:ilvl w:val="1"/>
        <w:numId w:val="9"/>
      </w:numPr>
    </w:pPr>
    <w:rPr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Number1Level3">
    <w:name w:val="List Number 1 (Level 3)"/>
    <w:basedOn w:val="Text1"/>
    <w:pPr>
      <w:numPr>
        <w:ilvl w:val="2"/>
        <w:numId w:val="29"/>
      </w:numPr>
    </w:pPr>
    <w:rPr>
      <w:lang w:eastAsia="de-DE"/>
    </w:rPr>
  </w:style>
  <w:style w:type="paragraph" w:customStyle="1" w:styleId="ListNumber2Level3">
    <w:name w:val="List Number 2 (Level 3)"/>
    <w:basedOn w:val="Text2"/>
    <w:pPr>
      <w:numPr>
        <w:ilvl w:val="2"/>
        <w:numId w:val="7"/>
      </w:numPr>
    </w:pPr>
    <w:rPr>
      <w:lang w:eastAsia="de-DE"/>
    </w:rPr>
  </w:style>
  <w:style w:type="paragraph" w:customStyle="1" w:styleId="ListNumber3Level3">
    <w:name w:val="List Number 3 (Level 3)"/>
    <w:basedOn w:val="Text3"/>
    <w:pPr>
      <w:numPr>
        <w:ilvl w:val="2"/>
        <w:numId w:val="8"/>
      </w:numPr>
    </w:pPr>
    <w:rPr>
      <w:lang w:eastAsia="de-DE"/>
    </w:rPr>
  </w:style>
  <w:style w:type="paragraph" w:customStyle="1" w:styleId="ListNumber4Level3">
    <w:name w:val="List Number 4 (Level 3)"/>
    <w:basedOn w:val="Text4"/>
    <w:pPr>
      <w:numPr>
        <w:ilvl w:val="2"/>
        <w:numId w:val="9"/>
      </w:numPr>
    </w:pPr>
    <w:rPr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Number1Level4">
    <w:name w:val="List Number 1 (Level 4)"/>
    <w:basedOn w:val="Text1"/>
    <w:pPr>
      <w:numPr>
        <w:ilvl w:val="3"/>
        <w:numId w:val="29"/>
      </w:numPr>
    </w:pPr>
    <w:rPr>
      <w:lang w:eastAsia="de-DE"/>
    </w:rPr>
  </w:style>
  <w:style w:type="paragraph" w:customStyle="1" w:styleId="ListNumber2Level4">
    <w:name w:val="List Number 2 (Level 4)"/>
    <w:basedOn w:val="Text2"/>
    <w:pPr>
      <w:numPr>
        <w:ilvl w:val="3"/>
        <w:numId w:val="7"/>
      </w:numPr>
    </w:pPr>
    <w:rPr>
      <w:lang w:eastAsia="de-DE"/>
    </w:rPr>
  </w:style>
  <w:style w:type="paragraph" w:customStyle="1" w:styleId="ListNumber3Level4">
    <w:name w:val="List Number 3 (Level 4)"/>
    <w:basedOn w:val="Text3"/>
    <w:pPr>
      <w:numPr>
        <w:ilvl w:val="3"/>
        <w:numId w:val="8"/>
      </w:numPr>
    </w:pPr>
    <w:rPr>
      <w:lang w:eastAsia="de-DE"/>
    </w:rPr>
  </w:style>
  <w:style w:type="paragraph" w:customStyle="1" w:styleId="ListNumber4Level4">
    <w:name w:val="List Number 4 (Level 4)"/>
    <w:basedOn w:val="Text4"/>
    <w:pPr>
      <w:numPr>
        <w:ilvl w:val="3"/>
        <w:numId w:val="9"/>
      </w:numPr>
    </w:pPr>
    <w:rPr>
      <w:lang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Sous-titreobjetprliminaire">
    <w:name w:val="Sous-titre objet (préliminaire)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de-DE"/>
    </w:rPr>
  </w:style>
  <w:style w:type="paragraph" w:customStyle="1" w:styleId="Statutprliminaire">
    <w:name w:val="Statu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de-DE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de-DE"/>
    </w:rPr>
  </w:style>
  <w:style w:type="paragraph" w:customStyle="1" w:styleId="c19marge1">
    <w:name w:val="c19marge1"/>
    <w:basedOn w:val="Normal"/>
    <w:pPr>
      <w:spacing w:after="240" w:line="240" w:lineRule="auto"/>
      <w:ind w:left="1247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08dispositif">
    <w:name w:val="c08dispositif"/>
    <w:basedOn w:val="Normal"/>
    <w:pPr>
      <w:spacing w:before="100" w:beforeAutospacing="1" w:after="240" w:line="240" w:lineRule="auto"/>
      <w:ind w:left="1134" w:hanging="567"/>
      <w:jc w:val="both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FooterCoverPageChar">
    <w:name w:val="Footer Cover Page Char"/>
    <w:link w:val="FooterCoverPage"/>
    <w:locked/>
    <w:rPr>
      <w:rFonts w:eastAsia="Calibri"/>
      <w:sz w:val="24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locked/>
    <w:rPr>
      <w:rFonts w:eastAsia="Calibr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styleId="CommentReference">
    <w:name w:val="annotation reference"/>
    <w:semiHidden/>
    <w:unhideWhenUsed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semiHidden/>
    <w:unhideWhenUsed/>
    <w:rPr>
      <w:vertAlign w:val="superscript"/>
    </w:rPr>
  </w:style>
  <w:style w:type="character" w:customStyle="1" w:styleId="Marker">
    <w:name w:val="Marker"/>
    <w:rPr>
      <w:color w:val="0000FF"/>
    </w:rPr>
  </w:style>
  <w:style w:type="character" w:customStyle="1" w:styleId="Marker1">
    <w:name w:val="Marker1"/>
    <w:rPr>
      <w:color w:val="008000"/>
    </w:rPr>
  </w:style>
  <w:style w:type="character" w:customStyle="1" w:styleId="Marker2">
    <w:name w:val="Marker2"/>
    <w:rPr>
      <w:color w:val="FF0000"/>
    </w:rPr>
  </w:style>
  <w:style w:type="character" w:customStyle="1" w:styleId="Added">
    <w:name w:val="Added"/>
    <w:rPr>
      <w:b/>
      <w:bCs w:val="0"/>
      <w:u w:val="single"/>
    </w:rPr>
  </w:style>
  <w:style w:type="character" w:customStyle="1" w:styleId="Deleted">
    <w:name w:val="Deleted"/>
    <w:rPr>
      <w:strike/>
    </w:rPr>
  </w:style>
  <w:style w:type="table" w:styleId="TableGrid">
    <w:name w:val="Table Grid"/>
    <w:basedOn w:val="TableNormal"/>
    <w:pPr>
      <w:spacing w:before="120" w:after="12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eastAsiaTheme="minorHAnsi" w:hAnsi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bCs/>
      <w:smallCap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Pr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Pr>
      <w:bCs/>
      <w:i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Pr>
      <w:bCs/>
      <w:sz w:val="24"/>
      <w:szCs w:val="28"/>
      <w:lang w:eastAsia="en-US"/>
    </w:rPr>
  </w:style>
  <w:style w:type="character" w:styleId="Hyperlink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semiHidden/>
    <w:unhideWhenUsed/>
    <w:rPr>
      <w:color w:val="800080"/>
      <w:u w:val="single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unhideWhenUsed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unhideWhenUsed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unhideWhenUsed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unhideWhenUsed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unhideWhenUsed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  <w:style w:type="paragraph" w:styleId="CommentText">
    <w:name w:val="annotation text"/>
    <w:basedOn w:val="Normal"/>
    <w:link w:val="Comment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lang w:eastAsia="en-US"/>
    </w:rPr>
  </w:style>
  <w:style w:type="paragraph" w:styleId="ListBullet">
    <w:name w:val="List Bullet"/>
    <w:basedOn w:val="Normal"/>
    <w:semiHidden/>
    <w:unhideWhenUsed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Number">
    <w:name w:val="List Number"/>
    <w:basedOn w:val="Normal"/>
    <w:unhideWhenUsed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Bullet2">
    <w:name w:val="List Bullet 2"/>
    <w:basedOn w:val="Normal"/>
    <w:semiHidden/>
    <w:unhideWhenUsed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Bullet3">
    <w:name w:val="List Bullet 3"/>
    <w:basedOn w:val="Normal"/>
    <w:semiHidden/>
    <w:unhideWhenUsed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Bullet4">
    <w:name w:val="List Bullet 4"/>
    <w:basedOn w:val="Normal"/>
    <w:semiHidden/>
    <w:unhideWhenUsed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Number2">
    <w:name w:val="List Number 2"/>
    <w:basedOn w:val="Normal"/>
    <w:semiHidden/>
    <w:unhideWhenUsed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Number3">
    <w:name w:val="List Number 3"/>
    <w:basedOn w:val="Normal"/>
    <w:semiHidden/>
    <w:unhideWhenUsed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Number4">
    <w:name w:val="List Number 4"/>
    <w:basedOn w:val="Normal"/>
    <w:semiHidden/>
    <w:unhideWhenUsed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  <w:lang w:eastAsia="de-DE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eastAsia="de-DE"/>
    </w:rPr>
  </w:style>
  <w:style w:type="paragraph" w:styleId="BalloonText">
    <w:name w:val="Balloon Text"/>
    <w:basedOn w:val="Normal"/>
    <w:link w:val="BalloonTextChar"/>
    <w:semiHidden/>
    <w:unhideWhenUsed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eastAsia="de-DE"/>
    </w:rPr>
  </w:style>
  <w:style w:type="paragraph" w:styleId="Revision">
    <w:name w:val="Revision"/>
    <w:uiPriority w:val="99"/>
    <w:semiHidden/>
    <w:rPr>
      <w:sz w:val="24"/>
      <w:szCs w:val="24"/>
      <w:lang w:eastAsia="en-US"/>
    </w:rPr>
  </w:style>
  <w:style w:type="paragraph" w:styleId="TOCHeading">
    <w:name w:val="TOC Heading"/>
    <w:basedOn w:val="Normal"/>
    <w:next w:val="Normal"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/>
      <w:sz w:val="24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Point0number">
    <w:name w:val="Point 0 (number)"/>
    <w:basedOn w:val="Normal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2">
    <w:name w:val="Bullet 2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3">
    <w:name w:val="Bullet 3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4">
    <w:name w:val="Bullet 4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/>
      <w:i/>
      <w:sz w:val="24"/>
      <w:szCs w:val="24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/>
      <w:i/>
      <w:sz w:val="24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TypedudocumentPagedecouverture">
    <w:name w:val="Type du document (Page de couverture)"/>
    <w:basedOn w:val="Normal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  <w:jc w:val="both"/>
    </w:pPr>
    <w:rPr>
      <w:rFonts w:ascii="Times New Roman" w:eastAsia="Times New Roman" w:hAnsi="Times New Roman"/>
      <w:i/>
      <w:sz w:val="32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Considrant">
    <w:name w:val="Considérant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/>
      <w:sz w:val="24"/>
      <w:szCs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/>
      <w:i/>
      <w:sz w:val="24"/>
      <w:szCs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/>
      <w:b/>
      <w:caps/>
      <w:sz w:val="24"/>
      <w:szCs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/>
      <w:sz w:val="24"/>
      <w:szCs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/>
      <w:i/>
      <w:caps/>
      <w:sz w:val="24"/>
      <w:szCs w:val="24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/>
      <w:b/>
      <w:i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istBullet1">
    <w:name w:val="List Bullet 1"/>
    <w:basedOn w:val="Normal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Dash">
    <w:name w:val="List Dash"/>
    <w:basedOn w:val="Normal"/>
    <w:pPr>
      <w:numPr>
        <w:numId w:val="2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Dash1">
    <w:name w:val="List Dash 1"/>
    <w:basedOn w:val="Normal"/>
    <w:pPr>
      <w:numPr>
        <w:numId w:val="2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Dash2">
    <w:name w:val="List Dash 2"/>
    <w:basedOn w:val="Normal"/>
    <w:pPr>
      <w:numPr>
        <w:numId w:val="2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Dash3">
    <w:name w:val="List Dash 3"/>
    <w:basedOn w:val="Normal"/>
    <w:pPr>
      <w:numPr>
        <w:numId w:val="2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Dash4">
    <w:name w:val="List Dash 4"/>
    <w:basedOn w:val="Normal"/>
    <w:pPr>
      <w:numPr>
        <w:numId w:val="2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Number1">
    <w:name w:val="List Number 1"/>
    <w:basedOn w:val="Text1"/>
    <w:pPr>
      <w:numPr>
        <w:numId w:val="29"/>
      </w:numPr>
    </w:pPr>
    <w:rPr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Number1Level2">
    <w:name w:val="List Number 1 (Level 2)"/>
    <w:basedOn w:val="Text1"/>
    <w:pPr>
      <w:numPr>
        <w:ilvl w:val="1"/>
        <w:numId w:val="29"/>
      </w:numPr>
    </w:pPr>
    <w:rPr>
      <w:lang w:eastAsia="de-DE"/>
    </w:rPr>
  </w:style>
  <w:style w:type="paragraph" w:customStyle="1" w:styleId="ListNumber2Level2">
    <w:name w:val="List Number 2 (Level 2)"/>
    <w:basedOn w:val="Text2"/>
    <w:pPr>
      <w:numPr>
        <w:ilvl w:val="1"/>
        <w:numId w:val="7"/>
      </w:numPr>
    </w:pPr>
    <w:rPr>
      <w:lang w:eastAsia="de-DE"/>
    </w:rPr>
  </w:style>
  <w:style w:type="paragraph" w:customStyle="1" w:styleId="ListNumber3Level2">
    <w:name w:val="List Number 3 (Level 2)"/>
    <w:basedOn w:val="Text3"/>
    <w:pPr>
      <w:numPr>
        <w:ilvl w:val="1"/>
        <w:numId w:val="8"/>
      </w:numPr>
    </w:pPr>
    <w:rPr>
      <w:lang w:eastAsia="de-DE"/>
    </w:rPr>
  </w:style>
  <w:style w:type="paragraph" w:customStyle="1" w:styleId="ListNumber4Level2">
    <w:name w:val="List Number 4 (Level 2)"/>
    <w:basedOn w:val="Text4"/>
    <w:pPr>
      <w:numPr>
        <w:ilvl w:val="1"/>
        <w:numId w:val="9"/>
      </w:numPr>
    </w:pPr>
    <w:rPr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Number1Level3">
    <w:name w:val="List Number 1 (Level 3)"/>
    <w:basedOn w:val="Text1"/>
    <w:pPr>
      <w:numPr>
        <w:ilvl w:val="2"/>
        <w:numId w:val="29"/>
      </w:numPr>
    </w:pPr>
    <w:rPr>
      <w:lang w:eastAsia="de-DE"/>
    </w:rPr>
  </w:style>
  <w:style w:type="paragraph" w:customStyle="1" w:styleId="ListNumber2Level3">
    <w:name w:val="List Number 2 (Level 3)"/>
    <w:basedOn w:val="Text2"/>
    <w:pPr>
      <w:numPr>
        <w:ilvl w:val="2"/>
        <w:numId w:val="7"/>
      </w:numPr>
    </w:pPr>
    <w:rPr>
      <w:lang w:eastAsia="de-DE"/>
    </w:rPr>
  </w:style>
  <w:style w:type="paragraph" w:customStyle="1" w:styleId="ListNumber3Level3">
    <w:name w:val="List Number 3 (Level 3)"/>
    <w:basedOn w:val="Text3"/>
    <w:pPr>
      <w:numPr>
        <w:ilvl w:val="2"/>
        <w:numId w:val="8"/>
      </w:numPr>
    </w:pPr>
    <w:rPr>
      <w:lang w:eastAsia="de-DE"/>
    </w:rPr>
  </w:style>
  <w:style w:type="paragraph" w:customStyle="1" w:styleId="ListNumber4Level3">
    <w:name w:val="List Number 4 (Level 3)"/>
    <w:basedOn w:val="Text4"/>
    <w:pPr>
      <w:numPr>
        <w:ilvl w:val="2"/>
        <w:numId w:val="9"/>
      </w:numPr>
    </w:pPr>
    <w:rPr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Number1Level4">
    <w:name w:val="List Number 1 (Level 4)"/>
    <w:basedOn w:val="Text1"/>
    <w:pPr>
      <w:numPr>
        <w:ilvl w:val="3"/>
        <w:numId w:val="29"/>
      </w:numPr>
    </w:pPr>
    <w:rPr>
      <w:lang w:eastAsia="de-DE"/>
    </w:rPr>
  </w:style>
  <w:style w:type="paragraph" w:customStyle="1" w:styleId="ListNumber2Level4">
    <w:name w:val="List Number 2 (Level 4)"/>
    <w:basedOn w:val="Text2"/>
    <w:pPr>
      <w:numPr>
        <w:ilvl w:val="3"/>
        <w:numId w:val="7"/>
      </w:numPr>
    </w:pPr>
    <w:rPr>
      <w:lang w:eastAsia="de-DE"/>
    </w:rPr>
  </w:style>
  <w:style w:type="paragraph" w:customStyle="1" w:styleId="ListNumber3Level4">
    <w:name w:val="List Number 3 (Level 4)"/>
    <w:basedOn w:val="Text3"/>
    <w:pPr>
      <w:numPr>
        <w:ilvl w:val="3"/>
        <w:numId w:val="8"/>
      </w:numPr>
    </w:pPr>
    <w:rPr>
      <w:lang w:eastAsia="de-DE"/>
    </w:rPr>
  </w:style>
  <w:style w:type="paragraph" w:customStyle="1" w:styleId="ListNumber4Level4">
    <w:name w:val="List Number 4 (Level 4)"/>
    <w:basedOn w:val="Text4"/>
    <w:pPr>
      <w:numPr>
        <w:ilvl w:val="3"/>
        <w:numId w:val="9"/>
      </w:numPr>
    </w:pPr>
    <w:rPr>
      <w:lang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Sous-titreobjetprliminaire">
    <w:name w:val="Sous-titre objet (préliminaire)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de-DE"/>
    </w:rPr>
  </w:style>
  <w:style w:type="paragraph" w:customStyle="1" w:styleId="Statutprliminaire">
    <w:name w:val="Statu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de-DE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de-DE"/>
    </w:rPr>
  </w:style>
  <w:style w:type="paragraph" w:customStyle="1" w:styleId="c19marge1">
    <w:name w:val="c19marge1"/>
    <w:basedOn w:val="Normal"/>
    <w:pPr>
      <w:spacing w:after="240" w:line="240" w:lineRule="auto"/>
      <w:ind w:left="1247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08dispositif">
    <w:name w:val="c08dispositif"/>
    <w:basedOn w:val="Normal"/>
    <w:pPr>
      <w:spacing w:before="100" w:beforeAutospacing="1" w:after="240" w:line="240" w:lineRule="auto"/>
      <w:ind w:left="1134" w:hanging="567"/>
      <w:jc w:val="both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FooterCoverPageChar">
    <w:name w:val="Footer Cover Page Char"/>
    <w:link w:val="FooterCoverPage"/>
    <w:locked/>
    <w:rPr>
      <w:rFonts w:eastAsia="Calibri"/>
      <w:sz w:val="24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locked/>
    <w:rPr>
      <w:rFonts w:eastAsia="Calibr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styleId="CommentReference">
    <w:name w:val="annotation reference"/>
    <w:semiHidden/>
    <w:unhideWhenUsed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semiHidden/>
    <w:unhideWhenUsed/>
    <w:rPr>
      <w:vertAlign w:val="superscript"/>
    </w:rPr>
  </w:style>
  <w:style w:type="character" w:customStyle="1" w:styleId="Marker">
    <w:name w:val="Marker"/>
    <w:rPr>
      <w:color w:val="0000FF"/>
    </w:rPr>
  </w:style>
  <w:style w:type="character" w:customStyle="1" w:styleId="Marker1">
    <w:name w:val="Marker1"/>
    <w:rPr>
      <w:color w:val="008000"/>
    </w:rPr>
  </w:style>
  <w:style w:type="character" w:customStyle="1" w:styleId="Marker2">
    <w:name w:val="Marker2"/>
    <w:rPr>
      <w:color w:val="FF0000"/>
    </w:rPr>
  </w:style>
  <w:style w:type="character" w:customStyle="1" w:styleId="Added">
    <w:name w:val="Added"/>
    <w:rPr>
      <w:b/>
      <w:bCs w:val="0"/>
      <w:u w:val="single"/>
    </w:rPr>
  </w:style>
  <w:style w:type="character" w:customStyle="1" w:styleId="Deleted">
    <w:name w:val="Deleted"/>
    <w:rPr>
      <w:strike/>
    </w:rPr>
  </w:style>
  <w:style w:type="table" w:styleId="TableGrid">
    <w:name w:val="Table Grid"/>
    <w:basedOn w:val="TableNormal"/>
    <w:pPr>
      <w:spacing w:before="120" w:after="12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eastAsiaTheme="minorHAnsi" w:hAnsi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transparency/regexpert/index.cfm?Lang=BG" TargetMode="External"/><Relationship Id="rId1" Type="http://schemas.openxmlformats.org/officeDocument/2006/relationships/hyperlink" Target="https://ec.europa.eu/info/law/better-regulation/have-your-say_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0F38DDD-4478-4491-8375-1531FB99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2454</Words>
  <Characters>10801</Characters>
  <Application>Microsoft Office Word</Application>
  <DocSecurity>0</DocSecurity>
  <Lines>1080</Lines>
  <Paragraphs>1019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21</cp:revision>
  <cp:lastPrinted>2020-07-08T12:19:00Z</cp:lastPrinted>
  <dcterms:created xsi:type="dcterms:W3CDTF">2021-02-05T16:45:00Z</dcterms:created>
  <dcterms:modified xsi:type="dcterms:W3CDTF">2021-02-17T08:10:00Z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