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C7DE818-238B-44BF-9C9C-94E763825C17" style="width:450pt;height: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b w:val="0"/>
          <w:noProof/>
          <w:sz w:val="24"/>
        </w:rPr>
      </w:pPr>
      <w:bookmarkStart w:id="1" w:name="_GoBack"/>
      <w:bookmarkEnd w:id="1"/>
    </w:p>
    <w:p>
      <w:pPr>
        <w:pStyle w:val="Typedudocument"/>
        <w:rPr>
          <w:noProof/>
        </w:rPr>
      </w:pPr>
      <w:r>
        <w:rPr>
          <w:noProof/>
        </w:rPr>
        <w:t>COMMISSION STAFF WORKING DOCUMENT</w:t>
      </w:r>
    </w:p>
    <w:p>
      <w:pPr>
        <w:pStyle w:val="Accompagnant"/>
        <w:rPr>
          <w:noProof/>
        </w:rPr>
      </w:pPr>
      <w:r>
        <w:rPr>
          <w:noProof/>
        </w:rPr>
        <w:t>Accompanying the document</w:t>
      </w:r>
    </w:p>
    <w:p>
      <w:pPr>
        <w:pStyle w:val="Typeacteprincipal"/>
        <w:rPr>
          <w:noProof/>
        </w:rPr>
      </w:pPr>
      <w:r>
        <w:rPr>
          <w:noProof/>
        </w:rPr>
        <w:t>Report from the Commission to the European Parliament and the Council</w:t>
      </w:r>
    </w:p>
    <w:p>
      <w:pPr>
        <w:pStyle w:val="Objetacteprincipal"/>
        <w:rPr>
          <w:noProof/>
        </w:rPr>
      </w:pPr>
      <w:r>
        <w:rPr>
          <w:noProof/>
        </w:rPr>
        <w:t>on the working of committees during 2019</w:t>
      </w:r>
    </w:p>
    <w:p>
      <w:pPr>
        <w:pStyle w:val="TOC1"/>
        <w:rPr>
          <w:noProof/>
        </w:rPr>
      </w:pPr>
    </w:p>
    <w:p>
      <w:pPr>
        <w:rPr>
          <w:noProof/>
        </w:rPr>
      </w:pPr>
    </w:p>
    <w:p>
      <w:pPr>
        <w:pStyle w:val="TOC1"/>
        <w:jc w:val="center"/>
        <w:rPr>
          <w:b/>
          <w:noProof/>
          <w:u w:val="single"/>
        </w:rPr>
      </w:pPr>
      <w:r>
        <w:rPr>
          <w:b/>
          <w:noProof/>
          <w:u w:val="single"/>
        </w:rPr>
        <w:t>TABLE OF CONTENT</w:t>
      </w:r>
    </w:p>
    <w:p>
      <w:pPr>
        <w:pStyle w:val="TOC1"/>
        <w:rPr>
          <w:rFonts w:asciiTheme="minorHAnsi" w:eastAsiaTheme="minorEastAsia" w:hAnsiTheme="minorHAnsi" w:cstheme="minorBidi"/>
          <w:noProof/>
          <w:sz w:val="22"/>
          <w:szCs w:val="22"/>
          <w:lang w:val="fr-BE" w:eastAsia="fr-BE"/>
        </w:rPr>
      </w:pPr>
      <w:r>
        <w:rPr>
          <w:noProof/>
        </w:rPr>
        <w:fldChar w:fldCharType="begin"/>
      </w:r>
      <w:r>
        <w:rPr>
          <w:noProof/>
        </w:rPr>
        <w:instrText xml:space="preserve"> TOC \o "1-3" \h \z \u </w:instrText>
      </w:r>
      <w:r>
        <w:rPr>
          <w:noProof/>
        </w:rPr>
        <w:fldChar w:fldCharType="separate"/>
      </w:r>
      <w:hyperlink w:anchor="_Toc62746225" w:history="1">
        <w:r>
          <w:rPr>
            <w:rStyle w:val="Hyperlink"/>
            <w:noProof/>
          </w:rPr>
          <w:t>Agriculture and Rural Development (AGRI)</w:t>
        </w:r>
        <w:r>
          <w:rPr>
            <w:noProof/>
            <w:webHidden/>
          </w:rPr>
          <w:tab/>
        </w:r>
        <w:r>
          <w:rPr>
            <w:noProof/>
            <w:webHidden/>
          </w:rPr>
          <w:fldChar w:fldCharType="begin"/>
        </w:r>
        <w:r>
          <w:rPr>
            <w:noProof/>
            <w:webHidden/>
          </w:rPr>
          <w:instrText xml:space="preserve"> PAGEREF _Toc62746225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26" w:history="1">
        <w:r>
          <w:rPr>
            <w:rStyle w:val="Hyperlink"/>
            <w:noProof/>
          </w:rPr>
          <w:t>Budget (BUDG)</w:t>
        </w:r>
        <w:r>
          <w:rPr>
            <w:noProof/>
            <w:webHidden/>
          </w:rPr>
          <w:tab/>
        </w:r>
        <w:r>
          <w:rPr>
            <w:noProof/>
            <w:webHidden/>
          </w:rPr>
          <w:fldChar w:fldCharType="begin"/>
        </w:r>
        <w:r>
          <w:rPr>
            <w:noProof/>
            <w:webHidden/>
          </w:rPr>
          <w:instrText xml:space="preserve"> PAGEREF _Toc62746226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27" w:history="1">
        <w:r>
          <w:rPr>
            <w:rStyle w:val="Hyperlink"/>
            <w:noProof/>
          </w:rPr>
          <w:t>Climate Action (CLIMA)</w:t>
        </w:r>
        <w:r>
          <w:rPr>
            <w:noProof/>
            <w:webHidden/>
          </w:rPr>
          <w:tab/>
        </w:r>
        <w:r>
          <w:rPr>
            <w:noProof/>
            <w:webHidden/>
          </w:rPr>
          <w:fldChar w:fldCharType="begin"/>
        </w:r>
        <w:r>
          <w:rPr>
            <w:noProof/>
            <w:webHidden/>
          </w:rPr>
          <w:instrText xml:space="preserve"> PAGEREF _Toc62746227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28" w:history="1">
        <w:r>
          <w:rPr>
            <w:rStyle w:val="Hyperlink"/>
            <w:noProof/>
          </w:rPr>
          <w:t>Communications Networks, Content and Technology (CNECT)</w:t>
        </w:r>
        <w:r>
          <w:rPr>
            <w:noProof/>
            <w:webHidden/>
          </w:rPr>
          <w:tab/>
        </w:r>
        <w:r>
          <w:rPr>
            <w:noProof/>
            <w:webHidden/>
          </w:rPr>
          <w:fldChar w:fldCharType="begin"/>
        </w:r>
        <w:r>
          <w:rPr>
            <w:noProof/>
            <w:webHidden/>
          </w:rPr>
          <w:instrText xml:space="preserve"> PAGEREF _Toc62746228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29" w:history="1">
        <w:r>
          <w:rPr>
            <w:rStyle w:val="Hyperlink"/>
            <w:noProof/>
          </w:rPr>
          <w:t>Defence, Industry and Space (DEFIS)</w:t>
        </w:r>
        <w:r>
          <w:rPr>
            <w:noProof/>
            <w:webHidden/>
          </w:rPr>
          <w:tab/>
        </w:r>
        <w:r>
          <w:rPr>
            <w:noProof/>
            <w:webHidden/>
          </w:rPr>
          <w:fldChar w:fldCharType="begin"/>
        </w:r>
        <w:r>
          <w:rPr>
            <w:noProof/>
            <w:webHidden/>
          </w:rPr>
          <w:instrText xml:space="preserve"> PAGEREF _Toc62746229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30" w:history="1">
        <w:r>
          <w:rPr>
            <w:rStyle w:val="Hyperlink"/>
            <w:noProof/>
          </w:rPr>
          <w:t>International Cooperation and Development (DEVCO)</w:t>
        </w:r>
        <w:r>
          <w:rPr>
            <w:noProof/>
            <w:webHidden/>
          </w:rPr>
          <w:tab/>
        </w:r>
        <w:r>
          <w:rPr>
            <w:noProof/>
            <w:webHidden/>
          </w:rPr>
          <w:fldChar w:fldCharType="begin"/>
        </w:r>
        <w:r>
          <w:rPr>
            <w:noProof/>
            <w:webHidden/>
          </w:rPr>
          <w:instrText xml:space="preserve"> PAGEREF _Toc62746230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31" w:history="1">
        <w:r>
          <w:rPr>
            <w:rStyle w:val="Hyperlink"/>
            <w:noProof/>
          </w:rPr>
          <w:t>Informatics (DIGIT)</w:t>
        </w:r>
        <w:r>
          <w:rPr>
            <w:noProof/>
            <w:webHidden/>
          </w:rPr>
          <w:tab/>
        </w:r>
        <w:r>
          <w:rPr>
            <w:noProof/>
            <w:webHidden/>
          </w:rPr>
          <w:fldChar w:fldCharType="begin"/>
        </w:r>
        <w:r>
          <w:rPr>
            <w:noProof/>
            <w:webHidden/>
          </w:rPr>
          <w:instrText xml:space="preserve"> PAGEREF _Toc62746231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32" w:history="1">
        <w:r>
          <w:rPr>
            <w:rStyle w:val="Hyperlink"/>
            <w:noProof/>
          </w:rPr>
          <w:t>Education and Culture (EAC)</w:t>
        </w:r>
        <w:r>
          <w:rPr>
            <w:noProof/>
            <w:webHidden/>
          </w:rPr>
          <w:tab/>
        </w:r>
        <w:r>
          <w:rPr>
            <w:noProof/>
            <w:webHidden/>
          </w:rPr>
          <w:fldChar w:fldCharType="begin"/>
        </w:r>
        <w:r>
          <w:rPr>
            <w:noProof/>
            <w:webHidden/>
          </w:rPr>
          <w:instrText xml:space="preserve"> PAGEREF _Toc62746232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33" w:history="1">
        <w:r>
          <w:rPr>
            <w:rStyle w:val="Hyperlink"/>
            <w:noProof/>
          </w:rPr>
          <w:t>Economic and Financial Affairs (ECFIN)</w:t>
        </w:r>
        <w:r>
          <w:rPr>
            <w:noProof/>
            <w:webHidden/>
          </w:rPr>
          <w:tab/>
        </w:r>
        <w:r>
          <w:rPr>
            <w:noProof/>
            <w:webHidden/>
          </w:rPr>
          <w:fldChar w:fldCharType="begin"/>
        </w:r>
        <w:r>
          <w:rPr>
            <w:noProof/>
            <w:webHidden/>
          </w:rPr>
          <w:instrText xml:space="preserve"> PAGEREF _Toc62746233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34" w:history="1">
        <w:r>
          <w:rPr>
            <w:rStyle w:val="Hyperlink"/>
            <w:noProof/>
          </w:rPr>
          <w:t>Humanitarian Aid and Civil Protection (ECHO)</w:t>
        </w:r>
        <w:r>
          <w:rPr>
            <w:noProof/>
            <w:webHidden/>
          </w:rPr>
          <w:tab/>
        </w:r>
        <w:r>
          <w:rPr>
            <w:noProof/>
            <w:webHidden/>
          </w:rPr>
          <w:fldChar w:fldCharType="begin"/>
        </w:r>
        <w:r>
          <w:rPr>
            <w:noProof/>
            <w:webHidden/>
          </w:rPr>
          <w:instrText xml:space="preserve"> PAGEREF _Toc62746234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35" w:history="1">
        <w:r>
          <w:rPr>
            <w:rStyle w:val="Hyperlink"/>
            <w:noProof/>
          </w:rPr>
          <w:t>Employment, Social Affairs and Inclusion (EMPL)</w:t>
        </w:r>
        <w:r>
          <w:rPr>
            <w:noProof/>
            <w:webHidden/>
          </w:rPr>
          <w:tab/>
        </w:r>
        <w:r>
          <w:rPr>
            <w:noProof/>
            <w:webHidden/>
          </w:rPr>
          <w:fldChar w:fldCharType="begin"/>
        </w:r>
        <w:r>
          <w:rPr>
            <w:noProof/>
            <w:webHidden/>
          </w:rPr>
          <w:instrText xml:space="preserve"> PAGEREF _Toc62746235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36" w:history="1">
        <w:r>
          <w:rPr>
            <w:rStyle w:val="Hyperlink"/>
            <w:noProof/>
          </w:rPr>
          <w:t>Energy (ENER)</w:t>
        </w:r>
        <w:r>
          <w:rPr>
            <w:noProof/>
            <w:webHidden/>
          </w:rPr>
          <w:tab/>
        </w:r>
        <w:r>
          <w:rPr>
            <w:noProof/>
            <w:webHidden/>
          </w:rPr>
          <w:fldChar w:fldCharType="begin"/>
        </w:r>
        <w:r>
          <w:rPr>
            <w:noProof/>
            <w:webHidden/>
          </w:rPr>
          <w:instrText xml:space="preserve"> PAGEREF _Toc62746236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37" w:history="1">
        <w:r>
          <w:rPr>
            <w:rStyle w:val="Hyperlink"/>
            <w:noProof/>
          </w:rPr>
          <w:t>Environment (ENV)</w:t>
        </w:r>
        <w:r>
          <w:rPr>
            <w:noProof/>
            <w:webHidden/>
          </w:rPr>
          <w:tab/>
        </w:r>
        <w:r>
          <w:rPr>
            <w:noProof/>
            <w:webHidden/>
          </w:rPr>
          <w:fldChar w:fldCharType="begin"/>
        </w:r>
        <w:r>
          <w:rPr>
            <w:noProof/>
            <w:webHidden/>
          </w:rPr>
          <w:instrText xml:space="preserve"> PAGEREF _Toc62746237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38" w:history="1">
        <w:r>
          <w:rPr>
            <w:rStyle w:val="Hyperlink"/>
            <w:noProof/>
          </w:rPr>
          <w:t>Eurostat (ESTAT)</w:t>
        </w:r>
        <w:r>
          <w:rPr>
            <w:noProof/>
            <w:webHidden/>
          </w:rPr>
          <w:tab/>
        </w:r>
        <w:r>
          <w:rPr>
            <w:noProof/>
            <w:webHidden/>
          </w:rPr>
          <w:fldChar w:fldCharType="begin"/>
        </w:r>
        <w:r>
          <w:rPr>
            <w:noProof/>
            <w:webHidden/>
          </w:rPr>
          <w:instrText xml:space="preserve"> PAGEREF _Toc62746238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39" w:history="1">
        <w:r>
          <w:rPr>
            <w:rStyle w:val="Hyperlink"/>
            <w:noProof/>
          </w:rPr>
          <w:t>Financial Stability, Financial Services and Capital Markets Union (FISMA)</w:t>
        </w:r>
        <w:r>
          <w:rPr>
            <w:noProof/>
            <w:webHidden/>
          </w:rPr>
          <w:tab/>
        </w:r>
        <w:r>
          <w:rPr>
            <w:noProof/>
            <w:webHidden/>
          </w:rPr>
          <w:fldChar w:fldCharType="begin"/>
        </w:r>
        <w:r>
          <w:rPr>
            <w:noProof/>
            <w:webHidden/>
          </w:rPr>
          <w:instrText xml:space="preserve"> PAGEREF _Toc62746239 \h </w:instrText>
        </w:r>
        <w:r>
          <w:rPr>
            <w:noProof/>
            <w:webHidden/>
          </w:rPr>
        </w:r>
        <w:r>
          <w:rPr>
            <w:noProof/>
            <w:webHidden/>
          </w:rPr>
          <w:fldChar w:fldCharType="separate"/>
        </w:r>
        <w:r>
          <w:rPr>
            <w:noProof/>
            <w:webHidden/>
          </w:rPr>
          <w:t>35</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40" w:history="1">
        <w:r>
          <w:rPr>
            <w:rStyle w:val="Hyperlink"/>
            <w:noProof/>
          </w:rPr>
          <w:t>Service for Foreign Policy Instruments (FPI)</w:t>
        </w:r>
        <w:r>
          <w:rPr>
            <w:noProof/>
            <w:webHidden/>
          </w:rPr>
          <w:tab/>
        </w:r>
        <w:r>
          <w:rPr>
            <w:noProof/>
            <w:webHidden/>
          </w:rPr>
          <w:fldChar w:fldCharType="begin"/>
        </w:r>
        <w:r>
          <w:rPr>
            <w:noProof/>
            <w:webHidden/>
          </w:rPr>
          <w:instrText xml:space="preserve"> PAGEREF _Toc62746240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41" w:history="1">
        <w:r>
          <w:rPr>
            <w:rStyle w:val="Hyperlink"/>
            <w:noProof/>
          </w:rPr>
          <w:t>Internal Market, Industry, Entrepreneurship and SMEs (GROW)</w:t>
        </w:r>
        <w:r>
          <w:rPr>
            <w:noProof/>
            <w:webHidden/>
          </w:rPr>
          <w:tab/>
        </w:r>
        <w:r>
          <w:rPr>
            <w:noProof/>
            <w:webHidden/>
          </w:rPr>
          <w:fldChar w:fldCharType="begin"/>
        </w:r>
        <w:r>
          <w:rPr>
            <w:noProof/>
            <w:webHidden/>
          </w:rPr>
          <w:instrText xml:space="preserve"> PAGEREF _Toc62746241 \h </w:instrText>
        </w:r>
        <w:r>
          <w:rPr>
            <w:noProof/>
            <w:webHidden/>
          </w:rPr>
        </w:r>
        <w:r>
          <w:rPr>
            <w:noProof/>
            <w:webHidden/>
          </w:rPr>
          <w:fldChar w:fldCharType="separate"/>
        </w:r>
        <w:r>
          <w:rPr>
            <w:noProof/>
            <w:webHidden/>
          </w:rPr>
          <w:t>38</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42" w:history="1">
        <w:r>
          <w:rPr>
            <w:rStyle w:val="Hyperlink"/>
            <w:noProof/>
          </w:rPr>
          <w:t>Migration and Home Affairs (HOME)</w:t>
        </w:r>
        <w:r>
          <w:rPr>
            <w:noProof/>
            <w:webHidden/>
          </w:rPr>
          <w:tab/>
        </w:r>
        <w:r>
          <w:rPr>
            <w:noProof/>
            <w:webHidden/>
          </w:rPr>
          <w:fldChar w:fldCharType="begin"/>
        </w:r>
        <w:r>
          <w:rPr>
            <w:noProof/>
            <w:webHidden/>
          </w:rPr>
          <w:instrText xml:space="preserve"> PAGEREF _Toc62746242 \h </w:instrText>
        </w:r>
        <w:r>
          <w:rPr>
            <w:noProof/>
            <w:webHidden/>
          </w:rPr>
        </w:r>
        <w:r>
          <w:rPr>
            <w:noProof/>
            <w:webHidden/>
          </w:rPr>
          <w:fldChar w:fldCharType="separate"/>
        </w:r>
        <w:r>
          <w:rPr>
            <w:noProof/>
            <w:webHidden/>
          </w:rPr>
          <w:t>44</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43" w:history="1">
        <w:r>
          <w:rPr>
            <w:rStyle w:val="Hyperlink"/>
            <w:noProof/>
          </w:rPr>
          <w:t>Justice and Consumers (JUST)</w:t>
        </w:r>
        <w:r>
          <w:rPr>
            <w:noProof/>
            <w:webHidden/>
          </w:rPr>
          <w:tab/>
        </w:r>
        <w:r>
          <w:rPr>
            <w:noProof/>
            <w:webHidden/>
          </w:rPr>
          <w:fldChar w:fldCharType="begin"/>
        </w:r>
        <w:r>
          <w:rPr>
            <w:noProof/>
            <w:webHidden/>
          </w:rPr>
          <w:instrText xml:space="preserve"> PAGEREF _Toc62746243 \h </w:instrText>
        </w:r>
        <w:r>
          <w:rPr>
            <w:noProof/>
            <w:webHidden/>
          </w:rPr>
        </w:r>
        <w:r>
          <w:rPr>
            <w:noProof/>
            <w:webHidden/>
          </w:rPr>
          <w:fldChar w:fldCharType="separate"/>
        </w:r>
        <w:r>
          <w:rPr>
            <w:noProof/>
            <w:webHidden/>
          </w:rPr>
          <w:t>47</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44" w:history="1">
        <w:r>
          <w:rPr>
            <w:rStyle w:val="Hyperlink"/>
            <w:noProof/>
          </w:rPr>
          <w:t>Maritime Affairs and Fisheries (MARE)</w:t>
        </w:r>
        <w:r>
          <w:rPr>
            <w:noProof/>
            <w:webHidden/>
          </w:rPr>
          <w:tab/>
        </w:r>
        <w:r>
          <w:rPr>
            <w:noProof/>
            <w:webHidden/>
          </w:rPr>
          <w:fldChar w:fldCharType="begin"/>
        </w:r>
        <w:r>
          <w:rPr>
            <w:noProof/>
            <w:webHidden/>
          </w:rPr>
          <w:instrText xml:space="preserve"> PAGEREF _Toc62746244 \h </w:instrText>
        </w:r>
        <w:r>
          <w:rPr>
            <w:noProof/>
            <w:webHidden/>
          </w:rPr>
        </w:r>
        <w:r>
          <w:rPr>
            <w:noProof/>
            <w:webHidden/>
          </w:rPr>
          <w:fldChar w:fldCharType="separate"/>
        </w:r>
        <w:r>
          <w:rPr>
            <w:noProof/>
            <w:webHidden/>
          </w:rPr>
          <w:t>50</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45" w:history="1">
        <w:r>
          <w:rPr>
            <w:rStyle w:val="Hyperlink"/>
            <w:noProof/>
          </w:rPr>
          <w:t>Mobility and Transport (MOVE)</w:t>
        </w:r>
        <w:r>
          <w:rPr>
            <w:noProof/>
            <w:webHidden/>
          </w:rPr>
          <w:tab/>
        </w:r>
        <w:r>
          <w:rPr>
            <w:noProof/>
            <w:webHidden/>
          </w:rPr>
          <w:fldChar w:fldCharType="begin"/>
        </w:r>
        <w:r>
          <w:rPr>
            <w:noProof/>
            <w:webHidden/>
          </w:rPr>
          <w:instrText xml:space="preserve"> PAGEREF _Toc62746245 \h </w:instrText>
        </w:r>
        <w:r>
          <w:rPr>
            <w:noProof/>
            <w:webHidden/>
          </w:rPr>
        </w:r>
        <w:r>
          <w:rPr>
            <w:noProof/>
            <w:webHidden/>
          </w:rPr>
          <w:fldChar w:fldCharType="separate"/>
        </w:r>
        <w:r>
          <w:rPr>
            <w:noProof/>
            <w:webHidden/>
          </w:rPr>
          <w:t>52</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46" w:history="1">
        <w:r>
          <w:rPr>
            <w:rStyle w:val="Hyperlink"/>
            <w:noProof/>
          </w:rPr>
          <w:t>Neighbourhood and Enlargement Negotiations (NEAR)</w:t>
        </w:r>
        <w:r>
          <w:rPr>
            <w:noProof/>
            <w:webHidden/>
          </w:rPr>
          <w:tab/>
        </w:r>
        <w:r>
          <w:rPr>
            <w:noProof/>
            <w:webHidden/>
          </w:rPr>
          <w:fldChar w:fldCharType="begin"/>
        </w:r>
        <w:r>
          <w:rPr>
            <w:noProof/>
            <w:webHidden/>
          </w:rPr>
          <w:instrText xml:space="preserve"> PAGEREF _Toc62746246 \h </w:instrText>
        </w:r>
        <w:r>
          <w:rPr>
            <w:noProof/>
            <w:webHidden/>
          </w:rPr>
        </w:r>
        <w:r>
          <w:rPr>
            <w:noProof/>
            <w:webHidden/>
          </w:rPr>
          <w:fldChar w:fldCharType="separate"/>
        </w:r>
        <w:r>
          <w:rPr>
            <w:noProof/>
            <w:webHidden/>
          </w:rPr>
          <w:t>59</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47" w:history="1">
        <w:r>
          <w:rPr>
            <w:rStyle w:val="Hyperlink"/>
            <w:noProof/>
          </w:rPr>
          <w:t>European Anti-Fraud Office (OLAF)</w:t>
        </w:r>
        <w:r>
          <w:rPr>
            <w:noProof/>
            <w:webHidden/>
          </w:rPr>
          <w:tab/>
        </w:r>
        <w:r>
          <w:rPr>
            <w:noProof/>
            <w:webHidden/>
          </w:rPr>
          <w:fldChar w:fldCharType="begin"/>
        </w:r>
        <w:r>
          <w:rPr>
            <w:noProof/>
            <w:webHidden/>
          </w:rPr>
          <w:instrText xml:space="preserve"> PAGEREF _Toc62746247 \h </w:instrText>
        </w:r>
        <w:r>
          <w:rPr>
            <w:noProof/>
            <w:webHidden/>
          </w:rPr>
        </w:r>
        <w:r>
          <w:rPr>
            <w:noProof/>
            <w:webHidden/>
          </w:rPr>
          <w:fldChar w:fldCharType="separate"/>
        </w:r>
        <w:r>
          <w:rPr>
            <w:noProof/>
            <w:webHidden/>
          </w:rPr>
          <w:t>60</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48" w:history="1">
        <w:r>
          <w:rPr>
            <w:rStyle w:val="Hyperlink"/>
            <w:noProof/>
          </w:rPr>
          <w:t>Regional and Urban Policy (REGIO)</w:t>
        </w:r>
        <w:r>
          <w:rPr>
            <w:noProof/>
            <w:webHidden/>
          </w:rPr>
          <w:tab/>
        </w:r>
        <w:r>
          <w:rPr>
            <w:noProof/>
            <w:webHidden/>
          </w:rPr>
          <w:fldChar w:fldCharType="begin"/>
        </w:r>
        <w:r>
          <w:rPr>
            <w:noProof/>
            <w:webHidden/>
          </w:rPr>
          <w:instrText xml:space="preserve"> PAGEREF _Toc62746248 \h </w:instrText>
        </w:r>
        <w:r>
          <w:rPr>
            <w:noProof/>
            <w:webHidden/>
          </w:rPr>
        </w:r>
        <w:r>
          <w:rPr>
            <w:noProof/>
            <w:webHidden/>
          </w:rPr>
          <w:fldChar w:fldCharType="separate"/>
        </w:r>
        <w:r>
          <w:rPr>
            <w:noProof/>
            <w:webHidden/>
          </w:rPr>
          <w:t>61</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49" w:history="1">
        <w:r>
          <w:rPr>
            <w:rStyle w:val="Hyperlink"/>
            <w:noProof/>
          </w:rPr>
          <w:t>Research and Innovation (RTD)</w:t>
        </w:r>
        <w:r>
          <w:rPr>
            <w:noProof/>
            <w:webHidden/>
          </w:rPr>
          <w:tab/>
        </w:r>
        <w:r>
          <w:rPr>
            <w:noProof/>
            <w:webHidden/>
          </w:rPr>
          <w:fldChar w:fldCharType="begin"/>
        </w:r>
        <w:r>
          <w:rPr>
            <w:noProof/>
            <w:webHidden/>
          </w:rPr>
          <w:instrText xml:space="preserve"> PAGEREF _Toc62746249 \h </w:instrText>
        </w:r>
        <w:r>
          <w:rPr>
            <w:noProof/>
            <w:webHidden/>
          </w:rPr>
        </w:r>
        <w:r>
          <w:rPr>
            <w:noProof/>
            <w:webHidden/>
          </w:rPr>
          <w:fldChar w:fldCharType="separate"/>
        </w:r>
        <w:r>
          <w:rPr>
            <w:noProof/>
            <w:webHidden/>
          </w:rPr>
          <w:t>62</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50" w:history="1">
        <w:r>
          <w:rPr>
            <w:rStyle w:val="Hyperlink"/>
            <w:noProof/>
          </w:rPr>
          <w:t>Health and Food Safety (SANTE)</w:t>
        </w:r>
        <w:r>
          <w:rPr>
            <w:noProof/>
            <w:webHidden/>
          </w:rPr>
          <w:tab/>
        </w:r>
        <w:r>
          <w:rPr>
            <w:noProof/>
            <w:webHidden/>
          </w:rPr>
          <w:fldChar w:fldCharType="begin"/>
        </w:r>
        <w:r>
          <w:rPr>
            <w:noProof/>
            <w:webHidden/>
          </w:rPr>
          <w:instrText xml:space="preserve"> PAGEREF _Toc62746250 \h </w:instrText>
        </w:r>
        <w:r>
          <w:rPr>
            <w:noProof/>
            <w:webHidden/>
          </w:rPr>
        </w:r>
        <w:r>
          <w:rPr>
            <w:noProof/>
            <w:webHidden/>
          </w:rPr>
          <w:fldChar w:fldCharType="separate"/>
        </w:r>
        <w:r>
          <w:rPr>
            <w:noProof/>
            <w:webHidden/>
          </w:rPr>
          <w:t>66</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51" w:history="1">
        <w:r>
          <w:rPr>
            <w:rStyle w:val="Hyperlink"/>
            <w:noProof/>
          </w:rPr>
          <w:t>Secretariat-General (SG)</w:t>
        </w:r>
        <w:r>
          <w:rPr>
            <w:noProof/>
            <w:webHidden/>
          </w:rPr>
          <w:tab/>
        </w:r>
        <w:r>
          <w:rPr>
            <w:noProof/>
            <w:webHidden/>
          </w:rPr>
          <w:fldChar w:fldCharType="begin"/>
        </w:r>
        <w:r>
          <w:rPr>
            <w:noProof/>
            <w:webHidden/>
          </w:rPr>
          <w:instrText xml:space="preserve"> PAGEREF _Toc62746251 \h </w:instrText>
        </w:r>
        <w:r>
          <w:rPr>
            <w:noProof/>
            <w:webHidden/>
          </w:rPr>
        </w:r>
        <w:r>
          <w:rPr>
            <w:noProof/>
            <w:webHidden/>
          </w:rPr>
          <w:fldChar w:fldCharType="separate"/>
        </w:r>
        <w:r>
          <w:rPr>
            <w:noProof/>
            <w:webHidden/>
          </w:rPr>
          <w:t>79</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52" w:history="1">
        <w:r>
          <w:rPr>
            <w:rStyle w:val="Hyperlink"/>
            <w:noProof/>
          </w:rPr>
          <w:t>Taxation and Customs Union (TAXUD)</w:t>
        </w:r>
        <w:r>
          <w:rPr>
            <w:noProof/>
            <w:webHidden/>
          </w:rPr>
          <w:tab/>
        </w:r>
        <w:r>
          <w:rPr>
            <w:noProof/>
            <w:webHidden/>
          </w:rPr>
          <w:fldChar w:fldCharType="begin"/>
        </w:r>
        <w:r>
          <w:rPr>
            <w:noProof/>
            <w:webHidden/>
          </w:rPr>
          <w:instrText xml:space="preserve"> PAGEREF _Toc62746252 \h </w:instrText>
        </w:r>
        <w:r>
          <w:rPr>
            <w:noProof/>
            <w:webHidden/>
          </w:rPr>
        </w:r>
        <w:r>
          <w:rPr>
            <w:noProof/>
            <w:webHidden/>
          </w:rPr>
          <w:fldChar w:fldCharType="separate"/>
        </w:r>
        <w:r>
          <w:rPr>
            <w:noProof/>
            <w:webHidden/>
          </w:rPr>
          <w:t>79</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62746253" w:history="1">
        <w:r>
          <w:rPr>
            <w:rStyle w:val="Hyperlink"/>
            <w:noProof/>
          </w:rPr>
          <w:t>Trade (TRADE)</w:t>
        </w:r>
        <w:r>
          <w:rPr>
            <w:noProof/>
            <w:webHidden/>
          </w:rPr>
          <w:tab/>
        </w:r>
        <w:r>
          <w:rPr>
            <w:noProof/>
            <w:webHidden/>
          </w:rPr>
          <w:fldChar w:fldCharType="begin"/>
        </w:r>
        <w:r>
          <w:rPr>
            <w:noProof/>
            <w:webHidden/>
          </w:rPr>
          <w:instrText xml:space="preserve"> PAGEREF _Toc62746253 \h </w:instrText>
        </w:r>
        <w:r>
          <w:rPr>
            <w:noProof/>
            <w:webHidden/>
          </w:rPr>
        </w:r>
        <w:r>
          <w:rPr>
            <w:noProof/>
            <w:webHidden/>
          </w:rPr>
          <w:fldChar w:fldCharType="separate"/>
        </w:r>
        <w:r>
          <w:rPr>
            <w:noProof/>
            <w:webHidden/>
          </w:rPr>
          <w:t>83</w:t>
        </w:r>
        <w:r>
          <w:rPr>
            <w:noProof/>
            <w:webHidden/>
          </w:rPr>
          <w:fldChar w:fldCharType="end"/>
        </w:r>
      </w:hyperlink>
    </w:p>
    <w:p>
      <w:pPr>
        <w:pStyle w:val="TOC1"/>
        <w:rPr>
          <w:noProof/>
        </w:rPr>
      </w:pPr>
      <w:r>
        <w:rPr>
          <w:noProof/>
        </w:rPr>
        <w:fldChar w:fldCharType="end"/>
      </w:r>
    </w:p>
    <w:p>
      <w:pPr>
        <w:pStyle w:val="TOC1"/>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docGrid w:linePitch="360"/>
        </w:sectPr>
      </w:pPr>
    </w:p>
    <w:p>
      <w:pPr>
        <w:rPr>
          <w:noProof/>
        </w:rPr>
      </w:pPr>
      <w:r>
        <w:rPr>
          <w:noProof/>
        </w:rPr>
        <w:t>This working document gives details of the committees that assist the Commission in each policy sector and snapshots of their activities in 2019. It lists all the committees for which each Commission department is responsible, whether they are still active or not, in order to provide transparency with regard to policy sector activities. The comments below the tables highlight any important changes (e.g. the creation, transfer or abolition of committees or procedures) together with any cases referred to the appeal committee and, for the regulatory procedure with scrutiny, any cases referred to the Council (in cases where the committee issued a negative opinion or no opinion) or in which the European Parliament or the Council opposed the adoption of a measure during the year in question.</w:t>
      </w:r>
    </w:p>
    <w:p>
      <w:pPr>
        <w:rPr>
          <w:noProof/>
        </w:rPr>
      </w:pPr>
      <w:r>
        <w:rPr>
          <w:noProof/>
        </w:rPr>
        <w:t>Details of each committee, such as basic legal acts and applicable comitology procedure(s), are available in the Comitology Register:</w:t>
      </w:r>
      <w:r>
        <w:rPr>
          <w:noProof/>
        </w:rPr>
        <w:tab/>
      </w:r>
      <w:r>
        <w:rPr>
          <w:noProof/>
        </w:rPr>
        <w:tab/>
      </w:r>
      <w:hyperlink r:id="rId22" w:history="1">
        <w:r>
          <w:rPr>
            <w:rStyle w:val="Hyperlink"/>
            <w:noProof/>
          </w:rPr>
          <w:t>http://ec.europa.eu/transparency/regcomitology/index_en.htm</w:t>
        </w:r>
      </w:hyperlink>
      <w:r>
        <w:rPr>
          <w:noProof/>
        </w:rPr>
        <w:t>.</w:t>
      </w:r>
    </w:p>
    <w:p>
      <w:pPr>
        <w:rPr>
          <w:b/>
          <w:noProof/>
        </w:rPr>
      </w:pPr>
      <w:r>
        <w:rPr>
          <w:b/>
          <w:noProof/>
        </w:rPr>
        <w:t>Explanatory remarks</w:t>
      </w:r>
    </w:p>
    <w:p>
      <w:pPr>
        <w:rPr>
          <w:noProof/>
        </w:rPr>
      </w:pPr>
      <w:r>
        <w:rPr>
          <w:noProof/>
        </w:rPr>
        <w:t>The following explanations are intended to help the reader to better understand the statistical data, and in particular, why the total number of positive opinions may differ from the total number of implementing acts/measures adopted in a specific sector:</w:t>
      </w:r>
    </w:p>
    <w:p>
      <w:pPr>
        <w:rPr>
          <w:noProof/>
        </w:rPr>
      </w:pPr>
      <w:r>
        <w:rPr>
          <w:i/>
          <w:iCs/>
          <w:noProof/>
        </w:rPr>
        <w:t>Opinions</w:t>
      </w:r>
      <w:r>
        <w:rPr>
          <w:noProof/>
        </w:rPr>
        <w:t xml:space="preserve"> delivered by the committees may concern various types of instruments: draft Commission acts (directives, regulations), decisions designed to regulate a specific legal situation, or decisions funding projects under one of the many EU programmes. The impact of the committee’s opinion varies, depending on the procedure.</w:t>
      </w:r>
    </w:p>
    <w:p>
      <w:pPr>
        <w:rPr>
          <w:noProof/>
        </w:rPr>
      </w:pPr>
      <w:r>
        <w:rPr>
          <w:noProof/>
        </w:rPr>
        <w:t xml:space="preserve">Under the </w:t>
      </w:r>
      <w:r>
        <w:rPr>
          <w:i/>
          <w:noProof/>
        </w:rPr>
        <w:t>examination procedure</w:t>
      </w:r>
      <w:r>
        <w:rPr>
          <w:noProof/>
        </w:rPr>
        <w:t xml:space="preserve">, following a </w:t>
      </w:r>
      <w:r>
        <w:rPr>
          <w:i/>
          <w:iCs/>
          <w:noProof/>
        </w:rPr>
        <w:t>positive opinion</w:t>
      </w:r>
      <w:r>
        <w:rPr>
          <w:noProof/>
        </w:rPr>
        <w:t xml:space="preserve"> the Commission adopts the implementing act. It may also adopt an </w:t>
      </w:r>
      <w:r>
        <w:rPr>
          <w:iCs/>
          <w:noProof/>
        </w:rPr>
        <w:t>implementing act</w:t>
      </w:r>
      <w:r>
        <w:rPr>
          <w:noProof/>
        </w:rPr>
        <w:t xml:space="preserve"> if </w:t>
      </w:r>
      <w:r>
        <w:rPr>
          <w:i/>
          <w:noProof/>
        </w:rPr>
        <w:t>no opinion</w:t>
      </w:r>
      <w:r>
        <w:rPr>
          <w:noProof/>
        </w:rPr>
        <w:t xml:space="preserve"> is given (although the committee has taken a vote</w:t>
      </w:r>
      <w:r>
        <w:rPr>
          <w:rStyle w:val="FootnoteReference"/>
          <w:noProof/>
        </w:rPr>
        <w:footnoteReference w:id="1"/>
      </w:r>
      <w:r>
        <w:rPr>
          <w:noProof/>
        </w:rPr>
        <w:t>), with the exception of the following three cases: where the draft implementing act concerns certain sensitive areas</w:t>
      </w:r>
      <w:r>
        <w:rPr>
          <w:rStyle w:val="FootnoteReference"/>
          <w:noProof/>
        </w:rPr>
        <w:footnoteReference w:id="2"/>
      </w:r>
      <w:r>
        <w:rPr>
          <w:noProof/>
        </w:rPr>
        <w:t xml:space="preserve">; where the basic legal act provides that the draft implementing act may not be adopted where no opinion is delivered; or where a simple majority of the members of the committee opposes the draft. Following a </w:t>
      </w:r>
      <w:r>
        <w:rPr>
          <w:i/>
          <w:noProof/>
        </w:rPr>
        <w:t>negative opinion</w:t>
      </w:r>
      <w:r>
        <w:rPr>
          <w:noProof/>
        </w:rPr>
        <w:t>, the Commission cannot adopt the implementing act. However, in cases of a negative opinion or ‘no opinion’ with a blocking effect, if the Commission deems the act necessary it can continue the procedure by either amending the draft implementing act and submitting the revised version to the (same) committee or by referring the original draft to the appeal committee. If the Commission refers the draft implementing act to the appeal committee and the appeal committee delivers a positive opinion, the Commission adopts the implementing act. The Commission may also adopt the implementing act if the appeal committee gives no opinion. If the appeal committee delivers a negative opinion, the Commission cannot adopt the implementing act.</w:t>
      </w:r>
    </w:p>
    <w:p>
      <w:pPr>
        <w:rPr>
          <w:b/>
          <w:i/>
          <w:noProof/>
        </w:rPr>
      </w:pPr>
      <w:r>
        <w:rPr>
          <w:noProof/>
        </w:rPr>
        <w:t xml:space="preserve">Under the </w:t>
      </w:r>
      <w:r>
        <w:rPr>
          <w:i/>
          <w:noProof/>
        </w:rPr>
        <w:t>advisory</w:t>
      </w:r>
      <w:r>
        <w:rPr>
          <w:noProof/>
        </w:rPr>
        <w:t xml:space="preserve"> procedure, the committee’s opinion is not legally binding, but the Commission must take the utmost account of the conclusions drawn from the discussions within the committee and of the opinion delivered before deciding on the draft implementing act.</w:t>
      </w:r>
    </w:p>
    <w:p>
      <w:pPr>
        <w:rPr>
          <w:b/>
          <w:i/>
          <w:noProof/>
        </w:rPr>
      </w:pPr>
      <w:r>
        <w:rPr>
          <w:noProof/>
        </w:rPr>
        <w:t xml:space="preserve">Under the </w:t>
      </w:r>
      <w:r>
        <w:rPr>
          <w:i/>
          <w:noProof/>
        </w:rPr>
        <w:t>regulatory procedure with scrutiny</w:t>
      </w:r>
      <w:r>
        <w:rPr>
          <w:noProof/>
        </w:rPr>
        <w:t xml:space="preserve">, following a </w:t>
      </w:r>
      <w:r>
        <w:rPr>
          <w:i/>
          <w:iCs/>
          <w:noProof/>
        </w:rPr>
        <w:t>positive opinion</w:t>
      </w:r>
      <w:r>
        <w:rPr>
          <w:noProof/>
        </w:rPr>
        <w:t>, the Commission adopts the measure. If a</w:t>
      </w:r>
      <w:r>
        <w:rPr>
          <w:i/>
          <w:iCs/>
          <w:noProof/>
        </w:rPr>
        <w:t xml:space="preserve"> negative opinion </w:t>
      </w:r>
      <w:r>
        <w:rPr>
          <w:iCs/>
          <w:noProof/>
        </w:rPr>
        <w:t>or</w:t>
      </w:r>
      <w:r>
        <w:rPr>
          <w:i/>
          <w:iCs/>
          <w:noProof/>
        </w:rPr>
        <w:t xml:space="preserve"> no opinion</w:t>
      </w:r>
      <w:r>
        <w:rPr>
          <w:iCs/>
          <w:noProof/>
        </w:rPr>
        <w:t xml:space="preserve"> is given</w:t>
      </w:r>
      <w:r>
        <w:rPr>
          <w:noProof/>
        </w:rPr>
        <w:t xml:space="preserve">, the Commission submits a proposal on the measure to the Council, which then has the power to decide (see </w:t>
      </w:r>
      <w:r>
        <w:rPr>
          <w:i/>
          <w:noProof/>
        </w:rPr>
        <w:t xml:space="preserve">Cases </w:t>
      </w:r>
      <w:r>
        <w:rPr>
          <w:i/>
          <w:iCs/>
          <w:noProof/>
        </w:rPr>
        <w:t xml:space="preserve">referred </w:t>
      </w:r>
      <w:r>
        <w:rPr>
          <w:i/>
          <w:noProof/>
        </w:rPr>
        <w:t>to the Council</w:t>
      </w:r>
      <w:r>
        <w:rPr>
          <w:noProof/>
        </w:rPr>
        <w:t>). In addition, the European Parliament and the Council can oppose the adoption of a draft measure, even if the committee has given a positive opinion.</w:t>
      </w:r>
    </w:p>
    <w:p>
      <w:pPr>
        <w:rPr>
          <w:noProof/>
        </w:rPr>
      </w:pPr>
      <w:r>
        <w:rPr>
          <w:noProof/>
        </w:rPr>
        <w:t xml:space="preserve">The total number of </w:t>
      </w:r>
      <w:r>
        <w:rPr>
          <w:i/>
          <w:iCs/>
          <w:noProof/>
        </w:rPr>
        <w:t>positive opinions</w:t>
      </w:r>
      <w:r>
        <w:rPr>
          <w:noProof/>
        </w:rPr>
        <w:t xml:space="preserve"> delivered by committees may differ from the number of </w:t>
      </w:r>
      <w:r>
        <w:rPr>
          <w:i/>
          <w:iCs/>
          <w:noProof/>
        </w:rPr>
        <w:t>implementing acts/measures</w:t>
      </w:r>
      <w:r>
        <w:rPr>
          <w:noProof/>
        </w:rPr>
        <w:t xml:space="preserve"> adopted by the Commission in a given sector, if opinions are delivered one year but the instruments are not adopted until the following year.</w:t>
      </w:r>
    </w:p>
    <w:p>
      <w:pPr>
        <w:rPr>
          <w:noProof/>
        </w:rPr>
      </w:pPr>
      <w:r>
        <w:rPr>
          <w:noProof/>
        </w:rPr>
        <w:t>A number of committees had no activity at all in the reporting year. This is indicated by the figure ‘0’ in all columns.</w:t>
      </w: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080" w:right="1440" w:bottom="1080" w:left="1440" w:header="709" w:footer="709" w:gutter="0"/>
          <w:cols w:space="708"/>
          <w:docGrid w:linePitch="360"/>
        </w:sectPr>
      </w:pPr>
    </w:p>
    <w:p>
      <w:pPr>
        <w:rPr>
          <w:noProof/>
        </w:rPr>
      </w:pPr>
    </w:p>
    <w:p>
      <w:pPr>
        <w:pStyle w:val="ManualHeading1"/>
        <w:rPr>
          <w:noProof/>
        </w:rPr>
      </w:pPr>
      <w:bookmarkStart w:id="2" w:name="_Toc61958535"/>
      <w:bookmarkStart w:id="3" w:name="_Toc62746225"/>
      <w:r>
        <w:rPr>
          <w:noProof/>
        </w:rPr>
        <w:t>Agriculture and Rural Development (AGRI)</w:t>
      </w:r>
      <w:bookmarkEnd w:id="2"/>
      <w:bookmarkEnd w:id="3"/>
    </w:p>
    <w:tbl>
      <w:tblPr>
        <w:tblW w:w="5072" w:type="pct"/>
        <w:tblLayout w:type="fixed"/>
        <w:tblLook w:val="04A0" w:firstRow="1" w:lastRow="0" w:firstColumn="1" w:lastColumn="0" w:noHBand="0" w:noVBand="1"/>
      </w:tblPr>
      <w:tblGrid>
        <w:gridCol w:w="954"/>
        <w:gridCol w:w="3380"/>
        <w:gridCol w:w="3441"/>
        <w:gridCol w:w="1359"/>
        <w:gridCol w:w="543"/>
        <w:gridCol w:w="543"/>
        <w:gridCol w:w="543"/>
        <w:gridCol w:w="543"/>
        <w:gridCol w:w="543"/>
        <w:gridCol w:w="543"/>
        <w:gridCol w:w="543"/>
        <w:gridCol w:w="543"/>
        <w:gridCol w:w="543"/>
        <w:gridCol w:w="544"/>
        <w:gridCol w:w="544"/>
      </w:tblGrid>
      <w:tr>
        <w:trPr>
          <w:trHeight w:val="2001"/>
          <w:tblHeader/>
        </w:trPr>
        <w:tc>
          <w:tcPr>
            <w:tcW w:w="30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09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10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3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7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7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7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7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7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7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7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7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7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7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30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C03800</w:t>
            </w:r>
          </w:p>
        </w:tc>
        <w:tc>
          <w:tcPr>
            <w:tcW w:w="109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Agricultural Structures and Rural Development (STAR Committee)</w:t>
            </w:r>
          </w:p>
        </w:tc>
        <w:tc>
          <w:tcPr>
            <w:tcW w:w="110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1083/2006 </w:t>
            </w:r>
            <w:r>
              <w:rPr>
                <w:rFonts w:ascii="Arial" w:hAnsi="Arial" w:cs="Arial"/>
                <w:noProof/>
                <w:color w:val="000000"/>
                <w:sz w:val="18"/>
                <w:szCs w:val="18"/>
              </w:rPr>
              <w:br/>
            </w:r>
            <w:r>
              <w:rPr>
                <w:rFonts w:ascii="Arial" w:hAnsi="Arial" w:cs="Arial"/>
                <w:noProof/>
                <w:color w:val="000000"/>
                <w:sz w:val="18"/>
                <w:szCs w:val="18"/>
              </w:rPr>
              <w:br/>
              <w:t xml:space="preserve">Council Regulation (EC) No 1085/2006 </w:t>
            </w:r>
          </w:p>
        </w:tc>
        <w:tc>
          <w:tcPr>
            <w:tcW w:w="4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C03900</w:t>
            </w:r>
          </w:p>
        </w:tc>
        <w:tc>
          <w:tcPr>
            <w:tcW w:w="109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the conservation, characterisation, collection and utilisation of genetic resources in agriculture</w:t>
            </w:r>
          </w:p>
        </w:tc>
        <w:tc>
          <w:tcPr>
            <w:tcW w:w="110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870/2004 </w:t>
            </w:r>
          </w:p>
        </w:tc>
        <w:tc>
          <w:tcPr>
            <w:tcW w:w="4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C04000</w:t>
            </w:r>
          </w:p>
        </w:tc>
        <w:tc>
          <w:tcPr>
            <w:tcW w:w="109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farm  accountancy data network (FADN)</w:t>
            </w:r>
          </w:p>
        </w:tc>
        <w:tc>
          <w:tcPr>
            <w:tcW w:w="110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1217/2009 </w:t>
            </w:r>
          </w:p>
        </w:tc>
        <w:tc>
          <w:tcPr>
            <w:tcW w:w="4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C04300</w:t>
            </w:r>
          </w:p>
        </w:tc>
        <w:tc>
          <w:tcPr>
            <w:tcW w:w="109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Spirit Drinks</w:t>
            </w:r>
          </w:p>
        </w:tc>
        <w:tc>
          <w:tcPr>
            <w:tcW w:w="110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110/2008 </w:t>
            </w:r>
          </w:p>
        </w:tc>
        <w:tc>
          <w:tcPr>
            <w:tcW w:w="4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C06500</w:t>
            </w:r>
          </w:p>
        </w:tc>
        <w:tc>
          <w:tcPr>
            <w:tcW w:w="109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Organic Production</w:t>
            </w:r>
          </w:p>
        </w:tc>
        <w:tc>
          <w:tcPr>
            <w:tcW w:w="110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(EEC) No 2092/91 </w:t>
            </w:r>
            <w:r>
              <w:rPr>
                <w:rFonts w:ascii="Arial" w:hAnsi="Arial" w:cs="Arial"/>
                <w:noProof/>
                <w:color w:val="000000"/>
                <w:sz w:val="18"/>
                <w:szCs w:val="18"/>
              </w:rPr>
              <w:br/>
              <w:t xml:space="preserve">Council Regulation (EC) No 834/2007 </w:t>
            </w:r>
            <w:r>
              <w:rPr>
                <w:rFonts w:ascii="Arial" w:hAnsi="Arial" w:cs="Arial"/>
                <w:noProof/>
                <w:color w:val="000000"/>
                <w:sz w:val="18"/>
                <w:szCs w:val="18"/>
              </w:rPr>
              <w:br/>
              <w:t xml:space="preserve">2002/309/EC, Euratom Decision </w:t>
            </w:r>
          </w:p>
        </w:tc>
        <w:tc>
          <w:tcPr>
            <w:tcW w:w="4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 xml:space="preserve"> 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 xml:space="preserve"> 3</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0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C41600</w:t>
            </w:r>
          </w:p>
        </w:tc>
        <w:tc>
          <w:tcPr>
            <w:tcW w:w="109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Agricultural Product Quality Policy Committee</w:t>
            </w:r>
          </w:p>
        </w:tc>
        <w:tc>
          <w:tcPr>
            <w:tcW w:w="110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1151/2012 </w:t>
            </w:r>
          </w:p>
        </w:tc>
        <w:tc>
          <w:tcPr>
            <w:tcW w:w="4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 xml:space="preserve"> 3</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30"/>
        </w:trPr>
        <w:tc>
          <w:tcPr>
            <w:tcW w:w="30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C42900</w:t>
            </w:r>
          </w:p>
        </w:tc>
        <w:tc>
          <w:tcPr>
            <w:tcW w:w="109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Common Organisation of the Agricultural Markets</w:t>
            </w:r>
          </w:p>
        </w:tc>
        <w:tc>
          <w:tcPr>
            <w:tcW w:w="110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1308/2013 </w:t>
            </w:r>
            <w:r>
              <w:rPr>
                <w:rFonts w:ascii="Arial" w:hAnsi="Arial" w:cs="Arial"/>
                <w:noProof/>
                <w:color w:val="000000"/>
                <w:sz w:val="18"/>
                <w:szCs w:val="18"/>
              </w:rPr>
              <w:br/>
              <w:t xml:space="preserve">Council Regulation (EU) No 1370/2013 </w:t>
            </w:r>
            <w:r>
              <w:rPr>
                <w:rFonts w:ascii="Arial" w:hAnsi="Arial" w:cs="Arial"/>
                <w:noProof/>
                <w:color w:val="000000"/>
                <w:sz w:val="18"/>
                <w:szCs w:val="18"/>
              </w:rPr>
              <w:br/>
              <w:t xml:space="preserve">Council Regulation (EC) No 3/2008 </w:t>
            </w:r>
            <w:r>
              <w:rPr>
                <w:rFonts w:ascii="Arial" w:hAnsi="Arial" w:cs="Arial"/>
                <w:noProof/>
                <w:color w:val="000000"/>
                <w:sz w:val="18"/>
                <w:szCs w:val="18"/>
              </w:rPr>
              <w:br/>
              <w:t xml:space="preserve">Regulation (EU) No 1144/2014 </w:t>
            </w:r>
            <w:r>
              <w:rPr>
                <w:rFonts w:ascii="Arial" w:hAnsi="Arial" w:cs="Arial"/>
                <w:noProof/>
                <w:color w:val="000000"/>
                <w:sz w:val="18"/>
                <w:szCs w:val="18"/>
              </w:rPr>
              <w:br/>
              <w:t xml:space="preserve">2002/309/EC, Euratom: Decision </w:t>
            </w:r>
            <w:r>
              <w:rPr>
                <w:rFonts w:ascii="Arial" w:hAnsi="Arial" w:cs="Arial"/>
                <w:noProof/>
                <w:color w:val="000000"/>
                <w:sz w:val="18"/>
                <w:szCs w:val="18"/>
              </w:rPr>
              <w:br/>
              <w:t xml:space="preserve">Regulation (EU) No 1306/2013 </w:t>
            </w:r>
          </w:p>
        </w:tc>
        <w:tc>
          <w:tcPr>
            <w:tcW w:w="4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48</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 xml:space="preserve"> 58</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 xml:space="preserve"> 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 xml:space="preserve"> 58</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0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C43200</w:t>
            </w:r>
          </w:p>
        </w:tc>
        <w:tc>
          <w:tcPr>
            <w:tcW w:w="109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Rural Development Committee</w:t>
            </w:r>
          </w:p>
        </w:tc>
        <w:tc>
          <w:tcPr>
            <w:tcW w:w="110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rPr>
              <w:t xml:space="preserve">Regulation (EU) No 1305/2013 </w:t>
            </w:r>
            <w:r>
              <w:rPr>
                <w:rFonts w:ascii="Arial" w:hAnsi="Arial" w:cs="Arial"/>
                <w:noProof/>
                <w:color w:val="000000"/>
                <w:sz w:val="18"/>
                <w:szCs w:val="18"/>
                <w:lang w:val="pt-PT"/>
              </w:rPr>
              <w:br/>
              <w:t xml:space="preserve">Regulation (EU) No 1306/2013 </w:t>
            </w:r>
          </w:p>
        </w:tc>
        <w:tc>
          <w:tcPr>
            <w:tcW w:w="4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0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C43400</w:t>
            </w:r>
          </w:p>
        </w:tc>
        <w:tc>
          <w:tcPr>
            <w:tcW w:w="109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direct payments</w:t>
            </w:r>
          </w:p>
        </w:tc>
        <w:tc>
          <w:tcPr>
            <w:tcW w:w="110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rPr>
              <w:t xml:space="preserve">Regulation (EU) No 1307/2013 </w:t>
            </w:r>
            <w:r>
              <w:rPr>
                <w:rFonts w:ascii="Arial" w:hAnsi="Arial" w:cs="Arial"/>
                <w:noProof/>
                <w:color w:val="000000"/>
                <w:sz w:val="18"/>
                <w:szCs w:val="18"/>
                <w:lang w:val="pt-PT"/>
              </w:rPr>
              <w:br/>
              <w:t xml:space="preserve">Regulation (EU) No 1306/2013 </w:t>
            </w:r>
            <w:r>
              <w:rPr>
                <w:rFonts w:ascii="Arial" w:hAnsi="Arial" w:cs="Arial"/>
                <w:noProof/>
                <w:color w:val="000000"/>
                <w:sz w:val="18"/>
                <w:szCs w:val="18"/>
                <w:lang w:val="pt-PT"/>
              </w:rPr>
              <w:br/>
              <w:t xml:space="preserve">Regulation (EU) No 228/2013 </w:t>
            </w:r>
            <w:r>
              <w:rPr>
                <w:rFonts w:ascii="Arial" w:hAnsi="Arial" w:cs="Arial"/>
                <w:noProof/>
                <w:color w:val="000000"/>
                <w:sz w:val="18"/>
                <w:szCs w:val="18"/>
                <w:lang w:val="pt-PT"/>
              </w:rPr>
              <w:br/>
              <w:t xml:space="preserve">Regulation (EU) No 229/2013 </w:t>
            </w:r>
          </w:p>
        </w:tc>
        <w:tc>
          <w:tcPr>
            <w:tcW w:w="4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83"/>
        </w:trPr>
        <w:tc>
          <w:tcPr>
            <w:tcW w:w="30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C43500</w:t>
            </w:r>
          </w:p>
        </w:tc>
        <w:tc>
          <w:tcPr>
            <w:tcW w:w="109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on the Agricultural Funds </w:t>
            </w:r>
          </w:p>
        </w:tc>
        <w:tc>
          <w:tcPr>
            <w:tcW w:w="110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1306/2013 </w:t>
            </w:r>
          </w:p>
        </w:tc>
        <w:tc>
          <w:tcPr>
            <w:tcW w:w="43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13</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 xml:space="preserve"> 37</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38</w:t>
            </w:r>
          </w:p>
        </w:tc>
        <w:tc>
          <w:tcPr>
            <w:tcW w:w="175"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0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C50200</w:t>
            </w:r>
          </w:p>
        </w:tc>
        <w:tc>
          <w:tcPr>
            <w:tcW w:w="1090"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on aromatised wine products </w:t>
            </w:r>
          </w:p>
        </w:tc>
        <w:tc>
          <w:tcPr>
            <w:tcW w:w="1109"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251/2014 </w:t>
            </w:r>
          </w:p>
        </w:tc>
        <w:tc>
          <w:tcPr>
            <w:tcW w:w="43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7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0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090"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109"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3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7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90</w:t>
            </w:r>
          </w:p>
        </w:tc>
        <w:tc>
          <w:tcPr>
            <w:tcW w:w="17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18</w:t>
            </w:r>
          </w:p>
        </w:tc>
        <w:tc>
          <w:tcPr>
            <w:tcW w:w="17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110</w:t>
            </w:r>
          </w:p>
        </w:tc>
        <w:tc>
          <w:tcPr>
            <w:tcW w:w="17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xml:space="preserve"> 1</w:t>
            </w:r>
          </w:p>
        </w:tc>
        <w:tc>
          <w:tcPr>
            <w:tcW w:w="17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111</w:t>
            </w:r>
          </w:p>
        </w:tc>
        <w:tc>
          <w:tcPr>
            <w:tcW w:w="17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xml:space="preserve"> 2</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pStyle w:val="ListDash"/>
        <w:spacing w:before="0" w:after="0"/>
        <w:ind w:left="720"/>
        <w:rPr>
          <w:noProof/>
        </w:rPr>
      </w:pPr>
    </w:p>
    <w:p>
      <w:pPr>
        <w:pStyle w:val="ManualHeading1"/>
        <w:ind w:left="851" w:hanging="851"/>
        <w:rPr>
          <w:noProof/>
        </w:rPr>
      </w:pPr>
      <w:bookmarkStart w:id="4" w:name="_Toc61958536"/>
      <w:bookmarkStart w:id="5" w:name="_Toc62746226"/>
      <w:r>
        <w:rPr>
          <w:noProof/>
        </w:rPr>
        <w:t>Budget (BUDG)</w:t>
      </w:r>
      <w:bookmarkEnd w:id="4"/>
      <w:bookmarkEnd w:id="5"/>
    </w:p>
    <w:tbl>
      <w:tblPr>
        <w:tblW w:w="5000" w:type="pct"/>
        <w:tblLook w:val="04A0" w:firstRow="1" w:lastRow="0" w:firstColumn="1" w:lastColumn="0" w:noHBand="0" w:noVBand="1"/>
      </w:tblPr>
      <w:tblGrid>
        <w:gridCol w:w="921"/>
        <w:gridCol w:w="3736"/>
        <w:gridCol w:w="2777"/>
        <w:gridCol w:w="1315"/>
        <w:gridCol w:w="570"/>
        <w:gridCol w:w="571"/>
        <w:gridCol w:w="571"/>
        <w:gridCol w:w="571"/>
        <w:gridCol w:w="571"/>
        <w:gridCol w:w="571"/>
        <w:gridCol w:w="571"/>
        <w:gridCol w:w="571"/>
        <w:gridCol w:w="571"/>
        <w:gridCol w:w="571"/>
        <w:gridCol w:w="437"/>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63" w:type="pct"/>
            <w:tcBorders>
              <w:top w:val="single" w:sz="4" w:space="0" w:color="auto"/>
              <w:left w:val="nil"/>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41" w:type="pct"/>
            <w:tcBorders>
              <w:top w:val="single" w:sz="4" w:space="0" w:color="auto"/>
              <w:left w:val="nil"/>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0" w:type="pct"/>
            <w:tcBorders>
              <w:top w:val="single" w:sz="4" w:space="0" w:color="auto"/>
              <w:left w:val="nil"/>
              <w:bottom w:val="single" w:sz="4" w:space="0" w:color="auto"/>
              <w:right w:val="single" w:sz="4" w:space="0" w:color="auto"/>
            </w:tcBorders>
            <w:shd w:val="clear" w:color="FFFFFF" w:fill="33CCCC"/>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keepNext/>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74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C25500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 Committee on the Communities' Own Resources (ACOR)</w:t>
            </w:r>
          </w:p>
        </w:tc>
        <w:tc>
          <w:tcPr>
            <w:tcW w:w="9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Euratom) No 1150/2000 </w:t>
            </w:r>
            <w:r>
              <w:rPr>
                <w:rFonts w:ascii="Arial" w:hAnsi="Arial" w:cs="Arial"/>
                <w:noProof/>
                <w:color w:val="000000"/>
                <w:sz w:val="18"/>
                <w:szCs w:val="18"/>
              </w:rPr>
              <w:br/>
              <w:t xml:space="preserve">Council Regulation (EEC, Euratom) No 1553/89 </w:t>
            </w:r>
            <w:r>
              <w:rPr>
                <w:rFonts w:ascii="Arial" w:hAnsi="Arial" w:cs="Arial"/>
                <w:noProof/>
                <w:color w:val="000000"/>
                <w:sz w:val="18"/>
                <w:szCs w:val="18"/>
              </w:rPr>
              <w:br/>
              <w:t xml:space="preserve">Council Regulation (EU, Euratom) No 608/2014 </w:t>
            </w:r>
            <w:r>
              <w:rPr>
                <w:rFonts w:ascii="Arial" w:hAnsi="Arial" w:cs="Arial"/>
                <w:noProof/>
                <w:color w:val="000000"/>
                <w:sz w:val="18"/>
                <w:szCs w:val="18"/>
              </w:rPr>
              <w:br/>
              <w:t xml:space="preserve">Council Regulation (EU, Euratom) No 609/2014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r>
              <w:rPr>
                <w:rFonts w:ascii="Arial" w:hAnsi="Arial" w:cs="Arial"/>
                <w:noProof/>
                <w:color w:val="000000"/>
                <w:sz w:val="18"/>
                <w:szCs w:val="18"/>
              </w:rPr>
              <w:br/>
              <w:t>Examination</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C25600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Executive Agencies</w:t>
            </w:r>
          </w:p>
        </w:tc>
        <w:tc>
          <w:tcPr>
            <w:tcW w:w="94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58/2003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126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941"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450"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 xml:space="preserve">none </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spacing w:before="0" w:after="0"/>
        <w:jc w:val="left"/>
        <w:rPr>
          <w:noProof/>
          <w:lang w:eastAsia="de-DE"/>
        </w:rPr>
      </w:pPr>
      <w:r>
        <w:rPr>
          <w:noProof/>
        </w:rPr>
        <w:br w:type="page"/>
      </w:r>
    </w:p>
    <w:p>
      <w:pPr>
        <w:pStyle w:val="ListDash"/>
        <w:ind w:left="720"/>
        <w:rPr>
          <w:noProof/>
        </w:rPr>
      </w:pPr>
    </w:p>
    <w:p>
      <w:pPr>
        <w:pStyle w:val="ManualHeading1"/>
        <w:rPr>
          <w:noProof/>
        </w:rPr>
      </w:pPr>
      <w:bookmarkStart w:id="6" w:name="_Toc61958537"/>
      <w:bookmarkStart w:id="7" w:name="_Toc62746227"/>
      <w:r>
        <w:rPr>
          <w:noProof/>
        </w:rPr>
        <w:t>Climate Action (CLIMA)</w:t>
      </w:r>
      <w:bookmarkEnd w:id="6"/>
      <w:bookmarkEnd w:id="7"/>
    </w:p>
    <w:tbl>
      <w:tblPr>
        <w:tblW w:w="5000" w:type="pct"/>
        <w:tblLook w:val="04A0" w:firstRow="1" w:lastRow="0" w:firstColumn="1" w:lastColumn="0" w:noHBand="0" w:noVBand="1"/>
      </w:tblPr>
      <w:tblGrid>
        <w:gridCol w:w="970"/>
        <w:gridCol w:w="3857"/>
        <w:gridCol w:w="2641"/>
        <w:gridCol w:w="1372"/>
        <w:gridCol w:w="550"/>
        <w:gridCol w:w="550"/>
        <w:gridCol w:w="550"/>
        <w:gridCol w:w="550"/>
        <w:gridCol w:w="550"/>
        <w:gridCol w:w="550"/>
        <w:gridCol w:w="551"/>
        <w:gridCol w:w="551"/>
        <w:gridCol w:w="551"/>
        <w:gridCol w:w="551"/>
        <w:gridCol w:w="551"/>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6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11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C12700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application of the directive relating to the availability of consumer information on fuel economy and CO2 emissions in respect of the marketing of new passenger cars</w:t>
            </w:r>
          </w:p>
        </w:tc>
        <w:tc>
          <w:tcPr>
            <w:tcW w:w="86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1999/94/EC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 Regulatory w/scrutiny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16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C13600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Climate Change Committee</w:t>
            </w:r>
          </w:p>
        </w:tc>
        <w:tc>
          <w:tcPr>
            <w:tcW w:w="86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 xml:space="preserve">Directive 2003/87/EC </w:t>
            </w:r>
            <w:r>
              <w:rPr>
                <w:rFonts w:ascii="Arial" w:hAnsi="Arial" w:cs="Arial"/>
                <w:noProof/>
                <w:sz w:val="18"/>
                <w:szCs w:val="18"/>
              </w:rPr>
              <w:br/>
              <w:t xml:space="preserve">Decision No 280/2004/EC </w:t>
            </w:r>
            <w:r>
              <w:rPr>
                <w:rFonts w:ascii="Arial" w:hAnsi="Arial" w:cs="Arial"/>
                <w:noProof/>
                <w:sz w:val="18"/>
                <w:szCs w:val="18"/>
              </w:rPr>
              <w:br/>
              <w:t xml:space="preserve">2002/358/EC: Council Decision </w:t>
            </w:r>
            <w:r>
              <w:rPr>
                <w:rFonts w:ascii="Arial" w:hAnsi="Arial" w:cs="Arial"/>
                <w:noProof/>
                <w:sz w:val="18"/>
                <w:szCs w:val="18"/>
              </w:rPr>
              <w:br/>
              <w:t xml:space="preserve">Directive 2009/31/EC </w:t>
            </w:r>
            <w:r>
              <w:rPr>
                <w:rFonts w:ascii="Arial" w:hAnsi="Arial" w:cs="Arial"/>
                <w:noProof/>
                <w:sz w:val="18"/>
                <w:szCs w:val="18"/>
              </w:rPr>
              <w:br/>
              <w:t xml:space="preserve">Decision No 406/2009/EC </w:t>
            </w:r>
            <w:r>
              <w:rPr>
                <w:rFonts w:ascii="Arial" w:hAnsi="Arial" w:cs="Arial"/>
                <w:noProof/>
                <w:sz w:val="18"/>
                <w:szCs w:val="18"/>
              </w:rPr>
              <w:br/>
              <w:t xml:space="preserve">Regulation (EC) No 443/2009 </w:t>
            </w:r>
            <w:r>
              <w:rPr>
                <w:rFonts w:ascii="Arial" w:hAnsi="Arial" w:cs="Arial"/>
                <w:noProof/>
                <w:sz w:val="18"/>
                <w:szCs w:val="18"/>
              </w:rPr>
              <w:br/>
              <w:t xml:space="preserve">Regulation (EU) No 510/2011 </w:t>
            </w:r>
            <w:r>
              <w:rPr>
                <w:rFonts w:ascii="Arial" w:hAnsi="Arial" w:cs="Arial"/>
                <w:noProof/>
                <w:sz w:val="18"/>
                <w:szCs w:val="18"/>
              </w:rPr>
              <w:br/>
              <w:t xml:space="preserve">Commission Decision </w:t>
            </w:r>
            <w:r>
              <w:rPr>
                <w:rFonts w:ascii="Arial" w:hAnsi="Arial" w:cs="Arial"/>
                <w:noProof/>
                <w:sz w:val="18"/>
                <w:szCs w:val="18"/>
              </w:rPr>
              <w:br/>
              <w:t xml:space="preserve">Regulation (EU) No 525/2013 </w:t>
            </w:r>
            <w:r>
              <w:rPr>
                <w:rFonts w:ascii="Arial" w:hAnsi="Arial" w:cs="Arial"/>
                <w:noProof/>
                <w:sz w:val="18"/>
                <w:szCs w:val="18"/>
              </w:rPr>
              <w:br/>
              <w:t>Regulation (EU) 2015/757</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rPr>
            </w:pPr>
            <w:r>
              <w:rPr>
                <w:rFonts w:ascii="Arial" w:hAnsi="Arial" w:cs="Arial"/>
                <w:noProof/>
                <w:sz w:val="18"/>
                <w:szCs w:val="18"/>
              </w:rPr>
              <w:t>Examination</w:t>
            </w:r>
          </w:p>
          <w:p>
            <w:pPr>
              <w:spacing w:before="0" w:after="0"/>
              <w:jc w:val="left"/>
              <w:rPr>
                <w:rFonts w:ascii="Arial" w:hAnsi="Arial" w:cs="Arial"/>
                <w:noProof/>
                <w:sz w:val="18"/>
                <w:szCs w:val="18"/>
              </w:rPr>
            </w:pPr>
            <w:r>
              <w:rPr>
                <w:rFonts w:ascii="Arial" w:hAnsi="Arial" w:cs="Arial"/>
                <w:noProof/>
                <w:sz w:val="18"/>
                <w:szCs w:val="18"/>
              </w:rPr>
              <w:t>Advisory</w:t>
            </w:r>
          </w:p>
          <w:p>
            <w:pPr>
              <w:spacing w:before="0" w:after="0"/>
              <w:jc w:val="left"/>
              <w:rPr>
                <w:rFonts w:ascii="Arial" w:hAnsi="Arial" w:cs="Arial"/>
                <w:noProof/>
                <w:sz w:val="18"/>
                <w:szCs w:val="18"/>
                <w:lang w:eastAsia="en-GB"/>
              </w:rPr>
            </w:pPr>
            <w:r>
              <w:rPr>
                <w:rFonts w:ascii="Arial" w:hAnsi="Arial" w:cs="Arial"/>
                <w:noProof/>
                <w:sz w:val="18"/>
                <w:szCs w:val="18"/>
              </w:rPr>
              <w:t>Regulatory w/scrutiny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2</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4</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4</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C13800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Committee on ozone depleting substances</w:t>
            </w:r>
          </w:p>
        </w:tc>
        <w:tc>
          <w:tcPr>
            <w:tcW w:w="86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 xml:space="preserve">Regulation (EC) No 1005/2009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rPr>
            </w:pPr>
            <w:r>
              <w:rPr>
                <w:rFonts w:ascii="Arial" w:hAnsi="Arial" w:cs="Arial"/>
                <w:noProof/>
                <w:sz w:val="18"/>
                <w:szCs w:val="18"/>
              </w:rPr>
              <w:t>Examination</w:t>
            </w:r>
          </w:p>
          <w:p>
            <w:pPr>
              <w:spacing w:before="0" w:after="0"/>
              <w:jc w:val="left"/>
              <w:rPr>
                <w:rFonts w:ascii="Arial" w:hAnsi="Arial" w:cs="Arial"/>
                <w:noProof/>
                <w:sz w:val="18"/>
                <w:szCs w:val="18"/>
                <w:lang w:eastAsia="en-GB"/>
              </w:rPr>
            </w:pPr>
            <w:r>
              <w:rPr>
                <w:rFonts w:ascii="Arial" w:hAnsi="Arial" w:cs="Arial"/>
                <w:noProof/>
                <w:sz w:val="18"/>
                <w:szCs w:val="18"/>
              </w:rPr>
              <w:t>Regulatory w/scrutiny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C37800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 xml:space="preserve">The Committee on Fuel Quality </w:t>
            </w:r>
          </w:p>
        </w:tc>
        <w:tc>
          <w:tcPr>
            <w:tcW w:w="86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 xml:space="preserve">Directive 2009/30/EC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rPr>
            </w:pPr>
            <w:r>
              <w:rPr>
                <w:rFonts w:ascii="Arial" w:hAnsi="Arial" w:cs="Arial"/>
                <w:noProof/>
                <w:sz w:val="18"/>
                <w:szCs w:val="18"/>
              </w:rPr>
              <w:t>Advisory</w:t>
            </w:r>
          </w:p>
          <w:p>
            <w:pPr>
              <w:spacing w:before="0" w:after="0"/>
              <w:jc w:val="left"/>
              <w:rPr>
                <w:rFonts w:ascii="Arial" w:hAnsi="Arial" w:cs="Arial"/>
                <w:noProof/>
                <w:sz w:val="18"/>
                <w:szCs w:val="18"/>
                <w:lang w:eastAsia="en-GB"/>
              </w:rPr>
            </w:pPr>
            <w:r>
              <w:rPr>
                <w:rFonts w:ascii="Arial" w:hAnsi="Arial" w:cs="Arial"/>
                <w:noProof/>
                <w:sz w:val="18"/>
                <w:szCs w:val="18"/>
              </w:rPr>
              <w:t>Regulatory w/scrutiny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C47200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Committee on fluorinated greenhouse gases</w:t>
            </w:r>
          </w:p>
        </w:tc>
        <w:tc>
          <w:tcPr>
            <w:tcW w:w="86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 xml:space="preserve">Regulation (EU) No 517/2014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rPr>
              <w:t>Examination</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2</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2</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2</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 </w:t>
            </w:r>
          </w:p>
        </w:tc>
        <w:tc>
          <w:tcPr>
            <w:tcW w:w="126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sz w:val="18"/>
                <w:szCs w:val="18"/>
                <w:lang w:eastAsia="en-GB"/>
              </w:rPr>
            </w:pPr>
            <w:r>
              <w:rPr>
                <w:rFonts w:ascii="Arial" w:hAnsi="Arial" w:cs="Arial"/>
                <w:b/>
                <w:bCs/>
                <w:noProof/>
                <w:sz w:val="18"/>
                <w:szCs w:val="18"/>
              </w:rPr>
              <w:t>Total</w:t>
            </w:r>
          </w:p>
        </w:tc>
        <w:tc>
          <w:tcPr>
            <w:tcW w:w="86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sz w:val="18"/>
                <w:szCs w:val="18"/>
                <w:lang w:eastAsia="en-GB"/>
              </w:rPr>
            </w:pPr>
            <w:r>
              <w:rPr>
                <w:rFonts w:ascii="Arial" w:hAnsi="Arial" w:cs="Arial"/>
                <w:b/>
                <w:bCs/>
                <w:noProof/>
                <w:sz w:val="18"/>
                <w:szCs w:val="18"/>
              </w:rPr>
              <w:t> </w:t>
            </w:r>
          </w:p>
        </w:tc>
        <w:tc>
          <w:tcPr>
            <w:tcW w:w="450"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sz w:val="18"/>
                <w:szCs w:val="18"/>
                <w:lang w:eastAsia="en-GB"/>
              </w:rPr>
            </w:pP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5</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lang w:eastAsia="en-GB"/>
              </w:rPr>
              <w:t>1</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lang w:eastAsia="en-GB"/>
              </w:rPr>
              <w:t>7</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lang w:eastAsia="en-GB"/>
              </w:rPr>
              <w:t>7</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lang w:eastAsia="en-GB"/>
              </w:rPr>
              <w:t>0</w:t>
            </w:r>
          </w:p>
        </w:tc>
      </w:tr>
    </w:tbl>
    <w:p>
      <w:pPr>
        <w:spacing w:before="0" w:after="0"/>
        <w:rPr>
          <w:b/>
          <w:bCs/>
          <w:noProof/>
          <w:u w:val="single"/>
        </w:rPr>
      </w:pPr>
    </w:p>
    <w:p>
      <w:pPr>
        <w:spacing w:before="0" w:after="0"/>
        <w:rPr>
          <w:b/>
          <w:bCs/>
          <w:noProof/>
          <w:u w:val="single"/>
        </w:rPr>
      </w:pPr>
      <w:r>
        <w:rPr>
          <w:b/>
          <w:bCs/>
          <w:noProof/>
          <w:u w:val="single"/>
        </w:rPr>
        <w:t>Newly created (or transferred) committee(s):</w:t>
      </w:r>
    </w:p>
    <w:p>
      <w:pPr>
        <w:pStyle w:val="ListDash"/>
        <w:numPr>
          <w:ilvl w:val="0"/>
          <w:numId w:val="40"/>
        </w:numPr>
        <w:spacing w:before="0" w:after="0"/>
        <w:rPr>
          <w:bCs/>
          <w:noProof/>
        </w:rPr>
      </w:pPr>
      <w:r>
        <w:rPr>
          <w:bCs/>
          <w:noProof/>
        </w:rPr>
        <w:t>none</w:t>
      </w:r>
    </w:p>
    <w:p>
      <w:pPr>
        <w:spacing w:before="0" w:after="0"/>
        <w:rPr>
          <w:b/>
          <w:bCs/>
          <w:noProof/>
          <w:u w:val="single"/>
        </w:rPr>
      </w:pPr>
      <w:r>
        <w:rPr>
          <w:b/>
          <w:bCs/>
          <w:noProof/>
          <w:u w:val="single"/>
        </w:rPr>
        <w:t>Abolished (or transferred) committee(s):</w:t>
      </w:r>
    </w:p>
    <w:p>
      <w:pPr>
        <w:pStyle w:val="ListDash"/>
        <w:numPr>
          <w:ilvl w:val="0"/>
          <w:numId w:val="40"/>
        </w:numPr>
        <w:spacing w:before="0" w:after="0"/>
        <w:rPr>
          <w:bCs/>
          <w:noProof/>
        </w:rPr>
      </w:pPr>
      <w:r>
        <w:rPr>
          <w:bCs/>
          <w:noProof/>
        </w:rPr>
        <w:t>none</w:t>
      </w:r>
    </w:p>
    <w:p>
      <w:pPr>
        <w:spacing w:before="0" w:after="0"/>
        <w:rPr>
          <w:b/>
          <w:bCs/>
          <w:noProof/>
          <w:u w:val="single"/>
        </w:rPr>
      </w:pPr>
      <w:r>
        <w:rPr>
          <w:b/>
          <w:bCs/>
          <w:noProof/>
          <w:u w:val="single"/>
        </w:rPr>
        <w:t>New procedures attributed to existing committee:</w:t>
      </w:r>
    </w:p>
    <w:p>
      <w:pPr>
        <w:pStyle w:val="ListDash"/>
        <w:numPr>
          <w:ilvl w:val="0"/>
          <w:numId w:val="40"/>
        </w:numPr>
        <w:spacing w:before="0" w:after="0"/>
        <w:rPr>
          <w:bCs/>
          <w:noProof/>
        </w:rPr>
      </w:pPr>
      <w:r>
        <w:rPr>
          <w:bCs/>
          <w:noProof/>
        </w:rPr>
        <w:t>none</w:t>
      </w:r>
    </w:p>
    <w:p>
      <w:pPr>
        <w:spacing w:before="0" w:after="0"/>
        <w:rPr>
          <w:b/>
          <w:bCs/>
          <w:noProof/>
          <w:u w:val="single"/>
        </w:rPr>
      </w:pPr>
      <w:r>
        <w:rPr>
          <w:b/>
          <w:bCs/>
          <w:noProof/>
          <w:u w:val="single"/>
        </w:rPr>
        <w:t>Cases referred to the appeal committee, specification of the outcome of the appeal committee vote:</w:t>
      </w:r>
    </w:p>
    <w:p>
      <w:pPr>
        <w:pStyle w:val="ListDash"/>
        <w:numPr>
          <w:ilvl w:val="0"/>
          <w:numId w:val="40"/>
        </w:numPr>
        <w:spacing w:before="0" w:after="0"/>
        <w:rPr>
          <w:bCs/>
          <w:noProof/>
        </w:rPr>
      </w:pPr>
      <w:r>
        <w:rPr>
          <w:bCs/>
          <w:noProof/>
        </w:rPr>
        <w:t>none</w:t>
      </w:r>
    </w:p>
    <w:p>
      <w:pPr>
        <w:pStyle w:val="ListDash"/>
        <w:spacing w:before="0" w:after="0"/>
        <w:rPr>
          <w:b/>
          <w:bCs/>
          <w:noProof/>
          <w:u w:val="single"/>
        </w:rPr>
      </w:pPr>
      <w:r>
        <w:rPr>
          <w:b/>
          <w:bCs/>
          <w:noProof/>
          <w:u w:val="single"/>
        </w:rPr>
        <w:t>Cases referred to the Council*, specification of outcome of Council meeting and date/reference of adoption:</w:t>
      </w:r>
      <w:r>
        <w:rPr>
          <w:b/>
          <w:bCs/>
          <w:noProof/>
        </w:rPr>
        <w:t xml:space="preserve"> </w:t>
      </w:r>
      <w:r>
        <w:rPr>
          <w:bCs/>
          <w:noProof/>
          <w:sz w:val="16"/>
          <w:szCs w:val="16"/>
        </w:rPr>
        <w:t>(* Due to unfavourable or absence of opinion (under Regulatory procedure with scrutiny)</w:t>
      </w:r>
    </w:p>
    <w:p>
      <w:pPr>
        <w:pStyle w:val="ListDash"/>
        <w:numPr>
          <w:ilvl w:val="0"/>
          <w:numId w:val="40"/>
        </w:numPr>
        <w:spacing w:before="0" w:after="0"/>
        <w:rPr>
          <w:bCs/>
          <w:noProof/>
        </w:rPr>
      </w:pPr>
      <w:r>
        <w:rPr>
          <w:bCs/>
          <w:noProof/>
        </w:rPr>
        <w:t>none</w:t>
      </w:r>
    </w:p>
    <w:p>
      <w:pPr>
        <w:spacing w:before="0" w:after="0"/>
        <w:rPr>
          <w:b/>
          <w:bCs/>
          <w:noProof/>
          <w:u w:val="single"/>
        </w:rPr>
      </w:pPr>
      <w:r>
        <w:rPr>
          <w:b/>
          <w:bCs/>
          <w:noProof/>
          <w:u w:val="single"/>
        </w:rPr>
        <w:t>Oppositions by EP to the adoption of measures under RPS:</w:t>
      </w:r>
    </w:p>
    <w:p>
      <w:pPr>
        <w:pStyle w:val="ListDash"/>
        <w:numPr>
          <w:ilvl w:val="0"/>
          <w:numId w:val="40"/>
        </w:numPr>
        <w:spacing w:before="0" w:after="0"/>
        <w:rPr>
          <w:bCs/>
          <w:noProof/>
        </w:rPr>
      </w:pPr>
      <w:r>
        <w:rPr>
          <w:bCs/>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bCs/>
          <w:noProof/>
          <w:u w:val="single"/>
        </w:rPr>
      </w:pPr>
      <w:r>
        <w:rPr>
          <w:b/>
          <w:bCs/>
          <w:noProof/>
          <w:u w:val="single"/>
        </w:rPr>
        <w:t>Oppositions by Council to the adoption of measures under RPS:</w:t>
      </w:r>
    </w:p>
    <w:p>
      <w:pPr>
        <w:pStyle w:val="ListDash"/>
        <w:numPr>
          <w:ilvl w:val="0"/>
          <w:numId w:val="40"/>
        </w:numPr>
        <w:spacing w:before="0" w:after="0"/>
        <w:rPr>
          <w:bCs/>
          <w:noProof/>
        </w:rPr>
      </w:pPr>
      <w:r>
        <w:rPr>
          <w:bCs/>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pStyle w:val="ListDash"/>
        <w:ind w:left="720"/>
        <w:rPr>
          <w:noProof/>
        </w:rPr>
      </w:pPr>
    </w:p>
    <w:p>
      <w:pPr>
        <w:pStyle w:val="ManualHeading1"/>
        <w:rPr>
          <w:noProof/>
        </w:rPr>
      </w:pPr>
      <w:bookmarkStart w:id="8" w:name="_Toc61958538"/>
      <w:bookmarkStart w:id="9" w:name="_Toc62746228"/>
      <w:r>
        <w:rPr>
          <w:noProof/>
        </w:rPr>
        <w:t>Communications Networks, Content and Technology (CNECT)</w:t>
      </w:r>
      <w:bookmarkEnd w:id="8"/>
      <w:bookmarkEnd w:id="9"/>
    </w:p>
    <w:tbl>
      <w:tblPr>
        <w:tblW w:w="5000" w:type="pct"/>
        <w:tblLook w:val="04A0" w:firstRow="1" w:lastRow="0" w:firstColumn="1" w:lastColumn="0" w:noHBand="0" w:noVBand="1"/>
      </w:tblPr>
      <w:tblGrid>
        <w:gridCol w:w="847"/>
        <w:gridCol w:w="3925"/>
        <w:gridCol w:w="2501"/>
        <w:gridCol w:w="1708"/>
        <w:gridCol w:w="547"/>
        <w:gridCol w:w="547"/>
        <w:gridCol w:w="547"/>
        <w:gridCol w:w="548"/>
        <w:gridCol w:w="548"/>
        <w:gridCol w:w="548"/>
        <w:gridCol w:w="548"/>
        <w:gridCol w:w="548"/>
        <w:gridCol w:w="548"/>
        <w:gridCol w:w="548"/>
        <w:gridCol w:w="437"/>
      </w:tblGrid>
      <w:tr>
        <w:trPr>
          <w:trHeight w:val="2001"/>
          <w:tblHeader/>
        </w:trPr>
        <w:tc>
          <w:tcPr>
            <w:tcW w:w="27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3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56"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27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C14800</w:t>
            </w:r>
          </w:p>
        </w:tc>
        <w:tc>
          <w:tcPr>
            <w:tcW w:w="13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SOGIS - Advisory Committee on information systems security (SOG-IS)</w:t>
            </w:r>
          </w:p>
        </w:tc>
        <w:tc>
          <w:tcPr>
            <w:tcW w:w="85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92/242/EEC: Council Decision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30"/>
        </w:trPr>
        <w:tc>
          <w:tcPr>
            <w:tcW w:w="27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C15400</w:t>
            </w:r>
          </w:p>
        </w:tc>
        <w:tc>
          <w:tcPr>
            <w:tcW w:w="13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COCOM - Communications Committee (COCOM) - framework directive 2002/21/EC</w:t>
            </w:r>
          </w:p>
        </w:tc>
        <w:tc>
          <w:tcPr>
            <w:tcW w:w="85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2002/19/EC </w:t>
            </w:r>
            <w:r>
              <w:rPr>
                <w:rFonts w:ascii="Arial" w:hAnsi="Arial" w:cs="Arial"/>
                <w:noProof/>
                <w:color w:val="000000"/>
                <w:sz w:val="18"/>
                <w:szCs w:val="18"/>
              </w:rPr>
              <w:br/>
              <w:t xml:space="preserve">Directive 2002/22/EC </w:t>
            </w:r>
            <w:r>
              <w:rPr>
                <w:rFonts w:ascii="Arial" w:hAnsi="Arial" w:cs="Arial"/>
                <w:noProof/>
                <w:color w:val="000000"/>
                <w:sz w:val="18"/>
                <w:szCs w:val="18"/>
              </w:rPr>
              <w:br/>
              <w:t xml:space="preserve">Decision No 626/2008/EC </w:t>
            </w:r>
            <w:r>
              <w:rPr>
                <w:rFonts w:ascii="Arial" w:hAnsi="Arial" w:cs="Arial"/>
                <w:noProof/>
                <w:color w:val="000000"/>
                <w:sz w:val="18"/>
                <w:szCs w:val="18"/>
              </w:rPr>
              <w:br/>
              <w:t xml:space="preserve">Regulation (EC) No 733/2002 </w:t>
            </w:r>
            <w:r>
              <w:rPr>
                <w:rFonts w:ascii="Arial" w:hAnsi="Arial" w:cs="Arial"/>
                <w:noProof/>
                <w:color w:val="000000"/>
                <w:sz w:val="18"/>
                <w:szCs w:val="18"/>
              </w:rPr>
              <w:br/>
              <w:t xml:space="preserve">Directive 2002/21/EC </w:t>
            </w:r>
            <w:r>
              <w:rPr>
                <w:rFonts w:ascii="Arial" w:hAnsi="Arial" w:cs="Arial"/>
                <w:noProof/>
                <w:color w:val="000000"/>
                <w:sz w:val="18"/>
                <w:szCs w:val="18"/>
              </w:rPr>
              <w:br/>
              <w:t xml:space="preserve">Directive 2002/58/EC </w:t>
            </w:r>
            <w:r>
              <w:rPr>
                <w:rFonts w:ascii="Arial" w:hAnsi="Arial" w:cs="Arial"/>
                <w:noProof/>
                <w:color w:val="000000"/>
                <w:sz w:val="18"/>
                <w:szCs w:val="18"/>
              </w:rPr>
              <w:br/>
              <w:t xml:space="preserve">Regulation (EU) No 531/2012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r>
              <w:rPr>
                <w:rFonts w:ascii="Arial" w:hAnsi="Arial" w:cs="Arial"/>
                <w:noProof/>
                <w:color w:val="000000"/>
                <w:sz w:val="18"/>
                <w:szCs w:val="18"/>
              </w:rPr>
              <w:br/>
              <w:t>Examination</w:t>
            </w:r>
            <w:r>
              <w:rPr>
                <w:rFonts w:ascii="Arial" w:hAnsi="Arial" w:cs="Arial"/>
                <w:noProof/>
                <w:color w:val="000000"/>
                <w:sz w:val="18"/>
                <w:szCs w:val="18"/>
              </w:rPr>
              <w:br/>
              <w:t>Regulatory w/scrutiny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27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C15401</w:t>
            </w:r>
          </w:p>
        </w:tc>
        <w:tc>
          <w:tcPr>
            <w:tcW w:w="133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COCOM - Communications Committee (COCOM) - DIRECTIVE (EU) 2018/1972</w:t>
            </w:r>
          </w:p>
        </w:tc>
        <w:tc>
          <w:tcPr>
            <w:tcW w:w="856"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Regulation (EU) No 531/2012 </w:t>
            </w:r>
          </w:p>
          <w:p>
            <w:pPr>
              <w:spacing w:before="0" w:after="0"/>
              <w:jc w:val="left"/>
              <w:rPr>
                <w:rFonts w:ascii="Arial" w:hAnsi="Arial" w:cs="Arial"/>
                <w:noProof/>
                <w:color w:val="000000"/>
                <w:sz w:val="18"/>
                <w:szCs w:val="18"/>
              </w:rPr>
            </w:pPr>
            <w:r>
              <w:rPr>
                <w:rFonts w:ascii="Arial" w:hAnsi="Arial" w:cs="Arial"/>
                <w:noProof/>
                <w:color w:val="000000"/>
                <w:sz w:val="18"/>
                <w:szCs w:val="18"/>
              </w:rPr>
              <w:t>Directive 2002/58/EC</w:t>
            </w:r>
          </w:p>
          <w:p>
            <w:pPr>
              <w:spacing w:before="0" w:after="0"/>
              <w:jc w:val="left"/>
              <w:rPr>
                <w:rFonts w:ascii="Arial" w:hAnsi="Arial" w:cs="Arial"/>
                <w:noProof/>
                <w:color w:val="000000"/>
                <w:sz w:val="18"/>
                <w:szCs w:val="18"/>
              </w:rPr>
            </w:pPr>
            <w:r>
              <w:rPr>
                <w:rFonts w:ascii="Arial" w:hAnsi="Arial" w:cs="Arial"/>
                <w:noProof/>
                <w:color w:val="000000"/>
                <w:sz w:val="18"/>
                <w:szCs w:val="18"/>
              </w:rPr>
              <w:t xml:space="preserve">Decision No 626/2008/EC </w:t>
            </w:r>
          </w:p>
          <w:p>
            <w:pPr>
              <w:spacing w:before="0" w:after="0"/>
              <w:jc w:val="left"/>
              <w:rPr>
                <w:rFonts w:ascii="Arial" w:hAnsi="Arial" w:cs="Arial"/>
                <w:noProof/>
                <w:color w:val="000000"/>
                <w:sz w:val="18"/>
                <w:szCs w:val="18"/>
              </w:rPr>
            </w:pPr>
            <w:r>
              <w:rPr>
                <w:rFonts w:ascii="Arial" w:hAnsi="Arial" w:cs="Arial"/>
                <w:noProof/>
                <w:color w:val="000000"/>
                <w:sz w:val="18"/>
                <w:szCs w:val="18"/>
              </w:rPr>
              <w:t xml:space="preserve">Directive (EU) 2018/1972  </w:t>
            </w:r>
          </w:p>
          <w:p>
            <w:pPr>
              <w:spacing w:before="0" w:after="0"/>
              <w:jc w:val="left"/>
              <w:rPr>
                <w:rFonts w:ascii="Arial" w:hAnsi="Arial" w:cs="Arial"/>
                <w:noProof/>
                <w:color w:val="000000"/>
                <w:sz w:val="18"/>
                <w:szCs w:val="18"/>
              </w:rPr>
            </w:pPr>
            <w:r>
              <w:rPr>
                <w:rFonts w:ascii="Arial" w:hAnsi="Arial" w:cs="Arial"/>
                <w:noProof/>
                <w:color w:val="000000"/>
                <w:sz w:val="18"/>
                <w:szCs w:val="18"/>
              </w:rPr>
              <w:t>Regulation (EU) 2019/517</w:t>
            </w:r>
          </w:p>
        </w:tc>
        <w:tc>
          <w:tcPr>
            <w:tcW w:w="450"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Examination_2011 Regulatory Advisory_2011 Regulatory w/ scrutiny Advisory Examination_2011 _urgency</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2</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2</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2</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2</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480"/>
        </w:trPr>
        <w:tc>
          <w:tcPr>
            <w:tcW w:w="27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C15600</w:t>
            </w:r>
          </w:p>
        </w:tc>
        <w:tc>
          <w:tcPr>
            <w:tcW w:w="13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RSC Radio Spectrum Committee - Decision n° 676/2002/EC</w:t>
            </w:r>
          </w:p>
        </w:tc>
        <w:tc>
          <w:tcPr>
            <w:tcW w:w="85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es-ES" w:eastAsia="en-GB"/>
              </w:rPr>
            </w:pPr>
            <w:r>
              <w:rPr>
                <w:rFonts w:ascii="Arial" w:hAnsi="Arial" w:cs="Arial"/>
                <w:noProof/>
                <w:color w:val="000000"/>
                <w:sz w:val="18"/>
                <w:szCs w:val="18"/>
                <w:lang w:val="es-ES"/>
              </w:rPr>
              <w:t xml:space="preserve">Decision No 676/2002/EC </w:t>
            </w:r>
            <w:r>
              <w:rPr>
                <w:rFonts w:ascii="Arial" w:hAnsi="Arial" w:cs="Arial"/>
                <w:noProof/>
                <w:color w:val="000000"/>
                <w:sz w:val="18"/>
                <w:szCs w:val="18"/>
                <w:lang w:val="es-ES"/>
              </w:rPr>
              <w:br/>
              <w:t xml:space="preserve">Decision No 243/2012/EU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center"/>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center"/>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27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C42504</w:t>
            </w:r>
          </w:p>
        </w:tc>
        <w:tc>
          <w:tcPr>
            <w:tcW w:w="13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Programme Committee for the specific programme implementing Horizon 2020 - the Framework Programme for Research and Innovation (2014-2020) - Configuration ‘Information and communication technologies’ (ICT)</w:t>
            </w:r>
          </w:p>
        </w:tc>
        <w:tc>
          <w:tcPr>
            <w:tcW w:w="85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2013/743/EU Council Decision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16</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16</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27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C47300</w:t>
            </w:r>
          </w:p>
        </w:tc>
        <w:tc>
          <w:tcPr>
            <w:tcW w:w="13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eIDAS Committee</w:t>
            </w:r>
          </w:p>
        </w:tc>
        <w:tc>
          <w:tcPr>
            <w:tcW w:w="85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910/2014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27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C49400</w:t>
            </w:r>
          </w:p>
        </w:tc>
        <w:tc>
          <w:tcPr>
            <w:tcW w:w="13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Network and Information Systems Security Committee</w:t>
            </w:r>
          </w:p>
        </w:tc>
        <w:tc>
          <w:tcPr>
            <w:tcW w:w="85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(EU) 2016/1148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27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C49600</w:t>
            </w:r>
          </w:p>
        </w:tc>
        <w:tc>
          <w:tcPr>
            <w:tcW w:w="13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WEB Accessibility Directive Committee</w:t>
            </w:r>
          </w:p>
        </w:tc>
        <w:tc>
          <w:tcPr>
            <w:tcW w:w="85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(EU) 2016/2102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27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C51600</w:t>
            </w:r>
          </w:p>
        </w:tc>
        <w:tc>
          <w:tcPr>
            <w:tcW w:w="133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Committee on open data and the re-use of public sector information</w:t>
            </w:r>
          </w:p>
        </w:tc>
        <w:tc>
          <w:tcPr>
            <w:tcW w:w="856"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Directive (EU) 2019/1024</w:t>
            </w:r>
          </w:p>
        </w:tc>
        <w:tc>
          <w:tcPr>
            <w:tcW w:w="450"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Examination_2011</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27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1334"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856"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45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11</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15</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21</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23</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i/>
          <w:noProof/>
          <w:sz w:val="18"/>
          <w:szCs w:val="18"/>
        </w:rPr>
      </w:pPr>
      <w:r>
        <w:rPr>
          <w:i/>
          <w:noProof/>
          <w:sz w:val="18"/>
          <w:szCs w:val="18"/>
        </w:rPr>
        <w:t>*</w:t>
      </w:r>
      <w:r>
        <w:rPr>
          <w:b/>
          <w:i/>
          <w:noProof/>
          <w:sz w:val="18"/>
          <w:szCs w:val="18"/>
        </w:rPr>
        <w:t>C42504 — Configuration ‘Information and communication Technologies (ICT)’</w:t>
      </w:r>
      <w:r>
        <w:rPr>
          <w:i/>
          <w:noProof/>
          <w:sz w:val="18"/>
          <w:szCs w:val="18"/>
        </w:rPr>
        <w:t xml:space="preserve"> is a section of </w:t>
      </w:r>
      <w:r>
        <w:rPr>
          <w:b/>
          <w:i/>
          <w:noProof/>
          <w:sz w:val="18"/>
          <w:szCs w:val="18"/>
        </w:rPr>
        <w:t>C42500</w:t>
      </w:r>
      <w:r>
        <w:rPr>
          <w:i/>
          <w:noProof/>
          <w:sz w:val="18"/>
          <w:szCs w:val="18"/>
        </w:rPr>
        <w:t xml:space="preserve"> — The Programme Committee for the specific programme implementing Horizon 2020 - the Framework Programme for Research and Innovation (2014-2020) reported under ‘RESEARCH AND INNOVATION (RTD’. For other configurations of this committee, see ‘RESEARCH AND INNOVATION (RTD’ and ‘INTERNAL MARKET, INDUSTRY, ENTREPRENEURSHIP AND SMES (GROW)'.</w:t>
      </w:r>
    </w:p>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Paragraph"/>
        <w:numPr>
          <w:ilvl w:val="0"/>
          <w:numId w:val="40"/>
        </w:numPr>
        <w:spacing w:before="0" w:after="0"/>
        <w:jc w:val="left"/>
        <w:rPr>
          <w:noProof/>
        </w:rPr>
      </w:pPr>
      <w:r>
        <w:rPr>
          <w:b/>
          <w:noProof/>
        </w:rPr>
        <w:t xml:space="preserve">C15401 </w:t>
      </w:r>
      <w:r>
        <w:rPr>
          <w:noProof/>
        </w:rPr>
        <w:t>- COCOM - Communications Committee (COCOM) - Directive (EU) 2018/1972</w:t>
      </w:r>
      <w:r>
        <w:rPr>
          <w:noProof/>
        </w:rPr>
        <w:br/>
        <w:t xml:space="preserve">(parent committee: C15400 - COCOM) </w:t>
      </w:r>
    </w:p>
    <w:p>
      <w:pPr>
        <w:pStyle w:val="ListParagraph"/>
        <w:numPr>
          <w:ilvl w:val="0"/>
          <w:numId w:val="40"/>
        </w:numPr>
        <w:spacing w:before="0" w:after="0"/>
        <w:jc w:val="left"/>
        <w:rPr>
          <w:b/>
          <w:noProof/>
        </w:rPr>
      </w:pPr>
      <w:r>
        <w:rPr>
          <w:b/>
          <w:noProof/>
        </w:rPr>
        <w:t xml:space="preserve">C51600 </w:t>
      </w:r>
      <w:r>
        <w:rPr>
          <w:noProof/>
        </w:rPr>
        <w:t>- Committee on open data and the re-use of public sector information</w:t>
      </w:r>
    </w:p>
    <w:p>
      <w:pPr>
        <w:spacing w:before="0" w:after="0"/>
        <w:jc w:val="left"/>
        <w:rPr>
          <w:b/>
          <w:noProof/>
        </w:rPr>
      </w:pPr>
      <w:r>
        <w:rPr>
          <w:b/>
          <w:noProof/>
          <w:u w:val="single"/>
        </w:rPr>
        <w:t>Abolished (or transferred) committee(s)</w:t>
      </w:r>
      <w:r>
        <w:rPr>
          <w:b/>
          <w:noProof/>
        </w:rPr>
        <w:t>:</w:t>
      </w:r>
    </w:p>
    <w:p>
      <w:pPr>
        <w:pStyle w:val="ListDash"/>
        <w:numPr>
          <w:ilvl w:val="0"/>
          <w:numId w:val="38"/>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38"/>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38"/>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8"/>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38"/>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38"/>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38"/>
        </w:numPr>
        <w:spacing w:before="0" w:after="0"/>
        <w:rPr>
          <w:noProof/>
        </w:rPr>
      </w:pPr>
      <w:r>
        <w:rPr>
          <w:noProof/>
        </w:rPr>
        <w:t>none</w:t>
      </w:r>
    </w:p>
    <w:p>
      <w:pPr>
        <w:pStyle w:val="ListDash"/>
        <w:rPr>
          <w:noProof/>
        </w:rPr>
      </w:pPr>
    </w:p>
    <w:p>
      <w:pPr>
        <w:pStyle w:val="ManualHeading1"/>
        <w:rPr>
          <w:noProof/>
        </w:rPr>
      </w:pPr>
      <w:bookmarkStart w:id="10" w:name="_Toc61958539"/>
      <w:bookmarkStart w:id="11" w:name="_Toc62746229"/>
      <w:r>
        <w:rPr>
          <w:noProof/>
        </w:rPr>
        <w:t>Defence, Industry and Space (DEFIS)</w:t>
      </w:r>
      <w:bookmarkEnd w:id="10"/>
      <w:bookmarkEnd w:id="11"/>
    </w:p>
    <w:tbl>
      <w:tblPr>
        <w:tblW w:w="5112" w:type="pct"/>
        <w:tblLayout w:type="fixed"/>
        <w:tblLook w:val="04A0" w:firstRow="1" w:lastRow="0" w:firstColumn="1" w:lastColumn="0" w:noHBand="0" w:noVBand="1"/>
      </w:tblPr>
      <w:tblGrid>
        <w:gridCol w:w="943"/>
        <w:gridCol w:w="4093"/>
        <w:gridCol w:w="643"/>
        <w:gridCol w:w="1261"/>
        <w:gridCol w:w="219"/>
        <w:gridCol w:w="236"/>
        <w:gridCol w:w="1340"/>
        <w:gridCol w:w="594"/>
        <w:gridCol w:w="594"/>
        <w:gridCol w:w="594"/>
        <w:gridCol w:w="594"/>
        <w:gridCol w:w="594"/>
        <w:gridCol w:w="594"/>
        <w:gridCol w:w="594"/>
        <w:gridCol w:w="594"/>
        <w:gridCol w:w="594"/>
        <w:gridCol w:w="594"/>
        <w:gridCol w:w="554"/>
      </w:tblGrid>
      <w:tr>
        <w:trPr>
          <w:trHeight w:val="2001"/>
          <w:tblHeader/>
        </w:trPr>
        <w:tc>
          <w:tcPr>
            <w:tcW w:w="310"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4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211" w:type="pct"/>
            <w:tcBorders>
              <w:top w:val="single" w:sz="4" w:space="0" w:color="auto"/>
              <w:left w:val="nil"/>
              <w:bottom w:val="single" w:sz="4" w:space="0" w:color="auto"/>
              <w:right w:val="nil"/>
            </w:tcBorders>
            <w:shd w:val="clear" w:color="FFFFFF" w:fill="33CCCC"/>
          </w:tcPr>
          <w:p>
            <w:pPr>
              <w:spacing w:before="0" w:after="0"/>
              <w:jc w:val="center"/>
              <w:rPr>
                <w:rFonts w:ascii="Gulim" w:eastAsia="Gulim" w:hAnsi="Arial" w:cs="Arial"/>
                <w:b/>
                <w:bCs/>
                <w:noProof/>
                <w:color w:val="FFFFFF"/>
                <w:sz w:val="16"/>
                <w:szCs w:val="16"/>
                <w:lang w:eastAsia="en-GB"/>
              </w:rPr>
            </w:pPr>
          </w:p>
        </w:tc>
        <w:tc>
          <w:tcPr>
            <w:tcW w:w="562" w:type="pct"/>
            <w:gridSpan w:val="3"/>
            <w:tcBorders>
              <w:top w:val="single" w:sz="4" w:space="0" w:color="auto"/>
              <w:left w:val="nil"/>
              <w:bottom w:val="single" w:sz="4" w:space="0" w:color="auto"/>
              <w:right w:val="single" w:sz="4" w:space="0" w:color="auto"/>
            </w:tcBorders>
            <w:shd w:val="clear" w:color="FFFFFF" w:fill="33CCCC"/>
            <w:vAlign w:val="center"/>
            <w:hideMark/>
          </w:tcPr>
          <w:p>
            <w:pPr>
              <w:spacing w:before="0" w:after="0"/>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4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9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9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9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9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9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9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9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9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9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95"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8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47"/>
        </w:trPr>
        <w:tc>
          <w:tcPr>
            <w:tcW w:w="310"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C37400</w:t>
            </w:r>
          </w:p>
        </w:tc>
        <w:tc>
          <w:tcPr>
            <w:tcW w:w="134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EU Transfers of Defencerelated Products</w:t>
            </w:r>
          </w:p>
        </w:tc>
        <w:tc>
          <w:tcPr>
            <w:tcW w:w="625" w:type="pct"/>
            <w:gridSpan w:val="2"/>
            <w:tcBorders>
              <w:top w:val="single" w:sz="4" w:space="0" w:color="auto"/>
              <w:left w:val="nil"/>
              <w:bottom w:val="single" w:sz="4" w:space="0" w:color="auto"/>
              <w:right w:val="nil"/>
            </w:tcBorders>
            <w:shd w:val="clear" w:color="FFFFFF" w:fill="FFFFFF"/>
            <w:vAlign w:val="center"/>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Directive 2009/43/EC</w:t>
            </w:r>
          </w:p>
        </w:tc>
        <w:tc>
          <w:tcPr>
            <w:tcW w:w="147" w:type="pct"/>
            <w:gridSpan w:val="2"/>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val="pt-PT" w:eastAsia="en-GB"/>
              </w:rPr>
            </w:pPr>
          </w:p>
        </w:tc>
        <w:tc>
          <w:tcPr>
            <w:tcW w:w="440"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 scrutiny</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r>
      <w:tr>
        <w:trPr>
          <w:trHeight w:val="690"/>
        </w:trPr>
        <w:tc>
          <w:tcPr>
            <w:tcW w:w="310"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C42506</w:t>
            </w:r>
          </w:p>
        </w:tc>
        <w:tc>
          <w:tcPr>
            <w:tcW w:w="134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the Framework Programme for Research and Innovation (2014-2020) Configuration ‘Space’</w:t>
            </w:r>
          </w:p>
        </w:tc>
        <w:tc>
          <w:tcPr>
            <w:tcW w:w="697" w:type="pct"/>
            <w:gridSpan w:val="3"/>
            <w:tcBorders>
              <w:top w:val="single" w:sz="4" w:space="0" w:color="auto"/>
              <w:left w:val="nil"/>
              <w:bottom w:val="single" w:sz="4" w:space="0" w:color="auto"/>
              <w:right w:val="nil"/>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2013/743/EU COUNCIL DECISION</w:t>
            </w:r>
          </w:p>
        </w:tc>
        <w:tc>
          <w:tcPr>
            <w:tcW w:w="77"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p>
        </w:tc>
        <w:tc>
          <w:tcPr>
            <w:tcW w:w="43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Examination_2011</w:t>
            </w:r>
          </w:p>
          <w:p>
            <w:pPr>
              <w:spacing w:before="0" w:after="0"/>
              <w:jc w:val="left"/>
              <w:rPr>
                <w:rFonts w:ascii="Arial" w:hAnsi="Arial" w:cs="Arial"/>
                <w:noProof/>
                <w:color w:val="000000"/>
                <w:sz w:val="18"/>
                <w:szCs w:val="18"/>
                <w:lang w:eastAsia="en-GB"/>
              </w:rPr>
            </w:pP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310"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C44000</w:t>
            </w:r>
          </w:p>
        </w:tc>
        <w:tc>
          <w:tcPr>
            <w:tcW w:w="134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GNSS Programmes Committe</w:t>
            </w:r>
          </w:p>
        </w:tc>
        <w:tc>
          <w:tcPr>
            <w:tcW w:w="697" w:type="pct"/>
            <w:gridSpan w:val="3"/>
            <w:tcBorders>
              <w:top w:val="single" w:sz="4" w:space="0" w:color="auto"/>
              <w:left w:val="nil"/>
              <w:bottom w:val="single" w:sz="4" w:space="0" w:color="auto"/>
              <w:right w:val="nil"/>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No 1285/2013</w:t>
            </w:r>
          </w:p>
        </w:tc>
        <w:tc>
          <w:tcPr>
            <w:tcW w:w="77"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p>
        </w:tc>
        <w:tc>
          <w:tcPr>
            <w:tcW w:w="43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Examination_2011</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Advisory_2011</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71"/>
        </w:trPr>
        <w:tc>
          <w:tcPr>
            <w:tcW w:w="310"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C46700</w:t>
            </w:r>
          </w:p>
        </w:tc>
        <w:tc>
          <w:tcPr>
            <w:tcW w:w="134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Copernicus Committee</w:t>
            </w:r>
          </w:p>
        </w:tc>
        <w:tc>
          <w:tcPr>
            <w:tcW w:w="697" w:type="pct"/>
            <w:gridSpan w:val="3"/>
            <w:tcBorders>
              <w:top w:val="single" w:sz="4" w:space="0" w:color="auto"/>
              <w:left w:val="nil"/>
              <w:bottom w:val="single" w:sz="4" w:space="0" w:color="auto"/>
              <w:right w:val="nil"/>
            </w:tcBorders>
            <w:shd w:val="clear" w:color="FFFFFF" w:fill="FFFFFF"/>
            <w:vAlign w:val="center"/>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Regulation (EU) No 377/2014</w:t>
            </w:r>
          </w:p>
        </w:tc>
        <w:tc>
          <w:tcPr>
            <w:tcW w:w="77"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val="pt-PT" w:eastAsia="en-GB"/>
              </w:rPr>
            </w:pPr>
          </w:p>
        </w:tc>
        <w:tc>
          <w:tcPr>
            <w:tcW w:w="43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Examination_2011</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Advisory_2011</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551"/>
        </w:trPr>
        <w:tc>
          <w:tcPr>
            <w:tcW w:w="310"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C46800</w:t>
            </w:r>
          </w:p>
        </w:tc>
        <w:tc>
          <w:tcPr>
            <w:tcW w:w="134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Space Surveillance and Tracking Support Framework Committee</w:t>
            </w:r>
          </w:p>
        </w:tc>
        <w:tc>
          <w:tcPr>
            <w:tcW w:w="697" w:type="pct"/>
            <w:gridSpan w:val="3"/>
            <w:tcBorders>
              <w:top w:val="single" w:sz="4" w:space="0" w:color="auto"/>
              <w:left w:val="nil"/>
              <w:bottom w:val="single" w:sz="4" w:space="0" w:color="auto"/>
              <w:right w:val="nil"/>
            </w:tcBorders>
            <w:shd w:val="clear" w:color="FFFFFF" w:fill="FFFFFF"/>
            <w:vAlign w:val="center"/>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Decision No 541/2014/EU</w:t>
            </w:r>
          </w:p>
        </w:tc>
        <w:tc>
          <w:tcPr>
            <w:tcW w:w="77"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val="pt-PT" w:eastAsia="en-GB"/>
              </w:rPr>
            </w:pPr>
          </w:p>
        </w:tc>
        <w:tc>
          <w:tcPr>
            <w:tcW w:w="43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Examination_2011</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719"/>
        </w:trPr>
        <w:tc>
          <w:tcPr>
            <w:tcW w:w="310"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C50400</w:t>
            </w:r>
          </w:p>
        </w:tc>
        <w:tc>
          <w:tcPr>
            <w:tcW w:w="134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implementation of the European Defence Industrial Development Programme</w:t>
            </w:r>
          </w:p>
        </w:tc>
        <w:tc>
          <w:tcPr>
            <w:tcW w:w="697" w:type="pct"/>
            <w:gridSpan w:val="3"/>
            <w:tcBorders>
              <w:top w:val="single" w:sz="4" w:space="0" w:color="auto"/>
              <w:left w:val="nil"/>
              <w:bottom w:val="single" w:sz="4" w:space="0" w:color="auto"/>
              <w:right w:val="nil"/>
            </w:tcBorders>
            <w:shd w:val="clear" w:color="FFFFFF" w:fill="FFFFFF"/>
            <w:vAlign w:val="center"/>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Regulation (EU) 2018/1092</w:t>
            </w:r>
          </w:p>
        </w:tc>
        <w:tc>
          <w:tcPr>
            <w:tcW w:w="77"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val="pt-PT" w:eastAsia="en-GB"/>
              </w:rPr>
            </w:pPr>
          </w:p>
        </w:tc>
        <w:tc>
          <w:tcPr>
            <w:tcW w:w="43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Examination_2011</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310"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344"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211" w:type="pct"/>
            <w:tcBorders>
              <w:top w:val="single" w:sz="4" w:space="0" w:color="auto"/>
              <w:left w:val="nil"/>
              <w:bottom w:val="single" w:sz="4" w:space="0" w:color="auto"/>
              <w:right w:val="nil"/>
            </w:tcBorders>
            <w:shd w:val="clear" w:color="FFFFFF" w:fill="FFFFCC"/>
          </w:tcPr>
          <w:p>
            <w:pPr>
              <w:spacing w:before="0" w:after="0"/>
              <w:jc w:val="center"/>
              <w:rPr>
                <w:rFonts w:ascii="Arial" w:hAnsi="Arial" w:cs="Arial"/>
                <w:b/>
                <w:bCs/>
                <w:noProof/>
                <w:color w:val="000000"/>
                <w:sz w:val="18"/>
                <w:szCs w:val="18"/>
                <w:lang w:eastAsia="en-GB"/>
              </w:rPr>
            </w:pPr>
          </w:p>
        </w:tc>
        <w:tc>
          <w:tcPr>
            <w:tcW w:w="562" w:type="pct"/>
            <w:gridSpan w:val="3"/>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4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95"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20</w:t>
            </w:r>
          </w:p>
        </w:tc>
        <w:tc>
          <w:tcPr>
            <w:tcW w:w="195"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9</w:t>
            </w:r>
          </w:p>
        </w:tc>
        <w:tc>
          <w:tcPr>
            <w:tcW w:w="195"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9</w:t>
            </w:r>
          </w:p>
        </w:tc>
        <w:tc>
          <w:tcPr>
            <w:tcW w:w="195"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95"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187"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r>
    </w:tbl>
    <w:p>
      <w:pPr>
        <w:rPr>
          <w:noProof/>
        </w:rPr>
      </w:pPr>
    </w:p>
    <w:p>
      <w:pPr>
        <w:spacing w:before="0" w:after="0"/>
        <w:rPr>
          <w:b/>
          <w:noProof/>
        </w:rPr>
      </w:pPr>
      <w:r>
        <w:rPr>
          <w:b/>
          <w:noProof/>
          <w:u w:val="single"/>
        </w:rPr>
        <w:t>Newly created (or transferred) committee(s)</w:t>
      </w:r>
      <w:r>
        <w:rPr>
          <w:b/>
          <w:noProof/>
        </w:rPr>
        <w:t>:</w:t>
      </w:r>
    </w:p>
    <w:p>
      <w:pPr>
        <w:pStyle w:val="ListParagraph"/>
        <w:numPr>
          <w:ilvl w:val="0"/>
          <w:numId w:val="43"/>
        </w:numPr>
        <w:spacing w:before="0" w:after="0"/>
        <w:rPr>
          <w:b/>
          <w:noProof/>
        </w:rPr>
      </w:pPr>
      <w:r>
        <w:rPr>
          <w:noProof/>
        </w:rPr>
        <w:t xml:space="preserve">C37400, C42506, C44000, C46700, C46800 and C50400 </w:t>
      </w:r>
      <w:r>
        <w:rPr>
          <w:noProof/>
        </w:rPr>
        <w:tab/>
        <w:t>(transferred from GROW)</w:t>
      </w:r>
    </w:p>
    <w:p>
      <w:pPr>
        <w:spacing w:before="0" w:after="0"/>
        <w:rPr>
          <w:b/>
          <w:noProof/>
        </w:rPr>
      </w:pPr>
      <w:r>
        <w:rPr>
          <w:b/>
          <w:noProof/>
          <w:u w:val="single"/>
        </w:rPr>
        <w:t>Abolished (or transferred) committee(s)</w:t>
      </w:r>
      <w:r>
        <w:rPr>
          <w:b/>
          <w:noProof/>
        </w:rPr>
        <w:t>:</w:t>
      </w:r>
    </w:p>
    <w:p>
      <w:pPr>
        <w:pStyle w:val="ListDash"/>
        <w:numPr>
          <w:ilvl w:val="0"/>
          <w:numId w:val="38"/>
        </w:numPr>
        <w:spacing w:before="0" w:after="0"/>
        <w:rPr>
          <w:noProof/>
        </w:rPr>
      </w:pPr>
      <w:r>
        <w:rPr>
          <w:noProof/>
        </w:rPr>
        <w:t>C37400 Defence related products abolished since July 2019</w:t>
      </w:r>
    </w:p>
    <w:p>
      <w:pPr>
        <w:spacing w:before="0" w:after="0"/>
        <w:rPr>
          <w:b/>
          <w:noProof/>
          <w:u w:val="single"/>
        </w:rPr>
      </w:pPr>
      <w:r>
        <w:rPr>
          <w:b/>
          <w:noProof/>
          <w:u w:val="single"/>
        </w:rPr>
        <w:t>New procedures attributed to existing committee:</w:t>
      </w:r>
    </w:p>
    <w:p>
      <w:pPr>
        <w:pStyle w:val="ListDash"/>
        <w:numPr>
          <w:ilvl w:val="0"/>
          <w:numId w:val="38"/>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38"/>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8"/>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38"/>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38"/>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38"/>
        </w:numPr>
        <w:spacing w:before="0" w:after="0"/>
        <w:rPr>
          <w:noProof/>
        </w:rPr>
      </w:pPr>
      <w:r>
        <w:rPr>
          <w:noProof/>
        </w:rPr>
        <w:t>none</w:t>
      </w:r>
    </w:p>
    <w:p>
      <w:pPr>
        <w:spacing w:before="0" w:after="0"/>
        <w:jc w:val="left"/>
        <w:rPr>
          <w:noProof/>
        </w:rPr>
      </w:pPr>
      <w:r>
        <w:rPr>
          <w:noProof/>
        </w:rPr>
        <w:br w:type="page"/>
      </w:r>
    </w:p>
    <w:p>
      <w:pPr>
        <w:rPr>
          <w:noProof/>
        </w:rPr>
      </w:pPr>
    </w:p>
    <w:p>
      <w:pPr>
        <w:pStyle w:val="ManualHeading1"/>
        <w:rPr>
          <w:noProof/>
        </w:rPr>
      </w:pPr>
      <w:bookmarkStart w:id="12" w:name="_Toc310414139"/>
      <w:bookmarkStart w:id="13" w:name="_Toc61958540"/>
      <w:bookmarkStart w:id="14" w:name="_Toc62746230"/>
      <w:bookmarkStart w:id="15" w:name="_Toc310414132"/>
      <w:r>
        <w:rPr>
          <w:noProof/>
        </w:rPr>
        <w:t>International Cooperation and Development (DEVCO)</w:t>
      </w:r>
      <w:bookmarkEnd w:id="12"/>
      <w:bookmarkEnd w:id="13"/>
      <w:bookmarkEnd w:id="14"/>
    </w:p>
    <w:tbl>
      <w:tblPr>
        <w:tblW w:w="4883" w:type="pct"/>
        <w:tblLook w:val="04A0" w:firstRow="1" w:lastRow="0" w:firstColumn="1" w:lastColumn="0" w:noHBand="0" w:noVBand="1"/>
      </w:tblPr>
      <w:tblGrid>
        <w:gridCol w:w="928"/>
        <w:gridCol w:w="3261"/>
        <w:gridCol w:w="239"/>
        <w:gridCol w:w="2534"/>
        <w:gridCol w:w="1321"/>
        <w:gridCol w:w="576"/>
        <w:gridCol w:w="576"/>
        <w:gridCol w:w="576"/>
        <w:gridCol w:w="576"/>
        <w:gridCol w:w="576"/>
        <w:gridCol w:w="576"/>
        <w:gridCol w:w="576"/>
        <w:gridCol w:w="576"/>
        <w:gridCol w:w="576"/>
        <w:gridCol w:w="579"/>
        <w:gridCol w:w="483"/>
        <w:gridCol w:w="17"/>
      </w:tblGrid>
      <w:tr>
        <w:trPr>
          <w:trHeight w:val="2001"/>
          <w:tblHeader/>
        </w:trPr>
        <w:tc>
          <w:tcPr>
            <w:tcW w:w="319"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12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2" w:type="pct"/>
            <w:tcBorders>
              <w:top w:val="single" w:sz="4" w:space="0" w:color="auto"/>
              <w:left w:val="nil"/>
              <w:bottom w:val="single" w:sz="4" w:space="0" w:color="auto"/>
              <w:right w:val="nil"/>
            </w:tcBorders>
            <w:shd w:val="clear" w:color="FFFFFF" w:fill="33CCCC"/>
          </w:tcPr>
          <w:p>
            <w:pPr>
              <w:spacing w:before="0" w:after="0"/>
              <w:jc w:val="center"/>
              <w:rPr>
                <w:rFonts w:ascii="Gulim" w:eastAsia="Gulim" w:hAnsi="Arial" w:cs="Arial"/>
                <w:b/>
                <w:bCs/>
                <w:noProof/>
                <w:color w:val="FFFFFF"/>
                <w:sz w:val="16"/>
                <w:szCs w:val="16"/>
                <w:lang w:eastAsia="en-GB"/>
              </w:rPr>
            </w:pPr>
          </w:p>
        </w:tc>
        <w:tc>
          <w:tcPr>
            <w:tcW w:w="87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9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9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9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9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9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9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9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9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9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99"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2" w:type="pct"/>
            <w:gridSpan w:val="2"/>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gridAfter w:val="1"/>
          <w:wAfter w:w="6" w:type="pct"/>
          <w:trHeight w:val="635"/>
        </w:trPr>
        <w:tc>
          <w:tcPr>
            <w:tcW w:w="319"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C45600</w:t>
            </w:r>
          </w:p>
        </w:tc>
        <w:tc>
          <w:tcPr>
            <w:tcW w:w="11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EIDHR Committee</w:t>
            </w:r>
          </w:p>
        </w:tc>
        <w:tc>
          <w:tcPr>
            <w:tcW w:w="82" w:type="pct"/>
            <w:tcBorders>
              <w:top w:val="single" w:sz="4" w:space="0" w:color="auto"/>
              <w:left w:val="nil"/>
              <w:bottom w:val="single" w:sz="4" w:space="0" w:color="auto"/>
              <w:right w:val="nil"/>
            </w:tcBorders>
            <w:shd w:val="clear" w:color="FFFFFF" w:fill="FFFFFF"/>
          </w:tcPr>
          <w:p>
            <w:pPr>
              <w:spacing w:before="0" w:after="0"/>
              <w:jc w:val="left"/>
              <w:rPr>
                <w:rFonts w:ascii="Arial" w:hAnsi="Arial" w:cs="Arial"/>
                <w:noProof/>
                <w:color w:val="000000"/>
                <w:sz w:val="18"/>
                <w:szCs w:val="18"/>
                <w:lang w:val="pt-PT" w:eastAsia="en-GB"/>
              </w:rPr>
            </w:pPr>
          </w:p>
        </w:tc>
        <w:tc>
          <w:tcPr>
            <w:tcW w:w="87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ind w:left="-103"/>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235/2014 </w:t>
            </w:r>
            <w:r>
              <w:rPr>
                <w:rFonts w:ascii="Arial" w:hAnsi="Arial" w:cs="Arial"/>
                <w:noProof/>
                <w:color w:val="000000"/>
                <w:sz w:val="18"/>
                <w:szCs w:val="18"/>
                <w:lang w:val="pt-PT" w:eastAsia="en-GB"/>
              </w:rPr>
              <w:br/>
              <w:t xml:space="preserve">Regulation (EU) No 236/2014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gridAfter w:val="1"/>
          <w:wAfter w:w="6" w:type="pct"/>
          <w:trHeight w:val="467"/>
        </w:trPr>
        <w:tc>
          <w:tcPr>
            <w:tcW w:w="319"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C45700</w:t>
            </w:r>
          </w:p>
        </w:tc>
        <w:tc>
          <w:tcPr>
            <w:tcW w:w="11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INSC Committee</w:t>
            </w:r>
          </w:p>
        </w:tc>
        <w:tc>
          <w:tcPr>
            <w:tcW w:w="82" w:type="pct"/>
            <w:tcBorders>
              <w:top w:val="single" w:sz="4" w:space="0" w:color="auto"/>
              <w:left w:val="nil"/>
              <w:bottom w:val="single" w:sz="4" w:space="0" w:color="auto"/>
              <w:right w:val="nil"/>
            </w:tcBorders>
            <w:shd w:val="clear" w:color="FFFFFF" w:fill="FFFFFF"/>
          </w:tcPr>
          <w:p>
            <w:pPr>
              <w:spacing w:before="0" w:after="0"/>
              <w:jc w:val="left"/>
              <w:rPr>
                <w:rFonts w:ascii="Arial" w:hAnsi="Arial" w:cs="Arial"/>
                <w:noProof/>
                <w:color w:val="000000"/>
                <w:sz w:val="18"/>
                <w:szCs w:val="18"/>
                <w:lang w:eastAsia="en-GB"/>
              </w:rPr>
            </w:pPr>
          </w:p>
        </w:tc>
        <w:tc>
          <w:tcPr>
            <w:tcW w:w="87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ind w:left="-103"/>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(EURATOM) No 237/2014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gridAfter w:val="1"/>
          <w:wAfter w:w="6" w:type="pct"/>
          <w:trHeight w:val="270"/>
        </w:trPr>
        <w:tc>
          <w:tcPr>
            <w:tcW w:w="319"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C46000</w:t>
            </w:r>
          </w:p>
        </w:tc>
        <w:tc>
          <w:tcPr>
            <w:tcW w:w="11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Greenland Committee</w:t>
            </w:r>
          </w:p>
        </w:tc>
        <w:tc>
          <w:tcPr>
            <w:tcW w:w="82" w:type="pct"/>
            <w:tcBorders>
              <w:top w:val="single" w:sz="4" w:space="0" w:color="auto"/>
              <w:left w:val="nil"/>
              <w:bottom w:val="single" w:sz="4" w:space="0" w:color="auto"/>
              <w:right w:val="nil"/>
            </w:tcBorders>
            <w:shd w:val="clear" w:color="FFFFFF" w:fill="FFFFFF"/>
          </w:tcPr>
          <w:p>
            <w:pPr>
              <w:spacing w:before="0" w:after="0"/>
              <w:jc w:val="left"/>
              <w:rPr>
                <w:rFonts w:ascii="Arial" w:hAnsi="Arial" w:cs="Arial"/>
                <w:noProof/>
                <w:color w:val="000000"/>
                <w:sz w:val="18"/>
                <w:szCs w:val="18"/>
                <w:lang w:eastAsia="en-GB"/>
              </w:rPr>
            </w:pPr>
          </w:p>
        </w:tc>
        <w:tc>
          <w:tcPr>
            <w:tcW w:w="87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ind w:left="-103"/>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Decision 2014/137/EU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gridAfter w:val="1"/>
          <w:wAfter w:w="6" w:type="pct"/>
          <w:trHeight w:val="671"/>
        </w:trPr>
        <w:tc>
          <w:tcPr>
            <w:tcW w:w="319"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C46100</w:t>
            </w:r>
          </w:p>
        </w:tc>
        <w:tc>
          <w:tcPr>
            <w:tcW w:w="11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IcSP Committee  (Stability and Peace Instrument Committee)</w:t>
            </w:r>
          </w:p>
        </w:tc>
        <w:tc>
          <w:tcPr>
            <w:tcW w:w="82" w:type="pct"/>
            <w:tcBorders>
              <w:top w:val="single" w:sz="4" w:space="0" w:color="auto"/>
              <w:left w:val="nil"/>
              <w:bottom w:val="single" w:sz="4" w:space="0" w:color="auto"/>
              <w:right w:val="nil"/>
            </w:tcBorders>
            <w:shd w:val="clear" w:color="FFFFFF" w:fill="FFFFFF"/>
          </w:tcPr>
          <w:p>
            <w:pPr>
              <w:spacing w:before="0" w:after="0"/>
              <w:jc w:val="left"/>
              <w:rPr>
                <w:rFonts w:ascii="Arial" w:hAnsi="Arial" w:cs="Arial"/>
                <w:noProof/>
                <w:color w:val="000000"/>
                <w:sz w:val="18"/>
                <w:szCs w:val="18"/>
                <w:lang w:val="pt-PT" w:eastAsia="en-GB"/>
              </w:rPr>
            </w:pPr>
          </w:p>
        </w:tc>
        <w:tc>
          <w:tcPr>
            <w:tcW w:w="87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ind w:left="-103"/>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236/2014 </w:t>
            </w:r>
            <w:r>
              <w:rPr>
                <w:rFonts w:ascii="Arial" w:hAnsi="Arial" w:cs="Arial"/>
                <w:noProof/>
                <w:color w:val="000000"/>
                <w:sz w:val="18"/>
                <w:szCs w:val="18"/>
                <w:lang w:val="pt-PT" w:eastAsia="en-GB"/>
              </w:rPr>
              <w:br/>
              <w:t xml:space="preserve">Regulation (EU) No 230/2014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gridAfter w:val="1"/>
          <w:wAfter w:w="6" w:type="pct"/>
          <w:trHeight w:val="599"/>
        </w:trPr>
        <w:tc>
          <w:tcPr>
            <w:tcW w:w="319"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C46200</w:t>
            </w:r>
          </w:p>
        </w:tc>
        <w:tc>
          <w:tcPr>
            <w:tcW w:w="112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DCI Committee</w:t>
            </w:r>
          </w:p>
        </w:tc>
        <w:tc>
          <w:tcPr>
            <w:tcW w:w="82" w:type="pct"/>
            <w:tcBorders>
              <w:top w:val="single" w:sz="4" w:space="0" w:color="auto"/>
              <w:left w:val="nil"/>
              <w:bottom w:val="single" w:sz="4" w:space="0" w:color="auto"/>
              <w:right w:val="nil"/>
            </w:tcBorders>
            <w:shd w:val="clear" w:color="FFFFFF" w:fill="FFFFFF"/>
          </w:tcPr>
          <w:p>
            <w:pPr>
              <w:spacing w:before="0" w:after="0"/>
              <w:jc w:val="left"/>
              <w:rPr>
                <w:rFonts w:ascii="Arial" w:hAnsi="Arial" w:cs="Arial"/>
                <w:noProof/>
                <w:color w:val="000000"/>
                <w:sz w:val="18"/>
                <w:szCs w:val="18"/>
                <w:lang w:val="pt-PT" w:eastAsia="en-GB"/>
              </w:rPr>
            </w:pPr>
          </w:p>
        </w:tc>
        <w:tc>
          <w:tcPr>
            <w:tcW w:w="87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ind w:left="-103"/>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236/2014 </w:t>
            </w:r>
            <w:r>
              <w:rPr>
                <w:rFonts w:ascii="Arial" w:hAnsi="Arial" w:cs="Arial"/>
                <w:noProof/>
                <w:color w:val="000000"/>
                <w:sz w:val="18"/>
                <w:szCs w:val="18"/>
                <w:lang w:val="pt-PT" w:eastAsia="en-GB"/>
              </w:rPr>
              <w:br/>
              <w:t xml:space="preserve">Regulation (EU) No 233/2014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9</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49</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99"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50</w:t>
            </w:r>
          </w:p>
        </w:tc>
        <w:tc>
          <w:tcPr>
            <w:tcW w:w="16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9"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12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82" w:type="pct"/>
            <w:tcBorders>
              <w:top w:val="single" w:sz="4" w:space="0" w:color="auto"/>
              <w:left w:val="nil"/>
              <w:bottom w:val="single" w:sz="4" w:space="0" w:color="auto"/>
              <w:right w:val="nil"/>
            </w:tcBorders>
            <w:shd w:val="clear" w:color="FFFFFF" w:fill="FFFFCC"/>
          </w:tcPr>
          <w:p>
            <w:pPr>
              <w:spacing w:before="0" w:after="0"/>
              <w:jc w:val="center"/>
              <w:rPr>
                <w:rFonts w:ascii="Arial" w:hAnsi="Arial" w:cs="Arial"/>
                <w:b/>
                <w:bCs/>
                <w:noProof/>
                <w:color w:val="000000"/>
                <w:sz w:val="18"/>
                <w:szCs w:val="18"/>
                <w:lang w:eastAsia="en-GB"/>
              </w:rPr>
            </w:pPr>
          </w:p>
        </w:tc>
        <w:tc>
          <w:tcPr>
            <w:tcW w:w="871"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5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9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13</w:t>
            </w:r>
          </w:p>
        </w:tc>
        <w:tc>
          <w:tcPr>
            <w:tcW w:w="19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14</w:t>
            </w:r>
          </w:p>
        </w:tc>
        <w:tc>
          <w:tcPr>
            <w:tcW w:w="19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58</w:t>
            </w:r>
          </w:p>
        </w:tc>
        <w:tc>
          <w:tcPr>
            <w:tcW w:w="19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9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w:t>
            </w:r>
          </w:p>
        </w:tc>
        <w:tc>
          <w:tcPr>
            <w:tcW w:w="19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9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9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9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99"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59</w:t>
            </w:r>
          </w:p>
        </w:tc>
        <w:tc>
          <w:tcPr>
            <w:tcW w:w="172" w:type="pct"/>
            <w:gridSpan w:val="2"/>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bookmarkEnd w:id="15"/>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spacing w:before="0" w:after="0"/>
        <w:jc w:val="left"/>
        <w:rPr>
          <w:b/>
          <w:smallCaps/>
          <w:noProof/>
        </w:rPr>
      </w:pPr>
    </w:p>
    <w:p>
      <w:pPr>
        <w:pStyle w:val="ManualHeading1"/>
        <w:rPr>
          <w:noProof/>
        </w:rPr>
      </w:pPr>
      <w:bookmarkStart w:id="16" w:name="_Toc61958541"/>
      <w:bookmarkStart w:id="17" w:name="_Toc62746231"/>
      <w:r>
        <w:rPr>
          <w:noProof/>
        </w:rPr>
        <w:t>Informatics (DIGIT)</w:t>
      </w:r>
      <w:bookmarkEnd w:id="16"/>
      <w:bookmarkEnd w:id="17"/>
    </w:p>
    <w:tbl>
      <w:tblPr>
        <w:tblW w:w="5000" w:type="pct"/>
        <w:tblLook w:val="04A0" w:firstRow="1" w:lastRow="0" w:firstColumn="1" w:lastColumn="0" w:noHBand="0" w:noVBand="1"/>
      </w:tblPr>
      <w:tblGrid>
        <w:gridCol w:w="921"/>
        <w:gridCol w:w="4180"/>
        <w:gridCol w:w="2331"/>
        <w:gridCol w:w="1316"/>
        <w:gridCol w:w="571"/>
        <w:gridCol w:w="571"/>
        <w:gridCol w:w="571"/>
        <w:gridCol w:w="571"/>
        <w:gridCol w:w="571"/>
        <w:gridCol w:w="571"/>
        <w:gridCol w:w="571"/>
        <w:gridCol w:w="571"/>
        <w:gridCol w:w="571"/>
        <w:gridCol w:w="571"/>
        <w:gridCol w:w="437"/>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41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9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C48600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Interoperability Solutions for European Public Administrations, Businesses and Citizens (ISA² Committee)</w:t>
            </w:r>
          </w:p>
        </w:tc>
        <w:tc>
          <w:tcPr>
            <w:tcW w:w="791"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(EU) 2015/2240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412"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91"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5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pStyle w:val="ListDash"/>
        <w:ind w:left="720"/>
        <w:rPr>
          <w:noProof/>
        </w:rPr>
      </w:pPr>
    </w:p>
    <w:p>
      <w:pPr>
        <w:pStyle w:val="ManualHeading1"/>
        <w:ind w:left="851" w:hanging="851"/>
        <w:rPr>
          <w:noProof/>
        </w:rPr>
      </w:pPr>
      <w:bookmarkStart w:id="18" w:name="_Toc61958542"/>
      <w:bookmarkStart w:id="19" w:name="_Toc62746232"/>
      <w:r>
        <w:rPr>
          <w:noProof/>
        </w:rPr>
        <w:t>Education and Culture (EAC)</w:t>
      </w:r>
      <w:bookmarkEnd w:id="18"/>
      <w:bookmarkEnd w:id="19"/>
    </w:p>
    <w:tbl>
      <w:tblPr>
        <w:tblW w:w="5000" w:type="pct"/>
        <w:tblLook w:val="04A0" w:firstRow="1" w:lastRow="0" w:firstColumn="1" w:lastColumn="0" w:noHBand="0" w:noVBand="1"/>
      </w:tblPr>
      <w:tblGrid>
        <w:gridCol w:w="966"/>
        <w:gridCol w:w="4169"/>
        <w:gridCol w:w="2396"/>
        <w:gridCol w:w="1365"/>
        <w:gridCol w:w="546"/>
        <w:gridCol w:w="546"/>
        <w:gridCol w:w="546"/>
        <w:gridCol w:w="546"/>
        <w:gridCol w:w="545"/>
        <w:gridCol w:w="545"/>
        <w:gridCol w:w="545"/>
        <w:gridCol w:w="545"/>
        <w:gridCol w:w="545"/>
        <w:gridCol w:w="545"/>
        <w:gridCol w:w="545"/>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7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9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C43900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‘Creative Europe’ Programme</w:t>
            </w:r>
          </w:p>
        </w:tc>
        <w:tc>
          <w:tcPr>
            <w:tcW w:w="790"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Regulation (EU) No 1295/2013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C44200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Erasmus+ Committee</w:t>
            </w:r>
            <w:r>
              <w:rPr>
                <w:rFonts w:ascii="Arial" w:hAnsi="Arial" w:cs="Arial"/>
                <w:noProof/>
                <w:color w:val="000000"/>
                <w:sz w:val="18"/>
                <w:szCs w:val="18"/>
                <w:vertAlign w:val="superscript"/>
              </w:rPr>
              <w:t>(*)</w:t>
            </w:r>
          </w:p>
        </w:tc>
        <w:tc>
          <w:tcPr>
            <w:tcW w:w="790"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Regulation (EU) No 1288/2013 </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Regulation (EU) 2018/1475</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1375"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790"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450"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8</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ind w:left="360"/>
        <w:rPr>
          <w:b/>
          <w:noProof/>
          <w:sz w:val="20"/>
          <w:szCs w:val="20"/>
        </w:rPr>
      </w:pPr>
      <w:r>
        <w:rPr>
          <w:noProof/>
          <w:sz w:val="20"/>
          <w:szCs w:val="20"/>
        </w:rPr>
        <w:t xml:space="preserve"> </w:t>
      </w:r>
      <w:r>
        <w:rPr>
          <w:noProof/>
          <w:sz w:val="20"/>
          <w:szCs w:val="20"/>
          <w:vertAlign w:val="superscript"/>
        </w:rPr>
        <w:t>(*)</w:t>
      </w:r>
      <w:r>
        <w:rPr>
          <w:noProof/>
          <w:sz w:val="20"/>
          <w:szCs w:val="20"/>
        </w:rPr>
        <w:t xml:space="preserve"> includes information related to the specific configuration dealing with European Solidarity Corps, as provided by art. 25 of </w:t>
      </w:r>
      <w:r>
        <w:rPr>
          <w:i/>
          <w:noProof/>
          <w:sz w:val="20"/>
          <w:szCs w:val="20"/>
        </w:rPr>
        <w:t>Regulation 2018/1475 of the European Parliament and of the Council of 2 October 2018 laying down the legal framework of the European Solidarity Corps and amending Regulation (EU) No 1288/2013, Regulation (EU) No 1293/2013 and Decision No 1313/2013/EU</w:t>
      </w: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pStyle w:val="ListDash"/>
        <w:ind w:left="720"/>
        <w:rPr>
          <w:noProof/>
        </w:rPr>
      </w:pPr>
    </w:p>
    <w:p>
      <w:pPr>
        <w:pStyle w:val="ManualHeading1"/>
        <w:rPr>
          <w:noProof/>
        </w:rPr>
      </w:pPr>
      <w:bookmarkStart w:id="20" w:name="_Toc61958543"/>
      <w:bookmarkStart w:id="21" w:name="_Toc62746233"/>
      <w:r>
        <w:rPr>
          <w:noProof/>
        </w:rPr>
        <w:t>Economic and Financial Affairs (ECFIN)</w:t>
      </w:r>
      <w:bookmarkEnd w:id="20"/>
      <w:bookmarkEnd w:id="21"/>
    </w:p>
    <w:tbl>
      <w:tblPr>
        <w:tblW w:w="5000" w:type="pct"/>
        <w:tblLook w:val="04A0" w:firstRow="1" w:lastRow="0" w:firstColumn="1" w:lastColumn="0" w:noHBand="0" w:noVBand="1"/>
      </w:tblPr>
      <w:tblGrid>
        <w:gridCol w:w="970"/>
        <w:gridCol w:w="3967"/>
        <w:gridCol w:w="2528"/>
        <w:gridCol w:w="1375"/>
        <w:gridCol w:w="550"/>
        <w:gridCol w:w="550"/>
        <w:gridCol w:w="550"/>
        <w:gridCol w:w="550"/>
        <w:gridCol w:w="550"/>
        <w:gridCol w:w="550"/>
        <w:gridCol w:w="551"/>
        <w:gridCol w:w="551"/>
        <w:gridCol w:w="551"/>
        <w:gridCol w:w="551"/>
        <w:gridCol w:w="551"/>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9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2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95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C45000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on macrofinancial assistance </w:t>
            </w:r>
          </w:p>
        </w:tc>
        <w:tc>
          <w:tcPr>
            <w:tcW w:w="82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es-ES" w:eastAsia="en-GB"/>
              </w:rPr>
            </w:pPr>
            <w:r>
              <w:rPr>
                <w:rFonts w:ascii="Arial" w:hAnsi="Arial" w:cs="Arial"/>
                <w:noProof/>
                <w:color w:val="000000"/>
                <w:sz w:val="18"/>
                <w:szCs w:val="18"/>
                <w:lang w:val="es-ES"/>
              </w:rPr>
              <w:t xml:space="preserve">Council Decision No 2014/215/EU </w:t>
            </w:r>
            <w:r>
              <w:rPr>
                <w:rFonts w:ascii="Arial" w:hAnsi="Arial" w:cs="Arial"/>
                <w:noProof/>
                <w:color w:val="000000"/>
                <w:sz w:val="18"/>
                <w:szCs w:val="18"/>
                <w:lang w:val="es-ES"/>
              </w:rPr>
              <w:br/>
              <w:t xml:space="preserve">Decision No 534/2014/EU </w:t>
            </w:r>
            <w:r>
              <w:rPr>
                <w:rFonts w:ascii="Arial" w:hAnsi="Arial" w:cs="Arial"/>
                <w:noProof/>
                <w:color w:val="000000"/>
                <w:sz w:val="18"/>
                <w:szCs w:val="18"/>
                <w:lang w:val="es-ES"/>
              </w:rPr>
              <w:br/>
              <w:t xml:space="preserve">Decision No 1351/2013/EU </w:t>
            </w:r>
            <w:r>
              <w:rPr>
                <w:rFonts w:ascii="Arial" w:hAnsi="Arial" w:cs="Arial"/>
                <w:noProof/>
                <w:color w:val="000000"/>
                <w:sz w:val="18"/>
                <w:szCs w:val="18"/>
                <w:lang w:val="es-ES"/>
              </w:rPr>
              <w:br/>
              <w:t xml:space="preserve">Decision No 1025/2013/EU </w:t>
            </w:r>
            <w:r>
              <w:rPr>
                <w:rFonts w:ascii="Arial" w:hAnsi="Arial" w:cs="Arial"/>
                <w:noProof/>
                <w:color w:val="000000"/>
                <w:sz w:val="18"/>
                <w:szCs w:val="18"/>
                <w:lang w:val="es-ES"/>
              </w:rPr>
              <w:br/>
              <w:t xml:space="preserve">Decision No 778/2013/EU </w:t>
            </w:r>
            <w:r>
              <w:rPr>
                <w:rFonts w:ascii="Arial" w:hAnsi="Arial" w:cs="Arial"/>
                <w:noProof/>
                <w:color w:val="000000"/>
                <w:sz w:val="18"/>
                <w:szCs w:val="18"/>
                <w:lang w:val="es-ES"/>
              </w:rPr>
              <w:br/>
              <w:t xml:space="preserve">Decision (EU) 2015/601 </w:t>
            </w:r>
            <w:r>
              <w:rPr>
                <w:rFonts w:ascii="Arial" w:hAnsi="Arial" w:cs="Arial"/>
                <w:noProof/>
                <w:color w:val="000000"/>
                <w:sz w:val="18"/>
                <w:szCs w:val="18"/>
                <w:lang w:val="es-ES"/>
              </w:rPr>
              <w:br/>
              <w:t xml:space="preserve">Decision (EU) 2016/1112 </w:t>
            </w:r>
            <w:r>
              <w:rPr>
                <w:rFonts w:ascii="Arial" w:hAnsi="Arial" w:cs="Arial"/>
                <w:noProof/>
                <w:color w:val="000000"/>
                <w:sz w:val="18"/>
                <w:szCs w:val="18"/>
                <w:lang w:val="es-ES"/>
              </w:rPr>
              <w:br/>
              <w:t xml:space="preserve">Decision (EU) 2017/1565 </w:t>
            </w:r>
            <w:r>
              <w:rPr>
                <w:rFonts w:ascii="Arial" w:hAnsi="Arial" w:cs="Arial"/>
                <w:noProof/>
                <w:color w:val="000000"/>
                <w:sz w:val="18"/>
                <w:szCs w:val="18"/>
                <w:lang w:val="es-ES"/>
              </w:rPr>
              <w:br/>
              <w:t xml:space="preserve">Decision (EU) 2016/2371 </w:t>
            </w:r>
            <w:r>
              <w:rPr>
                <w:rFonts w:ascii="Arial" w:hAnsi="Arial" w:cs="Arial"/>
                <w:noProof/>
                <w:color w:val="000000"/>
                <w:sz w:val="18"/>
                <w:szCs w:val="18"/>
                <w:lang w:val="es-ES"/>
              </w:rPr>
              <w:br/>
              <w:t xml:space="preserve">Decision (EU) 2018/947 </w:t>
            </w:r>
            <w:r>
              <w:rPr>
                <w:rFonts w:ascii="Arial" w:hAnsi="Arial" w:cs="Arial"/>
                <w:noProof/>
                <w:color w:val="000000"/>
                <w:sz w:val="18"/>
                <w:szCs w:val="18"/>
                <w:lang w:val="es-ES"/>
              </w:rPr>
              <w:br/>
              <w:t xml:space="preserve">Decision (EU) 2018/598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1299"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828"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450" w:type="pct"/>
            <w:tcBorders>
              <w:top w:val="nil"/>
              <w:left w:val="nil"/>
              <w:bottom w:val="single" w:sz="4" w:space="0" w:color="auto"/>
              <w:right w:val="single" w:sz="4" w:space="0" w:color="auto"/>
            </w:tcBorders>
            <w:shd w:val="clear" w:color="FFFFFF" w:fill="FFFFCC"/>
            <w:noWrap/>
            <w:vAlign w:val="center"/>
          </w:tcPr>
          <w:p>
            <w:pPr>
              <w:spacing w:before="0" w:after="0"/>
              <w:rPr>
                <w:rFonts w:ascii="Arial" w:hAnsi="Arial" w:cs="Arial"/>
                <w:b/>
                <w:bCs/>
                <w:noProof/>
                <w:color w:val="000000"/>
                <w:sz w:val="18"/>
                <w:szCs w:val="18"/>
                <w:lang w:eastAsia="en-GB"/>
              </w:rPr>
            </w:pP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36"/>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36"/>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36"/>
        </w:numPr>
        <w:spacing w:before="0" w:after="0"/>
        <w:rPr>
          <w:noProof/>
        </w:rPr>
      </w:pPr>
      <w:r>
        <w:rPr>
          <w:noProof/>
        </w:rPr>
        <w:t>none</w:t>
      </w:r>
    </w:p>
    <w:p>
      <w:pPr>
        <w:pStyle w:val="ListDash"/>
        <w:rPr>
          <w:noProof/>
        </w:rPr>
      </w:pPr>
    </w:p>
    <w:p>
      <w:pPr>
        <w:pStyle w:val="ManualHeading1"/>
        <w:ind w:left="0" w:firstLine="0"/>
        <w:rPr>
          <w:noProof/>
        </w:rPr>
      </w:pPr>
      <w:bookmarkStart w:id="22" w:name="_Toc310414143"/>
      <w:bookmarkStart w:id="23" w:name="_Toc61958544"/>
      <w:bookmarkStart w:id="24" w:name="_Toc62746234"/>
      <w:r>
        <w:rPr>
          <w:noProof/>
        </w:rPr>
        <w:t>Humanitarian Aid and Civil Protection (ECHO)</w:t>
      </w:r>
      <w:bookmarkEnd w:id="22"/>
      <w:bookmarkEnd w:id="23"/>
      <w:bookmarkEnd w:id="24"/>
    </w:p>
    <w:tbl>
      <w:tblPr>
        <w:tblW w:w="5000" w:type="pct"/>
        <w:tblLook w:val="04A0" w:firstRow="1" w:lastRow="0" w:firstColumn="1" w:lastColumn="0" w:noHBand="0" w:noVBand="1"/>
      </w:tblPr>
      <w:tblGrid>
        <w:gridCol w:w="937"/>
        <w:gridCol w:w="4086"/>
        <w:gridCol w:w="2233"/>
        <w:gridCol w:w="1332"/>
        <w:gridCol w:w="587"/>
        <w:gridCol w:w="587"/>
        <w:gridCol w:w="587"/>
        <w:gridCol w:w="587"/>
        <w:gridCol w:w="587"/>
        <w:gridCol w:w="587"/>
        <w:gridCol w:w="587"/>
        <w:gridCol w:w="587"/>
        <w:gridCol w:w="587"/>
        <w:gridCol w:w="587"/>
        <w:gridCol w:w="437"/>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7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5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C24700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Humanitarian Aid Committee</w:t>
            </w:r>
          </w:p>
        </w:tc>
        <w:tc>
          <w:tcPr>
            <w:tcW w:w="75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1257/96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C43800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Civil Protection Committee </w:t>
            </w:r>
          </w:p>
        </w:tc>
        <w:tc>
          <w:tcPr>
            <w:tcW w:w="75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No 1313/2013/EU </w:t>
            </w:r>
          </w:p>
        </w:tc>
        <w:tc>
          <w:tcPr>
            <w:tcW w:w="45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375"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5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5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8</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0" w:after="0"/>
        <w:rPr>
          <w:b/>
          <w:noProof/>
          <w:u w:val="single"/>
        </w:rPr>
      </w:pPr>
      <w:bookmarkStart w:id="25" w:name="_Toc310414144"/>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bookmarkEnd w:id="25"/>
    <w:p>
      <w:pPr>
        <w:spacing w:before="0" w:after="0"/>
        <w:jc w:val="left"/>
        <w:rPr>
          <w:b/>
          <w:smallCaps/>
          <w:noProof/>
        </w:rPr>
      </w:pPr>
    </w:p>
    <w:p>
      <w:pPr>
        <w:spacing w:before="0" w:after="0"/>
        <w:jc w:val="left"/>
        <w:rPr>
          <w:noProof/>
        </w:rPr>
      </w:pPr>
    </w:p>
    <w:p>
      <w:pPr>
        <w:pStyle w:val="ManualHeading1"/>
        <w:rPr>
          <w:noProof/>
        </w:rPr>
      </w:pPr>
      <w:bookmarkStart w:id="26" w:name="_Toc61958545"/>
      <w:bookmarkStart w:id="27" w:name="_Toc62746235"/>
      <w:r>
        <w:rPr>
          <w:noProof/>
        </w:rPr>
        <w:t>Employment, Social Affairs and Inclusion (EMPL)</w:t>
      </w:r>
      <w:bookmarkEnd w:id="26"/>
      <w:bookmarkEnd w:id="27"/>
    </w:p>
    <w:tbl>
      <w:tblPr>
        <w:tblW w:w="5000" w:type="pct"/>
        <w:tblLook w:val="04A0" w:firstRow="1" w:lastRow="0" w:firstColumn="1" w:lastColumn="0" w:noHBand="0" w:noVBand="1"/>
      </w:tblPr>
      <w:tblGrid>
        <w:gridCol w:w="948"/>
        <w:gridCol w:w="3758"/>
        <w:gridCol w:w="2696"/>
        <w:gridCol w:w="1579"/>
        <w:gridCol w:w="539"/>
        <w:gridCol w:w="539"/>
        <w:gridCol w:w="539"/>
        <w:gridCol w:w="539"/>
        <w:gridCol w:w="539"/>
        <w:gridCol w:w="539"/>
        <w:gridCol w:w="539"/>
        <w:gridCol w:w="539"/>
        <w:gridCol w:w="539"/>
        <w:gridCol w:w="539"/>
        <w:gridCol w:w="524"/>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6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0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3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99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C03200</w:t>
            </w:r>
          </w:p>
        </w:tc>
        <w:tc>
          <w:tcPr>
            <w:tcW w:w="126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technical adaptation of legislation on the introduction of measures to encourage improvements in the safety and health of workers at work</w:t>
            </w:r>
          </w:p>
        </w:tc>
        <w:tc>
          <w:tcPr>
            <w:tcW w:w="90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Council Directive 89/391/EEC </w:t>
            </w:r>
            <w:r>
              <w:rPr>
                <w:rFonts w:ascii="Arial" w:hAnsi="Arial" w:cs="Arial"/>
                <w:noProof/>
                <w:color w:val="000000"/>
                <w:sz w:val="18"/>
                <w:szCs w:val="18"/>
              </w:rPr>
              <w:br/>
              <w:t xml:space="preserve">Council Directive 98/24/EC </w:t>
            </w:r>
            <w:r>
              <w:rPr>
                <w:rFonts w:ascii="Arial" w:hAnsi="Arial" w:cs="Arial"/>
                <w:noProof/>
                <w:color w:val="000000"/>
                <w:sz w:val="18"/>
                <w:szCs w:val="18"/>
              </w:rPr>
              <w:br/>
              <w:t xml:space="preserve">Directive 2002/44/EC </w:t>
            </w:r>
            <w:r>
              <w:rPr>
                <w:rFonts w:ascii="Arial" w:hAnsi="Arial" w:cs="Arial"/>
                <w:noProof/>
                <w:color w:val="000000"/>
                <w:sz w:val="18"/>
                <w:szCs w:val="18"/>
              </w:rPr>
              <w:br/>
              <w:t xml:space="preserve">Directive 2004/40/EC </w:t>
            </w:r>
            <w:r>
              <w:rPr>
                <w:rFonts w:ascii="Arial" w:hAnsi="Arial" w:cs="Arial"/>
                <w:noProof/>
                <w:color w:val="000000"/>
                <w:sz w:val="18"/>
                <w:szCs w:val="18"/>
              </w:rPr>
              <w:br/>
              <w:t xml:space="preserve">Council Directive 92/104/EEC </w:t>
            </w:r>
            <w:r>
              <w:rPr>
                <w:rFonts w:ascii="Arial" w:hAnsi="Arial" w:cs="Arial"/>
                <w:noProof/>
                <w:color w:val="000000"/>
                <w:sz w:val="18"/>
                <w:szCs w:val="18"/>
              </w:rPr>
              <w:br/>
              <w:t xml:space="preserve">Council Directive 93/103/EC </w:t>
            </w:r>
            <w:r>
              <w:rPr>
                <w:rFonts w:ascii="Arial" w:hAnsi="Arial" w:cs="Arial"/>
                <w:noProof/>
                <w:color w:val="000000"/>
                <w:sz w:val="18"/>
                <w:szCs w:val="18"/>
              </w:rPr>
              <w:br/>
              <w:t xml:space="preserve">Council Directive 98/24/EC </w:t>
            </w:r>
            <w:r>
              <w:rPr>
                <w:rFonts w:ascii="Arial" w:hAnsi="Arial" w:cs="Arial"/>
                <w:noProof/>
                <w:color w:val="000000"/>
                <w:sz w:val="18"/>
                <w:szCs w:val="18"/>
              </w:rPr>
              <w:br/>
              <w:t xml:space="preserve">Directive 1999/92/EC </w:t>
            </w:r>
            <w:r>
              <w:rPr>
                <w:rFonts w:ascii="Arial" w:hAnsi="Arial" w:cs="Arial"/>
                <w:noProof/>
                <w:color w:val="000000"/>
                <w:sz w:val="18"/>
                <w:szCs w:val="18"/>
              </w:rPr>
              <w:br/>
              <w:t xml:space="preserve">Directive 2003/10/EC </w:t>
            </w:r>
            <w:r>
              <w:rPr>
                <w:rFonts w:ascii="Arial" w:hAnsi="Arial" w:cs="Arial"/>
                <w:noProof/>
                <w:color w:val="000000"/>
                <w:sz w:val="18"/>
                <w:szCs w:val="18"/>
              </w:rPr>
              <w:br/>
              <w:t xml:space="preserve">Directive 2006/25/EC </w:t>
            </w:r>
            <w:r>
              <w:rPr>
                <w:rFonts w:ascii="Arial" w:hAnsi="Arial" w:cs="Arial"/>
                <w:noProof/>
                <w:color w:val="000000"/>
                <w:sz w:val="18"/>
                <w:szCs w:val="18"/>
              </w:rPr>
              <w:br/>
              <w:t xml:space="preserve">Directive 2009/148/EC </w:t>
            </w:r>
            <w:r>
              <w:rPr>
                <w:rFonts w:ascii="Arial" w:hAnsi="Arial" w:cs="Arial"/>
                <w:noProof/>
                <w:color w:val="000000"/>
                <w:sz w:val="18"/>
                <w:szCs w:val="18"/>
              </w:rPr>
              <w:br/>
              <w:t xml:space="preserve">Council Directive 89/654/EEC </w:t>
            </w:r>
            <w:r>
              <w:rPr>
                <w:rFonts w:ascii="Arial" w:hAnsi="Arial" w:cs="Arial"/>
                <w:noProof/>
                <w:color w:val="000000"/>
                <w:sz w:val="18"/>
                <w:szCs w:val="18"/>
              </w:rPr>
              <w:br/>
              <w:t xml:space="preserve">Directive 2000/54/EC </w:t>
            </w:r>
            <w:r>
              <w:rPr>
                <w:rFonts w:ascii="Arial" w:hAnsi="Arial" w:cs="Arial"/>
                <w:noProof/>
                <w:color w:val="000000"/>
                <w:sz w:val="18"/>
                <w:szCs w:val="18"/>
              </w:rPr>
              <w:br/>
              <w:t xml:space="preserve">Directive 2004/37/EC </w:t>
            </w:r>
            <w:r>
              <w:rPr>
                <w:rFonts w:ascii="Arial" w:hAnsi="Arial" w:cs="Arial"/>
                <w:noProof/>
                <w:color w:val="000000"/>
                <w:sz w:val="18"/>
                <w:szCs w:val="18"/>
              </w:rPr>
              <w:br/>
              <w:t xml:space="preserve">Council Directive 90/270/EEC </w:t>
            </w:r>
            <w:r>
              <w:rPr>
                <w:rFonts w:ascii="Arial" w:hAnsi="Arial" w:cs="Arial"/>
                <w:noProof/>
                <w:color w:val="000000"/>
                <w:sz w:val="18"/>
                <w:szCs w:val="18"/>
              </w:rPr>
              <w:br/>
              <w:t xml:space="preserve">Council Directive 90/269/EEC </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89/656/EEC </w:t>
            </w:r>
            <w:r>
              <w:rPr>
                <w:rFonts w:ascii="Arial" w:hAnsi="Arial" w:cs="Arial"/>
                <w:noProof/>
                <w:color w:val="000000"/>
                <w:sz w:val="18"/>
                <w:szCs w:val="18"/>
              </w:rPr>
              <w:br/>
              <w:t xml:space="preserve">Directive 2009/104/EC </w:t>
            </w:r>
            <w:r>
              <w:rPr>
                <w:rFonts w:ascii="Arial" w:hAnsi="Arial" w:cs="Arial"/>
                <w:noProof/>
                <w:color w:val="000000"/>
                <w:sz w:val="18"/>
                <w:szCs w:val="18"/>
              </w:rPr>
              <w:br/>
              <w:t xml:space="preserve">Council Directive 92/57/EEC </w:t>
            </w:r>
            <w:r>
              <w:rPr>
                <w:rFonts w:ascii="Arial" w:hAnsi="Arial" w:cs="Arial"/>
                <w:noProof/>
                <w:color w:val="000000"/>
                <w:sz w:val="18"/>
                <w:szCs w:val="18"/>
              </w:rPr>
              <w:br/>
              <w:t xml:space="preserve">Council Directive 92/58/EEC </w:t>
            </w:r>
            <w:r>
              <w:rPr>
                <w:rFonts w:ascii="Arial" w:hAnsi="Arial" w:cs="Arial"/>
                <w:noProof/>
                <w:color w:val="000000"/>
                <w:sz w:val="18"/>
                <w:szCs w:val="18"/>
              </w:rPr>
              <w:br/>
              <w:t xml:space="preserve">Council Directive 92/91/EEC </w:t>
            </w:r>
          </w:p>
        </w:tc>
        <w:tc>
          <w:tcPr>
            <w:tcW w:w="5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C03300</w:t>
            </w:r>
          </w:p>
        </w:tc>
        <w:tc>
          <w:tcPr>
            <w:tcW w:w="126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technical adaptation of legislation on the minimum safety and health requirements for improved medical treatment on board vessels</w:t>
            </w:r>
          </w:p>
        </w:tc>
        <w:tc>
          <w:tcPr>
            <w:tcW w:w="90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92/29/EEC </w:t>
            </w:r>
          </w:p>
        </w:tc>
        <w:tc>
          <w:tcPr>
            <w:tcW w:w="5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C42600</w:t>
            </w:r>
          </w:p>
        </w:tc>
        <w:tc>
          <w:tcPr>
            <w:tcW w:w="126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(EaSI) </w:t>
            </w:r>
          </w:p>
        </w:tc>
        <w:tc>
          <w:tcPr>
            <w:tcW w:w="90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1296/2013 </w:t>
            </w:r>
          </w:p>
        </w:tc>
        <w:tc>
          <w:tcPr>
            <w:tcW w:w="5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C45500</w:t>
            </w:r>
          </w:p>
        </w:tc>
        <w:tc>
          <w:tcPr>
            <w:tcW w:w="126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Fund for European Aid to the Most Deprived</w:t>
            </w:r>
          </w:p>
        </w:tc>
        <w:tc>
          <w:tcPr>
            <w:tcW w:w="90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223/2014 </w:t>
            </w:r>
          </w:p>
        </w:tc>
        <w:tc>
          <w:tcPr>
            <w:tcW w:w="5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C48700</w:t>
            </w:r>
          </w:p>
        </w:tc>
        <w:tc>
          <w:tcPr>
            <w:tcW w:w="126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(EURES) </w:t>
            </w:r>
          </w:p>
        </w:tc>
        <w:tc>
          <w:tcPr>
            <w:tcW w:w="905"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2016/589 </w:t>
            </w:r>
          </w:p>
        </w:tc>
        <w:tc>
          <w:tcPr>
            <w:tcW w:w="5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126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905"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530"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r>
    </w:tbl>
    <w:p>
      <w:pPr>
        <w:spacing w:before="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pStyle w:val="ListDash"/>
        <w:ind w:left="720"/>
        <w:rPr>
          <w:noProof/>
        </w:rPr>
      </w:pPr>
    </w:p>
    <w:p>
      <w:pPr>
        <w:pStyle w:val="ManualHeading1"/>
        <w:rPr>
          <w:noProof/>
        </w:rPr>
      </w:pPr>
      <w:bookmarkStart w:id="28" w:name="_Toc61958546"/>
      <w:bookmarkStart w:id="29" w:name="_Toc62746236"/>
      <w:r>
        <w:rPr>
          <w:noProof/>
        </w:rPr>
        <w:t>Energy (ENER)</w:t>
      </w:r>
      <w:bookmarkEnd w:id="28"/>
      <w:bookmarkEnd w:id="29"/>
    </w:p>
    <w:tbl>
      <w:tblPr>
        <w:tblW w:w="5000" w:type="pct"/>
        <w:tblLayout w:type="fixed"/>
        <w:tblLook w:val="04A0" w:firstRow="1" w:lastRow="0" w:firstColumn="1" w:lastColumn="0" w:noHBand="0" w:noVBand="1"/>
      </w:tblPr>
      <w:tblGrid>
        <w:gridCol w:w="948"/>
        <w:gridCol w:w="3758"/>
        <w:gridCol w:w="2810"/>
        <w:gridCol w:w="1633"/>
        <w:gridCol w:w="524"/>
        <w:gridCol w:w="524"/>
        <w:gridCol w:w="524"/>
        <w:gridCol w:w="524"/>
        <w:gridCol w:w="524"/>
        <w:gridCol w:w="524"/>
        <w:gridCol w:w="524"/>
        <w:gridCol w:w="524"/>
        <w:gridCol w:w="524"/>
        <w:gridCol w:w="524"/>
        <w:gridCol w:w="506"/>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61"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4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54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C07900</w:t>
            </w:r>
          </w:p>
        </w:tc>
        <w:tc>
          <w:tcPr>
            <w:tcW w:w="126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Ecodesign and Energy Labelling of Energy–related Products</w:t>
            </w:r>
          </w:p>
        </w:tc>
        <w:tc>
          <w:tcPr>
            <w:tcW w:w="9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2009/125/EC </w:t>
            </w:r>
            <w:r>
              <w:rPr>
                <w:rFonts w:ascii="Arial" w:hAnsi="Arial" w:cs="Arial"/>
                <w:noProof/>
                <w:color w:val="000000"/>
                <w:sz w:val="18"/>
                <w:szCs w:val="18"/>
              </w:rPr>
              <w:br/>
              <w:t xml:space="preserve">Regulation (EU) 2017/1369 </w:t>
            </w:r>
          </w:p>
        </w:tc>
        <w:tc>
          <w:tcPr>
            <w:tcW w:w="54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6</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6</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C08100</w:t>
            </w:r>
          </w:p>
        </w:tc>
        <w:tc>
          <w:tcPr>
            <w:tcW w:w="126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the implementation of common rules on the transport, distribution, supply and storage of natural gas</w:t>
            </w:r>
          </w:p>
        </w:tc>
        <w:tc>
          <w:tcPr>
            <w:tcW w:w="9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2003/55/EC </w:t>
            </w:r>
            <w:r>
              <w:rPr>
                <w:rFonts w:ascii="Arial" w:hAnsi="Arial" w:cs="Arial"/>
                <w:noProof/>
                <w:color w:val="000000"/>
                <w:sz w:val="18"/>
                <w:szCs w:val="18"/>
              </w:rPr>
              <w:br/>
              <w:t xml:space="preserve">Regulation (EC) No 1775/2005 </w:t>
            </w:r>
            <w:r>
              <w:rPr>
                <w:rFonts w:ascii="Arial" w:hAnsi="Arial" w:cs="Arial"/>
                <w:noProof/>
                <w:color w:val="000000"/>
                <w:sz w:val="18"/>
                <w:szCs w:val="18"/>
              </w:rPr>
              <w:br/>
              <w:t xml:space="preserve">Regulation (EC) No 715/2009 </w:t>
            </w:r>
            <w:r>
              <w:rPr>
                <w:rFonts w:ascii="Arial" w:hAnsi="Arial" w:cs="Arial"/>
                <w:noProof/>
                <w:color w:val="000000"/>
                <w:sz w:val="18"/>
                <w:szCs w:val="18"/>
              </w:rPr>
              <w:br/>
              <w:t xml:space="preserve">Directive 2009/73/EC </w:t>
            </w:r>
          </w:p>
        </w:tc>
        <w:tc>
          <w:tcPr>
            <w:tcW w:w="54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Advisory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C08200</w:t>
            </w:r>
          </w:p>
        </w:tc>
        <w:tc>
          <w:tcPr>
            <w:tcW w:w="126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Electricity cross-border committee</w:t>
            </w:r>
          </w:p>
        </w:tc>
        <w:tc>
          <w:tcPr>
            <w:tcW w:w="9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1228/2003 </w:t>
            </w:r>
            <w:r>
              <w:rPr>
                <w:rFonts w:ascii="Arial" w:hAnsi="Arial" w:cs="Arial"/>
                <w:noProof/>
                <w:color w:val="000000"/>
                <w:sz w:val="18"/>
                <w:szCs w:val="18"/>
              </w:rPr>
              <w:br/>
              <w:t xml:space="preserve">Regulation (EC) No 714/2009 </w:t>
            </w:r>
            <w:r>
              <w:rPr>
                <w:rFonts w:ascii="Arial" w:hAnsi="Arial" w:cs="Arial"/>
                <w:noProof/>
                <w:color w:val="000000"/>
                <w:sz w:val="18"/>
                <w:szCs w:val="18"/>
              </w:rPr>
              <w:br/>
              <w:t xml:space="preserve">Directive 2009/72/EC </w:t>
            </w:r>
          </w:p>
        </w:tc>
        <w:tc>
          <w:tcPr>
            <w:tcW w:w="54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r>
              <w:rPr>
                <w:rFonts w:ascii="Arial" w:hAnsi="Arial" w:cs="Arial"/>
                <w:noProof/>
                <w:color w:val="000000"/>
                <w:sz w:val="18"/>
                <w:szCs w:val="18"/>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C09300</w:t>
            </w:r>
          </w:p>
        </w:tc>
        <w:tc>
          <w:tcPr>
            <w:tcW w:w="126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Energy Performance of Buildings Committee</w:t>
            </w:r>
          </w:p>
        </w:tc>
        <w:tc>
          <w:tcPr>
            <w:tcW w:w="9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rPr>
              <w:t xml:space="preserve">Directive 2002/91/EC </w:t>
            </w:r>
            <w:r>
              <w:rPr>
                <w:rFonts w:ascii="Arial" w:hAnsi="Arial" w:cs="Arial"/>
                <w:noProof/>
                <w:color w:val="000000"/>
                <w:sz w:val="18"/>
                <w:szCs w:val="18"/>
                <w:lang w:val="fr-BE"/>
              </w:rPr>
              <w:br/>
              <w:t xml:space="preserve">Directive 2006/32/EC </w:t>
            </w:r>
            <w:r>
              <w:rPr>
                <w:rFonts w:ascii="Arial" w:hAnsi="Arial" w:cs="Arial"/>
                <w:noProof/>
                <w:color w:val="000000"/>
                <w:sz w:val="18"/>
                <w:szCs w:val="18"/>
                <w:lang w:val="fr-BE"/>
              </w:rPr>
              <w:br/>
              <w:t xml:space="preserve">Directive 2010/31/EU </w:t>
            </w:r>
          </w:p>
        </w:tc>
        <w:tc>
          <w:tcPr>
            <w:tcW w:w="54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95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C33100</w:t>
            </w:r>
          </w:p>
        </w:tc>
        <w:tc>
          <w:tcPr>
            <w:tcW w:w="1261"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nuclear decommissioning assistance programme</w:t>
            </w:r>
          </w:p>
        </w:tc>
        <w:tc>
          <w:tcPr>
            <w:tcW w:w="94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(Euratom) No 549/2007 </w:t>
            </w:r>
            <w:r>
              <w:rPr>
                <w:rFonts w:ascii="Arial" w:hAnsi="Arial" w:cs="Arial"/>
                <w:noProof/>
                <w:color w:val="000000"/>
                <w:sz w:val="18"/>
                <w:szCs w:val="18"/>
              </w:rPr>
              <w:br/>
              <w:t xml:space="preserve">Council Regulation (EC) No 1990/2006 </w:t>
            </w:r>
            <w:r>
              <w:rPr>
                <w:rFonts w:ascii="Arial" w:hAnsi="Arial" w:cs="Arial"/>
                <w:noProof/>
                <w:color w:val="000000"/>
                <w:sz w:val="18"/>
                <w:szCs w:val="18"/>
              </w:rPr>
              <w:br/>
              <w:t xml:space="preserve">Protocol concerning the conditions and arrangements for admission </w:t>
            </w:r>
            <w:r>
              <w:rPr>
                <w:rFonts w:ascii="Arial" w:hAnsi="Arial" w:cs="Arial"/>
                <w:noProof/>
                <w:color w:val="000000"/>
                <w:sz w:val="18"/>
                <w:szCs w:val="18"/>
              </w:rPr>
              <w:br/>
              <w:t xml:space="preserve">Council Regulation (Euratom) No 1369/2013 </w:t>
            </w:r>
            <w:r>
              <w:rPr>
                <w:rFonts w:ascii="Arial" w:hAnsi="Arial" w:cs="Arial"/>
                <w:noProof/>
                <w:color w:val="000000"/>
                <w:sz w:val="18"/>
                <w:szCs w:val="18"/>
              </w:rPr>
              <w:br/>
              <w:t xml:space="preserve">Council Regulation (Euratom) No 1368/2013 </w:t>
            </w:r>
          </w:p>
        </w:tc>
        <w:tc>
          <w:tcPr>
            <w:tcW w:w="54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C37300</w:t>
            </w:r>
          </w:p>
        </w:tc>
        <w:tc>
          <w:tcPr>
            <w:tcW w:w="126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Renewable Energy Sources</w:t>
            </w:r>
          </w:p>
        </w:tc>
        <w:tc>
          <w:tcPr>
            <w:tcW w:w="94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2009/28/EC </w:t>
            </w:r>
          </w:p>
        </w:tc>
        <w:tc>
          <w:tcPr>
            <w:tcW w:w="54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C37500</w:t>
            </w:r>
          </w:p>
        </w:tc>
        <w:tc>
          <w:tcPr>
            <w:tcW w:w="126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sz w:val="18"/>
                <w:szCs w:val="18"/>
                <w:lang w:eastAsia="en-GB"/>
              </w:rPr>
            </w:pPr>
            <w:r>
              <w:rPr>
                <w:rFonts w:ascii="Arial" w:hAnsi="Arial" w:cs="Arial"/>
                <w:noProof/>
                <w:sz w:val="18"/>
                <w:szCs w:val="18"/>
              </w:rPr>
              <w:t>Committee on the Sustainability of Biofuels Bioliquids and Biomass fuels</w:t>
            </w:r>
          </w:p>
        </w:tc>
        <w:tc>
          <w:tcPr>
            <w:tcW w:w="94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Directive(EU)2018/2001</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 </w:t>
            </w:r>
          </w:p>
        </w:tc>
        <w:tc>
          <w:tcPr>
            <w:tcW w:w="54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Advisory </w:t>
            </w:r>
            <w:r>
              <w:rPr>
                <w:rFonts w:ascii="Arial" w:hAnsi="Arial" w:cs="Arial"/>
                <w:noProof/>
                <w:color w:val="000000"/>
                <w:sz w:val="18"/>
                <w:szCs w:val="18"/>
              </w:rPr>
              <w:br/>
              <w:t>Examination</w:t>
            </w:r>
            <w:r>
              <w:rPr>
                <w:rFonts w:ascii="Arial" w:hAnsi="Arial" w:cs="Arial"/>
                <w:noProof/>
                <w:color w:val="000000"/>
                <w:sz w:val="18"/>
                <w:szCs w:val="18"/>
              </w:rPr>
              <w:br/>
              <w:t>Advisory</w:t>
            </w:r>
            <w:r>
              <w:rPr>
                <w:rFonts w:ascii="Arial" w:hAnsi="Arial" w:cs="Arial"/>
                <w:noProof/>
                <w:color w:val="000000"/>
                <w:sz w:val="18"/>
                <w:szCs w:val="18"/>
              </w:rPr>
              <w:br/>
              <w:t>Regulatory w/scrutiny</w:t>
            </w:r>
            <w:r>
              <w:rPr>
                <w:rFonts w:ascii="Arial" w:hAnsi="Arial" w:cs="Arial"/>
                <w:noProof/>
                <w:color w:val="000000"/>
                <w:sz w:val="18"/>
                <w:szCs w:val="18"/>
              </w:rPr>
              <w:br/>
              <w:t>Examination</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FF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7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C38500</w:t>
            </w:r>
          </w:p>
        </w:tc>
        <w:tc>
          <w:tcPr>
            <w:tcW w:w="126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the labelling of tyres</w:t>
            </w:r>
          </w:p>
        </w:tc>
        <w:tc>
          <w:tcPr>
            <w:tcW w:w="94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1222/2009 </w:t>
            </w:r>
          </w:p>
        </w:tc>
        <w:tc>
          <w:tcPr>
            <w:tcW w:w="54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C41000</w:t>
            </w:r>
          </w:p>
        </w:tc>
        <w:tc>
          <w:tcPr>
            <w:tcW w:w="126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oil stocks directive (2009/119/EC)</w:t>
            </w:r>
          </w:p>
        </w:tc>
        <w:tc>
          <w:tcPr>
            <w:tcW w:w="94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2009/119/EC </w:t>
            </w:r>
          </w:p>
        </w:tc>
        <w:tc>
          <w:tcPr>
            <w:tcW w:w="54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C41200</w:t>
            </w:r>
          </w:p>
        </w:tc>
        <w:tc>
          <w:tcPr>
            <w:tcW w:w="126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Energy Efficiency Directive Committee (Directive 2012/27/EU)</w:t>
            </w:r>
          </w:p>
        </w:tc>
        <w:tc>
          <w:tcPr>
            <w:tcW w:w="94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2012/27/EU </w:t>
            </w:r>
          </w:p>
        </w:tc>
        <w:tc>
          <w:tcPr>
            <w:tcW w:w="54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C42100</w:t>
            </w:r>
          </w:p>
        </w:tc>
        <w:tc>
          <w:tcPr>
            <w:tcW w:w="126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The Committee on the implementing rules of Regulation (EU) No 1227/2011 of the European Parliament and of the Council on wholesale energy market integrity and transparency </w:t>
            </w:r>
          </w:p>
        </w:tc>
        <w:tc>
          <w:tcPr>
            <w:tcW w:w="94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1227/2011 </w:t>
            </w:r>
          </w:p>
        </w:tc>
        <w:tc>
          <w:tcPr>
            <w:tcW w:w="54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C45100</w:t>
            </w:r>
          </w:p>
        </w:tc>
        <w:tc>
          <w:tcPr>
            <w:tcW w:w="126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Committee on safety of offshore oil and gas operations </w:t>
            </w:r>
          </w:p>
        </w:tc>
        <w:tc>
          <w:tcPr>
            <w:tcW w:w="94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2013/30/EU </w:t>
            </w:r>
          </w:p>
        </w:tc>
        <w:tc>
          <w:tcPr>
            <w:tcW w:w="54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C51000</w:t>
            </w:r>
          </w:p>
        </w:tc>
        <w:tc>
          <w:tcPr>
            <w:tcW w:w="126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Energy Union Committee</w:t>
            </w:r>
          </w:p>
        </w:tc>
        <w:tc>
          <w:tcPr>
            <w:tcW w:w="94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2018/1999 </w:t>
            </w:r>
          </w:p>
        </w:tc>
        <w:tc>
          <w:tcPr>
            <w:tcW w:w="54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C51800</w:t>
            </w:r>
          </w:p>
        </w:tc>
        <w:tc>
          <w:tcPr>
            <w:tcW w:w="1261"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Committee on the Sustainability of Biofuels, Bioliquids and Biomass fuels</w:t>
            </w:r>
          </w:p>
        </w:tc>
        <w:tc>
          <w:tcPr>
            <w:tcW w:w="94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Directive (EU) 2018/2001</w:t>
            </w:r>
          </w:p>
        </w:tc>
        <w:tc>
          <w:tcPr>
            <w:tcW w:w="54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Examination_2011</w:t>
            </w:r>
          </w:p>
          <w:p>
            <w:pPr>
              <w:spacing w:before="0" w:after="0"/>
              <w:jc w:val="left"/>
              <w:rPr>
                <w:rFonts w:ascii="Arial" w:hAnsi="Arial" w:cs="Arial"/>
                <w:noProof/>
                <w:color w:val="000000"/>
                <w:sz w:val="18"/>
                <w:szCs w:val="18"/>
              </w:rPr>
            </w:pPr>
            <w:r>
              <w:rPr>
                <w:rFonts w:ascii="Arial" w:hAnsi="Arial" w:cs="Arial"/>
                <w:noProof/>
                <w:color w:val="000000"/>
                <w:sz w:val="18"/>
                <w:szCs w:val="18"/>
              </w:rPr>
              <w:t>Examination_2011_urgency</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126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94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548"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sz w:val="18"/>
                <w:szCs w:val="18"/>
              </w:rPr>
              <w:t>17</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sz w:val="18"/>
                <w:szCs w:val="18"/>
                <w:lang w:eastAsia="en-GB"/>
              </w:rPr>
              <w:t>12</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4</w:t>
            </w:r>
          </w:p>
        </w:tc>
        <w:tc>
          <w:tcPr>
            <w:tcW w:w="17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10</w:t>
            </w:r>
          </w:p>
        </w:tc>
      </w:tr>
    </w:tbl>
    <w:p>
      <w:pPr>
        <w:spacing w:before="0" w:after="0"/>
        <w:rPr>
          <w:b/>
          <w:noProof/>
          <w:u w:val="single"/>
        </w:rPr>
      </w:pPr>
      <w:bookmarkStart w:id="30" w:name="_Toc310414138"/>
    </w:p>
    <w:p>
      <w:pPr>
        <w:spacing w:before="0" w:after="0"/>
        <w:rPr>
          <w:b/>
          <w:noProof/>
        </w:rPr>
      </w:pPr>
      <w:r>
        <w:rPr>
          <w:b/>
          <w:noProof/>
          <w:u w:val="single"/>
        </w:rPr>
        <w:t>Newly created (or transferred) committee(s)</w:t>
      </w:r>
      <w:r>
        <w:rPr>
          <w:b/>
          <w:noProof/>
        </w:rPr>
        <w:t>:</w:t>
      </w:r>
    </w:p>
    <w:p>
      <w:pPr>
        <w:pStyle w:val="ListDash"/>
        <w:numPr>
          <w:ilvl w:val="0"/>
          <w:numId w:val="36"/>
        </w:numPr>
        <w:spacing w:before="0" w:after="0"/>
        <w:rPr>
          <w:noProof/>
        </w:rPr>
      </w:pPr>
      <w:r>
        <w:rPr>
          <w:noProof/>
        </w:rPr>
        <w:t>C51800 – Committee on the Sustainability of Biofuels, Bioliquids and Biomass fuels - Directive (EU) 2018/2001</w:t>
      </w:r>
    </w:p>
    <w:p>
      <w:pPr>
        <w:spacing w:before="0" w:after="0"/>
        <w:rPr>
          <w:b/>
          <w:noProof/>
        </w:rPr>
      </w:pPr>
      <w:r>
        <w:rPr>
          <w:b/>
          <w:noProof/>
          <w:u w:val="single"/>
        </w:rPr>
        <w:t>Abolished (or transferred) committee(s)</w:t>
      </w:r>
      <w:r>
        <w:rPr>
          <w:b/>
          <w:noProof/>
        </w:rPr>
        <w:t>:</w:t>
      </w:r>
    </w:p>
    <w:p>
      <w:pPr>
        <w:pStyle w:val="ListParagraph"/>
        <w:numPr>
          <w:ilvl w:val="0"/>
          <w:numId w:val="36"/>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Paragraph"/>
        <w:numPr>
          <w:ilvl w:val="0"/>
          <w:numId w:val="41"/>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Paragraph"/>
        <w:numPr>
          <w:ilvl w:val="0"/>
          <w:numId w:val="36"/>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Paragrap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Paragrap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Paragraph"/>
        <w:numPr>
          <w:ilvl w:val="0"/>
          <w:numId w:val="36"/>
        </w:numPr>
        <w:spacing w:before="0" w:after="0"/>
        <w:rPr>
          <w:b/>
          <w:noProof/>
          <w:u w:val="single"/>
        </w:rPr>
      </w:pPr>
      <w:r>
        <w:rPr>
          <w:noProof/>
        </w:rPr>
        <w:t>none</w:t>
      </w:r>
      <w:r>
        <w:rPr>
          <w:noProof/>
        </w:rPr>
        <w:tab/>
      </w:r>
      <w:r>
        <w:rPr>
          <w:noProof/>
        </w:rPr>
        <w:br/>
      </w:r>
    </w:p>
    <w:p>
      <w:pPr>
        <w:spacing w:before="0" w:after="0"/>
        <w:rPr>
          <w:b/>
          <w:noProof/>
          <w:u w:val="single"/>
        </w:rPr>
      </w:pPr>
      <w:r>
        <w:rPr>
          <w:b/>
          <w:noProof/>
          <w:color w:val="000000"/>
          <w:u w:val="single"/>
        </w:rPr>
        <w:t>Case Law or other cases of particular interest:</w:t>
      </w:r>
    </w:p>
    <w:p>
      <w:pPr>
        <w:pStyle w:val="ListParagraph"/>
        <w:numPr>
          <w:ilvl w:val="0"/>
          <w:numId w:val="36"/>
        </w:numPr>
        <w:spacing w:before="0" w:after="0"/>
        <w:rPr>
          <w:noProof/>
        </w:rPr>
      </w:pPr>
      <w:r>
        <w:rPr>
          <w:noProof/>
        </w:rPr>
        <w:t>Annulment of the energy labelling regulation for vacuum cleaners (EU) No 665/2013:</w:t>
      </w:r>
    </w:p>
    <w:p>
      <w:pPr>
        <w:pStyle w:val="ListParagraph"/>
        <w:spacing w:before="0" w:after="0"/>
        <w:rPr>
          <w:noProof/>
        </w:rPr>
      </w:pPr>
      <w:r>
        <w:rPr>
          <w:noProof/>
        </w:rPr>
        <w:t>Notice concerning the annulment of Commission Delegated Regulation (EU) No 665/2013 supplementing Directive 2010/30/EU of the European Parliament and of the Council with regard to energy labelling of vacuum cleaners</w:t>
      </w:r>
    </w:p>
    <w:p>
      <w:pPr>
        <w:pStyle w:val="ListParagraph"/>
        <w:spacing w:before="0" w:after="0"/>
        <w:rPr>
          <w:noProof/>
        </w:rPr>
      </w:pPr>
      <w:hyperlink r:id="rId29" w:history="1">
        <w:r>
          <w:rPr>
            <w:rStyle w:val="Hyperlink"/>
            <w:noProof/>
          </w:rPr>
          <w:t>https://eur-lex.europa.eu/legal-content/EN/TXT/?uri=uriserv:OJ.C_.2019.096.01.0035.01.ENG&amp;toc=OJ:C:2019:096:TOC</w:t>
        </w:r>
      </w:hyperlink>
    </w:p>
    <w:p>
      <w:pPr>
        <w:pStyle w:val="ListParagraph"/>
        <w:rPr>
          <w:noProof/>
        </w:rPr>
      </w:pPr>
    </w:p>
    <w:p>
      <w:pPr>
        <w:pStyle w:val="ListParagraph"/>
        <w:rPr>
          <w:noProof/>
        </w:rPr>
      </w:pPr>
    </w:p>
    <w:p>
      <w:pPr>
        <w:pStyle w:val="ManualHeading1"/>
        <w:rPr>
          <w:noProof/>
        </w:rPr>
      </w:pPr>
      <w:bookmarkStart w:id="31" w:name="_Toc61958547"/>
      <w:bookmarkStart w:id="32" w:name="_Toc62746237"/>
      <w:r>
        <w:rPr>
          <w:noProof/>
        </w:rPr>
        <w:t>Environment (ENV)</w:t>
      </w:r>
      <w:bookmarkEnd w:id="30"/>
      <w:bookmarkEnd w:id="31"/>
      <w:bookmarkEnd w:id="32"/>
    </w:p>
    <w:tbl>
      <w:tblPr>
        <w:tblW w:w="5000" w:type="pct"/>
        <w:tblLook w:val="04A0" w:firstRow="1" w:lastRow="0" w:firstColumn="1" w:lastColumn="0" w:noHBand="0" w:noVBand="1"/>
      </w:tblPr>
      <w:tblGrid>
        <w:gridCol w:w="948"/>
        <w:gridCol w:w="3963"/>
        <w:gridCol w:w="2601"/>
        <w:gridCol w:w="1469"/>
        <w:gridCol w:w="539"/>
        <w:gridCol w:w="539"/>
        <w:gridCol w:w="539"/>
        <w:gridCol w:w="539"/>
        <w:gridCol w:w="539"/>
        <w:gridCol w:w="539"/>
        <w:gridCol w:w="539"/>
        <w:gridCol w:w="539"/>
        <w:gridCol w:w="539"/>
        <w:gridCol w:w="539"/>
        <w:gridCol w:w="524"/>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3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7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9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C11300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implementing the directive establishing a Community policy regarding water</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2007/60/EC </w:t>
            </w:r>
            <w:r>
              <w:rPr>
                <w:rFonts w:ascii="Arial" w:hAnsi="Arial" w:cs="Arial"/>
                <w:noProof/>
                <w:color w:val="000000"/>
                <w:sz w:val="18"/>
                <w:szCs w:val="18"/>
              </w:rPr>
              <w:br/>
              <w:t xml:space="preserve">Directive 2000/60/EC </w:t>
            </w:r>
            <w:r>
              <w:rPr>
                <w:rFonts w:ascii="Arial" w:hAnsi="Arial" w:cs="Arial"/>
                <w:noProof/>
                <w:color w:val="000000"/>
                <w:sz w:val="18"/>
                <w:szCs w:val="18"/>
              </w:rPr>
              <w:br/>
              <w:t xml:space="preserve">Directive 2006/118/EC </w:t>
            </w:r>
            <w:r>
              <w:rPr>
                <w:rFonts w:ascii="Arial" w:hAnsi="Arial" w:cs="Arial"/>
                <w:noProof/>
                <w:color w:val="000000"/>
                <w:sz w:val="18"/>
                <w:szCs w:val="18"/>
              </w:rPr>
              <w:br/>
              <w:t xml:space="preserve">Directive 2008/105/EC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C11400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scientific and technical progress and implementation of the directive on protection of waters against pollution caused by nitrates from agricultural sources</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91/676/EEC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C11600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scientific and technical progress and implementation of the directive on urban waste water treatment</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91/271/EEC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rPr>
            </w:pPr>
            <w:r>
              <w:rPr>
                <w:rFonts w:ascii="Arial" w:hAnsi="Arial" w:cs="Arial"/>
                <w:noProof/>
                <w:color w:val="000000"/>
                <w:sz w:val="18"/>
                <w:szCs w:val="18"/>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C11800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scientific and technical progress of the directive on conservation of wild birds (ORNIS)</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79/409/EEC </w:t>
            </w:r>
            <w:r>
              <w:rPr>
                <w:rFonts w:ascii="Arial" w:hAnsi="Arial" w:cs="Arial"/>
                <w:noProof/>
                <w:color w:val="000000"/>
                <w:sz w:val="18"/>
                <w:szCs w:val="18"/>
              </w:rPr>
              <w:br/>
              <w:t xml:space="preserve">Directive 2009/147/EC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C11900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technical and scientific progress of the directive on the quality of water intended for human consumption</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98/83/EC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C12500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technical progress of the directive on the control of volatile organic compound emissions resulting from the storage of petrol and its distribution from terminals to service stations (VOC)</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European Parliament and Council Directive 94/63/EC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C13100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protection of species of wild fauna and flora by regulating trade therein</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338/97 </w:t>
            </w:r>
            <w:r>
              <w:rPr>
                <w:rFonts w:ascii="Arial" w:hAnsi="Arial" w:cs="Arial"/>
                <w:noProof/>
                <w:color w:val="000000"/>
                <w:sz w:val="18"/>
                <w:szCs w:val="18"/>
              </w:rPr>
              <w:br/>
              <w:t xml:space="preserve">Regulation (EC) No 1007/2009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C13400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the conservation of natural habitats and of wild fauna and flora (HABITAT)</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92/43/EEC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C14000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of Competent Authorities established under the directive on the control of major-accident hazards involving dangerous substances (Seveso Directive 2012/18/EU)</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96/82/EC </w:t>
            </w:r>
            <w:r>
              <w:rPr>
                <w:rFonts w:ascii="Arial" w:hAnsi="Arial" w:cs="Arial"/>
                <w:noProof/>
                <w:color w:val="000000"/>
                <w:sz w:val="18"/>
                <w:szCs w:val="18"/>
              </w:rPr>
              <w:br/>
              <w:t xml:space="preserve">Directive 2012/18/EU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C30200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Committee on the implementation of the European PRTR</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166/2006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C33500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implementation of the Directive on Sulphur content in Marine Fuels</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1999/32/EC </w:t>
            </w:r>
            <w:r>
              <w:rPr>
                <w:rFonts w:ascii="Arial" w:hAnsi="Arial" w:cs="Arial"/>
                <w:noProof/>
                <w:color w:val="000000"/>
                <w:sz w:val="18"/>
                <w:szCs w:val="18"/>
              </w:rPr>
              <w:br/>
              <w:t xml:space="preserve">Directive (EU) 2016/802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C33600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Infrastructure for Spatial Information in the European Community (INSPIRE)</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2007/2/EC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C33800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Forest Law Enforcement Governance and Trade (FLEGT) Committee</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2173/2005 </w:t>
            </w:r>
            <w:r>
              <w:rPr>
                <w:rFonts w:ascii="Arial" w:hAnsi="Arial" w:cs="Arial"/>
                <w:noProof/>
                <w:color w:val="000000"/>
                <w:sz w:val="18"/>
                <w:szCs w:val="18"/>
              </w:rPr>
              <w:br/>
              <w:t xml:space="preserve">Regulation (EU) No 995/2010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C34300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technical progress of Directive 2006/7/EC concerning the management of bathing water quality</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2006/7/EC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C35500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The Ambient Air Quality Committee</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rPr>
              <w:t xml:space="preserve">Directive 2008/50/EC </w:t>
            </w:r>
            <w:r>
              <w:rPr>
                <w:rFonts w:ascii="Arial" w:hAnsi="Arial" w:cs="Arial"/>
                <w:noProof/>
                <w:color w:val="000000"/>
                <w:sz w:val="18"/>
                <w:szCs w:val="18"/>
                <w:lang w:val="fr-BE"/>
              </w:rPr>
              <w:br/>
              <w:t xml:space="preserve">Directive 2004/107/EC </w:t>
            </w:r>
            <w:r>
              <w:rPr>
                <w:rFonts w:ascii="Arial" w:hAnsi="Arial" w:cs="Arial"/>
                <w:noProof/>
                <w:color w:val="000000"/>
                <w:sz w:val="18"/>
                <w:szCs w:val="18"/>
                <w:lang w:val="fr-BE"/>
              </w:rPr>
              <w:br/>
              <w:t xml:space="preserve">Directive 2001/81/EC </w:t>
            </w:r>
            <w:r>
              <w:rPr>
                <w:rFonts w:ascii="Arial" w:hAnsi="Arial" w:cs="Arial"/>
                <w:noProof/>
                <w:color w:val="000000"/>
                <w:sz w:val="18"/>
                <w:szCs w:val="18"/>
                <w:lang w:val="fr-BE"/>
              </w:rPr>
              <w:br/>
              <w:t xml:space="preserve">Directive (EU) 2016/2284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C36400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implementing the marine strategy framework directive</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2008/56/EC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C37000</w:t>
            </w:r>
          </w:p>
        </w:tc>
        <w:tc>
          <w:tcPr>
            <w:tcW w:w="1330"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The Committee for the adaptation to scientific and technical progress and implementation of Directive 2008/98/EC on waste </w:t>
            </w:r>
          </w:p>
        </w:tc>
        <w:tc>
          <w:tcPr>
            <w:tcW w:w="87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 xml:space="preserve">Directive 2008/98/EC </w:t>
            </w:r>
            <w:r>
              <w:rPr>
                <w:rFonts w:ascii="Arial" w:hAnsi="Arial" w:cs="Arial"/>
                <w:noProof/>
                <w:color w:val="000000"/>
                <w:sz w:val="18"/>
                <w:szCs w:val="18"/>
              </w:rPr>
              <w:br/>
              <w:t xml:space="preserve">Directive 2012/19/EU </w:t>
            </w:r>
            <w:r>
              <w:rPr>
                <w:rFonts w:ascii="Arial" w:hAnsi="Arial" w:cs="Arial"/>
                <w:noProof/>
                <w:color w:val="000000"/>
                <w:sz w:val="18"/>
                <w:szCs w:val="18"/>
              </w:rPr>
              <w:br/>
              <w:t xml:space="preserve">Directive 2011/65/EU </w:t>
            </w:r>
            <w:r>
              <w:rPr>
                <w:rFonts w:ascii="Arial" w:hAnsi="Arial" w:cs="Arial"/>
                <w:noProof/>
                <w:color w:val="000000"/>
                <w:sz w:val="18"/>
                <w:szCs w:val="18"/>
              </w:rPr>
              <w:br/>
              <w:t xml:space="preserve">Directive 2002/95/EC </w:t>
            </w:r>
            <w:r>
              <w:rPr>
                <w:rFonts w:ascii="Arial" w:hAnsi="Arial" w:cs="Arial"/>
                <w:noProof/>
                <w:color w:val="000000"/>
                <w:sz w:val="18"/>
                <w:szCs w:val="18"/>
              </w:rPr>
              <w:br/>
              <w:t xml:space="preserve">Council Directive 96/59/EC </w:t>
            </w:r>
            <w:r>
              <w:rPr>
                <w:rFonts w:ascii="Arial" w:hAnsi="Arial" w:cs="Arial"/>
                <w:noProof/>
                <w:color w:val="000000"/>
                <w:sz w:val="18"/>
                <w:szCs w:val="18"/>
              </w:rPr>
              <w:br/>
              <w:t xml:space="preserve">Regulation (EC) No 1013/2006 </w:t>
            </w:r>
            <w:r>
              <w:rPr>
                <w:rFonts w:ascii="Arial" w:hAnsi="Arial" w:cs="Arial"/>
                <w:noProof/>
                <w:color w:val="000000"/>
                <w:sz w:val="18"/>
                <w:szCs w:val="18"/>
              </w:rPr>
              <w:br/>
              <w:t xml:space="preserve">Regulation (EC) No 850/2004 </w:t>
            </w:r>
            <w:r>
              <w:rPr>
                <w:rFonts w:ascii="Arial" w:hAnsi="Arial" w:cs="Arial"/>
                <w:noProof/>
                <w:color w:val="000000"/>
                <w:sz w:val="18"/>
                <w:szCs w:val="18"/>
              </w:rPr>
              <w:br/>
              <w:t xml:space="preserve">Council Directive 1999/31/EC </w:t>
            </w:r>
            <w:r>
              <w:rPr>
                <w:rFonts w:ascii="Arial" w:hAnsi="Arial" w:cs="Arial"/>
                <w:noProof/>
                <w:color w:val="000000"/>
                <w:sz w:val="18"/>
                <w:szCs w:val="18"/>
              </w:rPr>
              <w:br/>
              <w:t xml:space="preserve">Council Directive 91/689/EEC </w:t>
            </w:r>
            <w:r>
              <w:rPr>
                <w:rFonts w:ascii="Arial" w:hAnsi="Arial" w:cs="Arial"/>
                <w:noProof/>
                <w:color w:val="000000"/>
                <w:sz w:val="18"/>
                <w:szCs w:val="18"/>
              </w:rPr>
              <w:br/>
              <w:t xml:space="preserve">Directive 2006/66/EC </w:t>
            </w:r>
            <w:r>
              <w:rPr>
                <w:rFonts w:ascii="Arial" w:hAnsi="Arial" w:cs="Arial"/>
                <w:noProof/>
                <w:color w:val="000000"/>
                <w:sz w:val="18"/>
                <w:szCs w:val="18"/>
              </w:rPr>
              <w:br/>
              <w:t xml:space="preserve">Directive 2000/53/EC </w:t>
            </w:r>
            <w:r>
              <w:rPr>
                <w:rFonts w:ascii="Arial" w:hAnsi="Arial" w:cs="Arial"/>
                <w:noProof/>
                <w:color w:val="000000"/>
                <w:sz w:val="18"/>
                <w:szCs w:val="18"/>
              </w:rPr>
              <w:br/>
              <w:t xml:space="preserve">Directive 2006/21/EC </w:t>
            </w:r>
            <w:r>
              <w:rPr>
                <w:rFonts w:ascii="Arial" w:hAnsi="Arial" w:cs="Arial"/>
                <w:noProof/>
                <w:color w:val="000000"/>
                <w:sz w:val="18"/>
                <w:szCs w:val="18"/>
              </w:rPr>
              <w:br/>
              <w:t xml:space="preserve">Directive 2002/96/EC </w:t>
            </w:r>
            <w:r>
              <w:rPr>
                <w:rFonts w:ascii="Arial" w:hAnsi="Arial" w:cs="Arial"/>
                <w:noProof/>
                <w:color w:val="000000"/>
                <w:sz w:val="18"/>
                <w:szCs w:val="18"/>
              </w:rPr>
              <w:br/>
              <w:t xml:space="preserve">Directive 2006/12/EC </w:t>
            </w:r>
          </w:p>
          <w:p>
            <w:pPr>
              <w:spacing w:before="0" w:after="0"/>
              <w:jc w:val="left"/>
              <w:rPr>
                <w:rFonts w:ascii="Arial" w:hAnsi="Arial" w:cs="Arial"/>
                <w:noProof/>
                <w:color w:val="000000"/>
                <w:sz w:val="18"/>
                <w:szCs w:val="18"/>
              </w:rPr>
            </w:pPr>
            <w:r>
              <w:rPr>
                <w:rFonts w:ascii="Arial" w:hAnsi="Arial" w:cs="Arial"/>
                <w:noProof/>
                <w:color w:val="000000"/>
                <w:sz w:val="18"/>
                <w:szCs w:val="18"/>
              </w:rPr>
              <w:t>Regulation 2019/1021</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Directive 2018/852</w:t>
            </w:r>
          </w:p>
        </w:tc>
        <w:tc>
          <w:tcPr>
            <w:tcW w:w="49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C38700</w:t>
            </w:r>
          </w:p>
        </w:tc>
        <w:tc>
          <w:tcPr>
            <w:tcW w:w="1330"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technical progress and application of the Community award scheme for an eco-label (ECO-LABEL)</w:t>
            </w:r>
          </w:p>
        </w:tc>
        <w:tc>
          <w:tcPr>
            <w:tcW w:w="87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66/2010 </w:t>
            </w:r>
          </w:p>
        </w:tc>
        <w:tc>
          <w:tcPr>
            <w:tcW w:w="49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C38800</w:t>
            </w:r>
          </w:p>
        </w:tc>
        <w:tc>
          <w:tcPr>
            <w:tcW w:w="1330"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the Community eco-management and audit scheme (EMAS)</w:t>
            </w:r>
          </w:p>
        </w:tc>
        <w:tc>
          <w:tcPr>
            <w:tcW w:w="87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1221/2009 </w:t>
            </w:r>
          </w:p>
        </w:tc>
        <w:tc>
          <w:tcPr>
            <w:tcW w:w="49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C40000</w:t>
            </w:r>
          </w:p>
        </w:tc>
        <w:tc>
          <w:tcPr>
            <w:tcW w:w="1330"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Industrial Emissions Directive (IED) Article 75 Committee</w:t>
            </w:r>
          </w:p>
        </w:tc>
        <w:tc>
          <w:tcPr>
            <w:tcW w:w="87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val="fr-BE"/>
              </w:rPr>
            </w:pPr>
            <w:r>
              <w:rPr>
                <w:rFonts w:ascii="Arial" w:hAnsi="Arial" w:cs="Arial"/>
                <w:noProof/>
                <w:color w:val="000000"/>
                <w:sz w:val="18"/>
                <w:szCs w:val="18"/>
                <w:lang w:val="fr-BE"/>
              </w:rPr>
              <w:t xml:space="preserve">Directive 2010/75/EU </w:t>
            </w:r>
            <w:r>
              <w:rPr>
                <w:rFonts w:ascii="Arial" w:hAnsi="Arial" w:cs="Arial"/>
                <w:noProof/>
                <w:color w:val="000000"/>
                <w:sz w:val="18"/>
                <w:szCs w:val="18"/>
                <w:lang w:val="fr-BE"/>
              </w:rPr>
              <w:br/>
              <w:t xml:space="preserve">Directive 2004/42/CE </w:t>
            </w:r>
          </w:p>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rPr>
              <w:t>Directive 2015/2193/EU</w:t>
            </w:r>
          </w:p>
        </w:tc>
        <w:tc>
          <w:tcPr>
            <w:tcW w:w="49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Regulatory w/scrutiny</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C40800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Animals in Science Committee </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2010/63/EU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r>
              <w:rPr>
                <w:rFonts w:ascii="Arial" w:hAnsi="Arial" w:cs="Arial"/>
                <w:noProof/>
                <w:color w:val="000000"/>
                <w:sz w:val="18"/>
                <w:szCs w:val="18"/>
              </w:rPr>
              <w:br/>
              <w:t>Advisory_2011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C42200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for the adaptation to technical progress of the directive on the Stage II control of volatile organic compound emissions resulting from the refuelling of motor vehicles at service stations (VOC)</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2009/126/EC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C43600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LIFE Committee for Environment and Climate Action</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(EC) No 1293/2013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C46900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‘Access and benefit sharing’ Committee</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511/2014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C47600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invasive alien species</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No 1143/2014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C48100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Ship Recycling Regulation Committee</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N°1257/2013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C49700</w:t>
            </w:r>
          </w:p>
        </w:tc>
        <w:tc>
          <w:tcPr>
            <w:tcW w:w="133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The Mercury Regulation Art. 22 Committee </w:t>
            </w:r>
          </w:p>
        </w:tc>
        <w:tc>
          <w:tcPr>
            <w:tcW w:w="87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2017/852 </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1330"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Total</w:t>
            </w:r>
          </w:p>
        </w:tc>
        <w:tc>
          <w:tcPr>
            <w:tcW w:w="87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rPr>
              <w:t> </w:t>
            </w:r>
          </w:p>
        </w:tc>
        <w:tc>
          <w:tcPr>
            <w:tcW w:w="493" w:type="pct"/>
            <w:tcBorders>
              <w:top w:val="nil"/>
              <w:left w:val="nil"/>
              <w:bottom w:val="single" w:sz="4" w:space="0" w:color="auto"/>
              <w:right w:val="single" w:sz="4" w:space="0" w:color="auto"/>
            </w:tcBorders>
            <w:shd w:val="clear" w:color="FFFFFF" w:fill="FFFFCC"/>
            <w:noWrap/>
            <w:vAlign w:val="center"/>
          </w:tcPr>
          <w:p>
            <w:pPr>
              <w:spacing w:before="0" w:after="0"/>
              <w:jc w:val="right"/>
              <w:rPr>
                <w:rFonts w:ascii="Arial" w:hAnsi="Arial" w:cs="Arial"/>
                <w:b/>
                <w:bCs/>
                <w:noProof/>
                <w:color w:val="000000"/>
                <w:sz w:val="18"/>
                <w:szCs w:val="18"/>
                <w:lang w:eastAsia="en-GB"/>
              </w:rPr>
            </w:pP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25</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12</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26</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21</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ind w:left="785"/>
        <w:rPr>
          <w:noProof/>
        </w:rPr>
      </w:pPr>
      <w:r>
        <w:rPr>
          <w:noProof/>
        </w:rPr>
        <w:t xml:space="preserve">C11100 </w:t>
      </w:r>
      <w:r>
        <w:rPr>
          <w:noProof/>
          <w:color w:val="000000"/>
        </w:rPr>
        <w:t>Committee for implementation of the directive on packaging and packaging waste.  Abolished as of 04/07/2018 with the entry into force of Directive 2018/852 amending Directive 94/62.</w:t>
      </w:r>
    </w:p>
    <w:p>
      <w:pPr>
        <w:pStyle w:val="ListDash"/>
        <w:numPr>
          <w:ilvl w:val="0"/>
          <w:numId w:val="40"/>
        </w:numPr>
        <w:spacing w:before="0" w:after="0"/>
        <w:ind w:left="785"/>
        <w:rPr>
          <w:noProof/>
        </w:rPr>
      </w:pPr>
      <w:r>
        <w:rPr>
          <w:noProof/>
        </w:rPr>
        <w:t xml:space="preserve">C12400 </w:t>
      </w:r>
      <w:r>
        <w:rPr>
          <w:noProof/>
          <w:color w:val="000000"/>
        </w:rPr>
        <w:t>Committee for the adaptation to technical progress of legislation to remove technical barriers to trade in dangerous substances and preparations.  Abolished as of 15/07/2019 with the entry into force of Regulation 2019/102.</w:t>
      </w:r>
    </w:p>
    <w:p>
      <w:pPr>
        <w:pStyle w:val="ListDash"/>
        <w:numPr>
          <w:ilvl w:val="0"/>
          <w:numId w:val="40"/>
        </w:numPr>
        <w:spacing w:before="0" w:after="0"/>
        <w:ind w:left="785"/>
        <w:rPr>
          <w:b/>
          <w:noProof/>
          <w:u w:val="single"/>
        </w:rPr>
      </w:pPr>
      <w:r>
        <w:rPr>
          <w:noProof/>
        </w:rPr>
        <w:t xml:space="preserve">C13700 </w:t>
      </w:r>
      <w:r>
        <w:rPr>
          <w:noProof/>
          <w:color w:val="000000"/>
        </w:rPr>
        <w:t>Management Committee for application of the directive on the standardisation and rationalisation of reports on the implementation of certain directives relating to the environment.  Abolished as of 04/07/2018 with the entry into force of Decision 2018/853.</w:t>
      </w:r>
    </w:p>
    <w:p>
      <w:pPr>
        <w:pStyle w:val="ListDash"/>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pStyle w:val="ListDash"/>
        <w:rPr>
          <w:noProof/>
        </w:rPr>
      </w:pPr>
    </w:p>
    <w:p>
      <w:pPr>
        <w:pStyle w:val="ManualHeading1"/>
        <w:rPr>
          <w:noProof/>
        </w:rPr>
      </w:pPr>
      <w:bookmarkStart w:id="33" w:name="_Toc61958548"/>
      <w:bookmarkStart w:id="34" w:name="_Toc62746238"/>
      <w:r>
        <w:rPr>
          <w:noProof/>
        </w:rPr>
        <w:t>Eurostat (ESTAT)</w:t>
      </w:r>
      <w:bookmarkEnd w:id="33"/>
      <w:bookmarkEnd w:id="34"/>
    </w:p>
    <w:tbl>
      <w:tblPr>
        <w:tblW w:w="5000" w:type="pct"/>
        <w:tblLook w:val="04A0" w:firstRow="1" w:lastRow="0" w:firstColumn="1" w:lastColumn="0" w:noHBand="0" w:noVBand="1"/>
      </w:tblPr>
      <w:tblGrid>
        <w:gridCol w:w="948"/>
        <w:gridCol w:w="3647"/>
        <w:gridCol w:w="2917"/>
        <w:gridCol w:w="1469"/>
        <w:gridCol w:w="539"/>
        <w:gridCol w:w="539"/>
        <w:gridCol w:w="539"/>
        <w:gridCol w:w="539"/>
        <w:gridCol w:w="539"/>
        <w:gridCol w:w="539"/>
        <w:gridCol w:w="539"/>
        <w:gridCol w:w="539"/>
        <w:gridCol w:w="539"/>
        <w:gridCol w:w="539"/>
        <w:gridCol w:w="524"/>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2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7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9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53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C25300</w:t>
            </w:r>
          </w:p>
        </w:tc>
        <w:tc>
          <w:tcPr>
            <w:tcW w:w="122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color w:val="000000"/>
                <w:sz w:val="18"/>
                <w:szCs w:val="18"/>
                <w:lang w:eastAsia="en-GB"/>
              </w:rPr>
              <w:t>Standing Committee for Agricultural Statistics (SCAS)</w:t>
            </w:r>
          </w:p>
          <w:p>
            <w:pPr>
              <w:rPr>
                <w:rFonts w:ascii="Arial" w:hAnsi="Arial" w:cs="Arial"/>
                <w:noProof/>
                <w:sz w:val="18"/>
                <w:szCs w:val="18"/>
                <w:lang w:eastAsia="en-GB"/>
              </w:rPr>
            </w:pPr>
          </w:p>
        </w:tc>
        <w:tc>
          <w:tcPr>
            <w:tcW w:w="97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Council Decision 72/279/EEC</w:t>
            </w:r>
          </w:p>
        </w:tc>
        <w:tc>
          <w:tcPr>
            <w:tcW w:w="49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6000"/>
        </w:trPr>
        <w:tc>
          <w:tcPr>
            <w:tcW w:w="318"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C37100</w:t>
            </w:r>
          </w:p>
        </w:tc>
        <w:tc>
          <w:tcPr>
            <w:tcW w:w="1224"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Statistical System Committee (ESS Committee)</w:t>
            </w:r>
          </w:p>
        </w:tc>
        <w:tc>
          <w:tcPr>
            <w:tcW w:w="979"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color w:val="000000"/>
                <w:sz w:val="18"/>
                <w:szCs w:val="18"/>
                <w:lang w:eastAsia="en-GB"/>
              </w:rPr>
              <w:t xml:space="preserve">Regulation (EC) No 223/2009 </w:t>
            </w:r>
            <w:r>
              <w:rPr>
                <w:rFonts w:ascii="Arial" w:hAnsi="Arial" w:cs="Arial"/>
                <w:noProof/>
                <w:color w:val="000000"/>
                <w:sz w:val="18"/>
                <w:szCs w:val="18"/>
                <w:lang w:eastAsia="en-GB"/>
              </w:rPr>
              <w:br/>
              <w:t xml:space="preserve">Regulation (EC) No 862/2007 </w:t>
            </w:r>
            <w:r>
              <w:rPr>
                <w:rFonts w:ascii="Arial" w:hAnsi="Arial" w:cs="Arial"/>
                <w:noProof/>
                <w:color w:val="000000"/>
                <w:sz w:val="18"/>
                <w:szCs w:val="18"/>
                <w:lang w:eastAsia="en-GB"/>
              </w:rPr>
              <w:br/>
              <w:t xml:space="preserve">Regulation (EC) No 763/2008 </w:t>
            </w:r>
            <w:r>
              <w:rPr>
                <w:rFonts w:ascii="Arial" w:hAnsi="Arial" w:cs="Arial"/>
                <w:noProof/>
                <w:color w:val="000000"/>
                <w:sz w:val="18"/>
                <w:szCs w:val="18"/>
                <w:lang w:eastAsia="en-GB"/>
              </w:rPr>
              <w:br/>
              <w:t xml:space="preserve">Regulation (EC) No 1165/98 </w:t>
            </w:r>
            <w:r>
              <w:rPr>
                <w:rFonts w:ascii="Arial" w:hAnsi="Arial" w:cs="Arial"/>
                <w:noProof/>
                <w:color w:val="000000"/>
                <w:sz w:val="18"/>
                <w:szCs w:val="18"/>
                <w:lang w:eastAsia="en-GB"/>
              </w:rPr>
              <w:br/>
              <w:t xml:space="preserve">Regulation (EC) No 808/2004 </w:t>
            </w:r>
            <w:r>
              <w:rPr>
                <w:rFonts w:ascii="Arial" w:hAnsi="Arial" w:cs="Arial"/>
                <w:noProof/>
                <w:color w:val="000000"/>
                <w:sz w:val="18"/>
                <w:szCs w:val="18"/>
                <w:lang w:eastAsia="en-GB"/>
              </w:rPr>
              <w:br/>
              <w:t xml:space="preserve">Regulation (EC) No 1338/2008 </w:t>
            </w:r>
            <w:r>
              <w:rPr>
                <w:rFonts w:ascii="Arial" w:hAnsi="Arial" w:cs="Arial"/>
                <w:noProof/>
                <w:color w:val="000000"/>
                <w:sz w:val="18"/>
                <w:szCs w:val="18"/>
                <w:lang w:eastAsia="en-GB"/>
              </w:rPr>
              <w:br/>
              <w:t xml:space="preserve">Regulation (EC) No 452/2008 </w:t>
            </w:r>
            <w:r>
              <w:rPr>
                <w:rFonts w:ascii="Arial" w:hAnsi="Arial" w:cs="Arial"/>
                <w:noProof/>
                <w:color w:val="000000"/>
                <w:sz w:val="18"/>
                <w:szCs w:val="18"/>
                <w:lang w:eastAsia="en-GB"/>
              </w:rPr>
              <w:br/>
              <w:t xml:space="preserve">Regulation (EC) No 437/2003 </w:t>
            </w:r>
            <w:r>
              <w:rPr>
                <w:rFonts w:ascii="Arial" w:hAnsi="Arial" w:cs="Arial"/>
                <w:noProof/>
                <w:color w:val="000000"/>
                <w:sz w:val="18"/>
                <w:szCs w:val="18"/>
                <w:lang w:eastAsia="en-GB"/>
              </w:rPr>
              <w:br/>
              <w:t xml:space="preserve">Council Regulation (EC) No 530/1999 </w:t>
            </w:r>
            <w:r>
              <w:rPr>
                <w:rFonts w:ascii="Arial" w:hAnsi="Arial" w:cs="Arial"/>
                <w:noProof/>
                <w:color w:val="000000"/>
                <w:sz w:val="18"/>
                <w:szCs w:val="18"/>
                <w:lang w:eastAsia="en-GB"/>
              </w:rPr>
              <w:br/>
              <w:t xml:space="preserve">Regulation (EC) No 450/2003 </w:t>
            </w:r>
            <w:r>
              <w:rPr>
                <w:rFonts w:ascii="Arial" w:hAnsi="Arial" w:cs="Arial"/>
                <w:noProof/>
                <w:color w:val="000000"/>
                <w:sz w:val="18"/>
                <w:szCs w:val="18"/>
                <w:lang w:eastAsia="en-GB"/>
              </w:rPr>
              <w:br/>
              <w:t xml:space="preserve">Regulation (EC) No 453/2008 </w:t>
            </w:r>
            <w:r>
              <w:rPr>
                <w:rFonts w:ascii="Arial" w:hAnsi="Arial" w:cs="Arial"/>
                <w:noProof/>
                <w:color w:val="000000"/>
                <w:sz w:val="18"/>
                <w:szCs w:val="18"/>
                <w:lang w:eastAsia="en-GB"/>
              </w:rPr>
              <w:br/>
            </w:r>
            <w:r>
              <w:rPr>
                <w:rFonts w:ascii="Arial" w:hAnsi="Arial" w:cs="Arial"/>
                <w:noProof/>
                <w:sz w:val="18"/>
                <w:szCs w:val="18"/>
                <w:lang w:eastAsia="en-GB"/>
              </w:rPr>
              <w:t xml:space="preserve">Regulation (EC) No 1177/2003 </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458/2007 </w:t>
            </w:r>
            <w:r>
              <w:rPr>
                <w:rFonts w:ascii="Arial" w:hAnsi="Arial" w:cs="Arial"/>
                <w:noProof/>
                <w:color w:val="000000"/>
                <w:sz w:val="18"/>
                <w:szCs w:val="18"/>
                <w:lang w:eastAsia="en-GB"/>
              </w:rPr>
              <w:br/>
            </w:r>
            <w:r>
              <w:rPr>
                <w:rFonts w:ascii="Arial" w:hAnsi="Arial" w:cs="Arial"/>
                <w:noProof/>
                <w:sz w:val="18"/>
                <w:szCs w:val="18"/>
                <w:lang w:eastAsia="en-GB"/>
              </w:rPr>
              <w:t xml:space="preserve">Decision No 1608/2003/EC </w:t>
            </w:r>
            <w:r>
              <w:rPr>
                <w:rFonts w:ascii="Arial" w:hAnsi="Arial" w:cs="Arial"/>
                <w:noProof/>
                <w:color w:val="000000"/>
                <w:sz w:val="18"/>
                <w:szCs w:val="18"/>
                <w:lang w:eastAsia="en-GB"/>
              </w:rPr>
              <w:t xml:space="preserve">Regulation (EC) No 1552/2005 </w:t>
            </w:r>
            <w:r>
              <w:rPr>
                <w:rFonts w:ascii="Arial" w:hAnsi="Arial" w:cs="Arial"/>
                <w:noProof/>
                <w:color w:val="000000"/>
                <w:sz w:val="18"/>
                <w:szCs w:val="18"/>
                <w:lang w:eastAsia="en-GB"/>
              </w:rPr>
              <w:br/>
              <w:t xml:space="preserve">Regulation (EC) No 1185/2009 </w:t>
            </w:r>
            <w:r>
              <w:rPr>
                <w:rFonts w:ascii="Arial" w:hAnsi="Arial" w:cs="Arial"/>
                <w:noProof/>
                <w:color w:val="000000"/>
                <w:sz w:val="18"/>
                <w:szCs w:val="18"/>
                <w:lang w:eastAsia="en-GB"/>
              </w:rPr>
              <w:br/>
            </w:r>
            <w:r>
              <w:rPr>
                <w:rFonts w:ascii="Arial" w:hAnsi="Arial" w:cs="Arial"/>
                <w:noProof/>
                <w:sz w:val="18"/>
                <w:szCs w:val="18"/>
                <w:lang w:eastAsia="en-GB"/>
              </w:rPr>
              <w:t xml:space="preserve">Regulation (EC) No 295/2008 </w:t>
            </w:r>
            <w:r>
              <w:rPr>
                <w:rFonts w:ascii="Arial" w:hAnsi="Arial" w:cs="Arial"/>
                <w:noProof/>
                <w:color w:val="000000"/>
                <w:sz w:val="18"/>
                <w:szCs w:val="18"/>
                <w:lang w:eastAsia="en-GB"/>
              </w:rPr>
              <w:t xml:space="preserve">Decision No 1297/2008/EC </w:t>
            </w:r>
            <w:r>
              <w:rPr>
                <w:rFonts w:ascii="Arial" w:hAnsi="Arial" w:cs="Arial"/>
                <w:noProof/>
                <w:color w:val="000000"/>
                <w:sz w:val="18"/>
                <w:szCs w:val="18"/>
                <w:lang w:eastAsia="en-GB"/>
              </w:rPr>
              <w:br/>
              <w:t xml:space="preserve">Regulation (EC) No 2150/2002 </w:t>
            </w:r>
            <w:r>
              <w:rPr>
                <w:rFonts w:ascii="Arial" w:hAnsi="Arial" w:cs="Arial"/>
                <w:noProof/>
                <w:color w:val="000000"/>
                <w:sz w:val="18"/>
                <w:szCs w:val="18"/>
                <w:lang w:eastAsia="en-GB"/>
              </w:rPr>
              <w:br/>
            </w:r>
            <w:r>
              <w:rPr>
                <w:rFonts w:ascii="Arial" w:hAnsi="Arial" w:cs="Arial"/>
                <w:noProof/>
                <w:sz w:val="18"/>
                <w:szCs w:val="18"/>
                <w:lang w:eastAsia="en-GB"/>
              </w:rPr>
              <w:t xml:space="preserve">Council Regulation (EEC) No 3924/91 </w:t>
            </w:r>
            <w:r>
              <w:rPr>
                <w:rFonts w:ascii="Arial" w:hAnsi="Arial" w:cs="Arial"/>
                <w:noProof/>
                <w:sz w:val="18"/>
                <w:szCs w:val="18"/>
                <w:lang w:eastAsia="en-GB"/>
              </w:rPr>
              <w:br/>
              <w:t xml:space="preserve">Regulation (EC) No 177/2008 </w:t>
            </w:r>
            <w:r>
              <w:rPr>
                <w:rFonts w:ascii="Arial" w:hAnsi="Arial" w:cs="Arial"/>
                <w:noProof/>
                <w:color w:val="000000"/>
                <w:sz w:val="18"/>
                <w:szCs w:val="18"/>
                <w:lang w:eastAsia="en-GB"/>
              </w:rPr>
              <w:t xml:space="preserve">Regulation (EC) No 1059/2003 </w:t>
            </w:r>
            <w:r>
              <w:rPr>
                <w:rFonts w:ascii="Arial" w:hAnsi="Arial" w:cs="Arial"/>
                <w:noProof/>
                <w:color w:val="000000"/>
                <w:sz w:val="18"/>
                <w:szCs w:val="18"/>
                <w:lang w:eastAsia="en-GB"/>
              </w:rPr>
              <w:br/>
              <w:t xml:space="preserve">Directive 2009/42/EC </w:t>
            </w:r>
            <w:r>
              <w:rPr>
                <w:rFonts w:ascii="Arial" w:hAnsi="Arial" w:cs="Arial"/>
                <w:noProof/>
                <w:color w:val="000000"/>
                <w:sz w:val="18"/>
                <w:szCs w:val="18"/>
                <w:lang w:eastAsia="en-GB"/>
              </w:rPr>
              <w:br/>
              <w:t xml:space="preserve">Regulation (EC) No 1099/2008 </w:t>
            </w:r>
            <w:r>
              <w:rPr>
                <w:rFonts w:ascii="Arial" w:hAnsi="Arial" w:cs="Arial"/>
                <w:noProof/>
                <w:color w:val="000000"/>
                <w:sz w:val="18"/>
                <w:szCs w:val="18"/>
                <w:lang w:eastAsia="en-GB"/>
              </w:rPr>
              <w:br/>
              <w:t xml:space="preserve">Council Regulation (EC) No 1172/98 </w:t>
            </w:r>
            <w:r>
              <w:rPr>
                <w:rFonts w:ascii="Arial" w:hAnsi="Arial" w:cs="Arial"/>
                <w:noProof/>
                <w:color w:val="000000"/>
                <w:sz w:val="18"/>
                <w:szCs w:val="18"/>
                <w:lang w:eastAsia="en-GB"/>
              </w:rPr>
              <w:br/>
            </w:r>
            <w:r>
              <w:rPr>
                <w:rFonts w:ascii="Arial" w:hAnsi="Arial" w:cs="Arial"/>
                <w:noProof/>
                <w:sz w:val="18"/>
                <w:szCs w:val="18"/>
                <w:lang w:eastAsia="en-GB"/>
              </w:rPr>
              <w:t xml:space="preserve">Council Regulation (EC) No 577/98 </w:t>
            </w:r>
            <w:r>
              <w:rPr>
                <w:rFonts w:ascii="Arial" w:hAnsi="Arial" w:cs="Arial"/>
                <w:noProof/>
                <w:color w:val="000000"/>
                <w:sz w:val="18"/>
                <w:szCs w:val="18"/>
                <w:lang w:eastAsia="en-GB"/>
              </w:rPr>
              <w:t xml:space="preserve">Regulation (EC) No 1161/2005 </w:t>
            </w:r>
            <w:r>
              <w:rPr>
                <w:rFonts w:ascii="Arial" w:hAnsi="Arial" w:cs="Arial"/>
                <w:noProof/>
                <w:color w:val="000000"/>
                <w:sz w:val="18"/>
                <w:szCs w:val="18"/>
                <w:lang w:eastAsia="en-GB"/>
              </w:rPr>
              <w:br/>
            </w:r>
            <w:r>
              <w:rPr>
                <w:rFonts w:ascii="Arial" w:hAnsi="Arial" w:cs="Arial"/>
                <w:noProof/>
                <w:sz w:val="18"/>
                <w:szCs w:val="18"/>
                <w:lang w:eastAsia="en-GB"/>
              </w:rPr>
              <w:t xml:space="preserve">Regulation (EC) No 716/2007 </w:t>
            </w:r>
            <w:r>
              <w:rPr>
                <w:rFonts w:ascii="Arial" w:hAnsi="Arial" w:cs="Arial"/>
                <w:noProof/>
                <w:color w:val="000000"/>
                <w:sz w:val="18"/>
                <w:szCs w:val="18"/>
                <w:lang w:eastAsia="en-GB"/>
              </w:rPr>
              <w:t xml:space="preserve">Regulation (EC) No 1445/2007 </w:t>
            </w:r>
            <w:r>
              <w:rPr>
                <w:rFonts w:ascii="Arial" w:hAnsi="Arial" w:cs="Arial"/>
                <w:noProof/>
                <w:color w:val="000000"/>
                <w:sz w:val="18"/>
                <w:szCs w:val="18"/>
                <w:lang w:eastAsia="en-GB"/>
              </w:rPr>
              <w:br/>
              <w:t xml:space="preserve">Regulation (EU) No 691/2011 </w:t>
            </w:r>
            <w:r>
              <w:rPr>
                <w:rFonts w:ascii="Arial" w:hAnsi="Arial" w:cs="Arial"/>
                <w:noProof/>
                <w:color w:val="000000"/>
                <w:sz w:val="18"/>
                <w:szCs w:val="18"/>
                <w:lang w:eastAsia="en-GB"/>
              </w:rPr>
              <w:br/>
              <w:t xml:space="preserve">Regulation (EU) No 692/2011 </w:t>
            </w:r>
            <w:r>
              <w:rPr>
                <w:rFonts w:ascii="Arial" w:hAnsi="Arial" w:cs="Arial"/>
                <w:noProof/>
                <w:color w:val="000000"/>
                <w:sz w:val="18"/>
                <w:szCs w:val="18"/>
                <w:lang w:eastAsia="en-GB"/>
              </w:rPr>
              <w:br/>
              <w:t xml:space="preserve">Council Directive 96/16/EC </w:t>
            </w:r>
            <w:r>
              <w:rPr>
                <w:rFonts w:ascii="Arial" w:hAnsi="Arial" w:cs="Arial"/>
                <w:noProof/>
                <w:color w:val="000000"/>
                <w:sz w:val="18"/>
                <w:szCs w:val="18"/>
                <w:lang w:eastAsia="en-GB"/>
              </w:rPr>
              <w:br/>
              <w:t xml:space="preserve">Regulation (EC) No 762/2008 </w:t>
            </w:r>
            <w:r>
              <w:rPr>
                <w:rFonts w:ascii="Arial" w:hAnsi="Arial" w:cs="Arial"/>
                <w:noProof/>
                <w:color w:val="000000"/>
                <w:sz w:val="18"/>
                <w:szCs w:val="18"/>
                <w:lang w:eastAsia="en-GB"/>
              </w:rPr>
              <w:br/>
              <w:t xml:space="preserve">Regulation (EU) No 70/2012 </w:t>
            </w:r>
            <w:r>
              <w:rPr>
                <w:rFonts w:ascii="Arial" w:hAnsi="Arial" w:cs="Arial"/>
                <w:noProof/>
                <w:color w:val="000000"/>
                <w:sz w:val="18"/>
                <w:szCs w:val="18"/>
                <w:lang w:eastAsia="en-GB"/>
              </w:rPr>
              <w:br/>
              <w:t xml:space="preserve">Regulation (EC) No 451/2008 </w:t>
            </w:r>
            <w:r>
              <w:rPr>
                <w:rFonts w:ascii="Arial" w:hAnsi="Arial" w:cs="Arial"/>
                <w:noProof/>
                <w:color w:val="000000"/>
                <w:sz w:val="18"/>
                <w:szCs w:val="18"/>
                <w:lang w:eastAsia="en-GB"/>
              </w:rPr>
              <w:br/>
              <w:t xml:space="preserve">Regulation (EC) No 1921/2006 </w:t>
            </w:r>
            <w:r>
              <w:rPr>
                <w:rFonts w:ascii="Arial" w:hAnsi="Arial" w:cs="Arial"/>
                <w:noProof/>
                <w:color w:val="000000"/>
                <w:sz w:val="18"/>
                <w:szCs w:val="18"/>
                <w:lang w:eastAsia="en-GB"/>
              </w:rPr>
              <w:br/>
              <w:t xml:space="preserve">Regulation (EU) No 549/2013 </w:t>
            </w:r>
            <w:r>
              <w:rPr>
                <w:rFonts w:ascii="Arial" w:hAnsi="Arial" w:cs="Arial"/>
                <w:noProof/>
                <w:color w:val="000000"/>
                <w:sz w:val="18"/>
                <w:szCs w:val="18"/>
                <w:lang w:eastAsia="en-GB"/>
              </w:rPr>
              <w:br/>
              <w:t xml:space="preserve">Regulation (EU) No 1260/2013 </w:t>
            </w:r>
            <w:r>
              <w:rPr>
                <w:rFonts w:ascii="Arial" w:hAnsi="Arial" w:cs="Arial"/>
                <w:noProof/>
                <w:color w:val="000000"/>
                <w:sz w:val="18"/>
                <w:szCs w:val="18"/>
                <w:lang w:eastAsia="en-GB"/>
              </w:rPr>
              <w:br/>
            </w:r>
            <w:r>
              <w:rPr>
                <w:rFonts w:ascii="Arial" w:hAnsi="Arial" w:cs="Arial"/>
                <w:noProof/>
                <w:sz w:val="18"/>
                <w:szCs w:val="18"/>
                <w:lang w:eastAsia="en-GB"/>
              </w:rPr>
              <w:t xml:space="preserve">Regulation (EC) No 638/2004 </w:t>
            </w:r>
            <w:r>
              <w:rPr>
                <w:rFonts w:ascii="Arial" w:hAnsi="Arial" w:cs="Arial"/>
                <w:noProof/>
                <w:color w:val="000000"/>
                <w:sz w:val="18"/>
                <w:szCs w:val="18"/>
                <w:lang w:eastAsia="en-GB"/>
              </w:rPr>
              <w:t xml:space="preserve">Regulation (EC) No 184/2005 </w:t>
            </w:r>
            <w:r>
              <w:rPr>
                <w:rFonts w:ascii="Arial" w:hAnsi="Arial" w:cs="Arial"/>
                <w:noProof/>
                <w:color w:val="000000"/>
                <w:sz w:val="18"/>
                <w:szCs w:val="18"/>
                <w:lang w:eastAsia="en-GB"/>
              </w:rPr>
              <w:br/>
            </w:r>
            <w:r>
              <w:rPr>
                <w:rFonts w:ascii="Arial" w:hAnsi="Arial" w:cs="Arial"/>
                <w:noProof/>
                <w:sz w:val="18"/>
                <w:szCs w:val="18"/>
                <w:lang w:eastAsia="en-GB"/>
              </w:rPr>
              <w:t xml:space="preserve">Regulation (EC) No 471/2009 </w:t>
            </w:r>
            <w:r>
              <w:rPr>
                <w:rFonts w:ascii="Arial" w:hAnsi="Arial" w:cs="Arial"/>
                <w:noProof/>
                <w:color w:val="000000"/>
                <w:sz w:val="18"/>
                <w:szCs w:val="18"/>
                <w:lang w:eastAsia="en-GB"/>
              </w:rPr>
              <w:t xml:space="preserve">Regulation (EU) 2016/792 </w:t>
            </w:r>
            <w:r>
              <w:rPr>
                <w:rFonts w:ascii="Arial" w:hAnsi="Arial" w:cs="Arial"/>
                <w:noProof/>
                <w:color w:val="000000"/>
                <w:sz w:val="18"/>
                <w:szCs w:val="18"/>
                <w:lang w:eastAsia="en-GB"/>
              </w:rPr>
              <w:br/>
              <w:t>Regulation (EU) 2016/1952</w:t>
            </w:r>
          </w:p>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Regulation (EU) 2018/643</w:t>
            </w:r>
          </w:p>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Regulation (EU) 2018/974</w:t>
            </w:r>
          </w:p>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Regulation (EU) 2018/1081</w:t>
            </w:r>
          </w:p>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Regulation (EU) 2019/516 Regulation (EU) 2019/1770</w:t>
            </w:r>
          </w:p>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Regulation (EU) 2019/2152</w:t>
            </w:r>
          </w:p>
        </w:tc>
        <w:tc>
          <w:tcPr>
            <w:tcW w:w="493"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8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18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10</w:t>
            </w:r>
          </w:p>
        </w:tc>
        <w:tc>
          <w:tcPr>
            <w:tcW w:w="18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6</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4</w:t>
            </w:r>
          </w:p>
        </w:tc>
      </w:tr>
      <w:tr>
        <w:trPr>
          <w:trHeight w:val="3930"/>
        </w:trPr>
        <w:tc>
          <w:tcPr>
            <w:tcW w:w="318"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22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979" w:type="pct"/>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493"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8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8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8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8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8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8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8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8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8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81"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24"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979"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93"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9</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36"/>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36"/>
        </w:numPr>
        <w:spacing w:before="0" w:after="0"/>
        <w:rPr>
          <w:noProof/>
        </w:rPr>
      </w:pPr>
      <w:r>
        <w:rPr>
          <w:noProof/>
        </w:rPr>
        <w:t>C25000 - Committee on the harmonisation of gross national income at market prices (GNI Committee)</w:t>
      </w:r>
    </w:p>
    <w:p>
      <w:pPr>
        <w:pStyle w:val="ListDash"/>
        <w:spacing w:before="0" w:after="0"/>
        <w:ind w:left="720"/>
        <w:rPr>
          <w:noProof/>
        </w:rPr>
      </w:pPr>
      <w:r>
        <w:rPr>
          <w:noProof/>
        </w:rPr>
        <w:t>Basic act: Council Regulation (EC, Euratom) No 1287/2003 of 15 July 2003 on the harmonisation of gross national income at market prices (GNI Regulation).OJ L 181, 19.7.2003, p. 1. Regulation (EC, Euratom) No 1287/2003 has been repealed by Article 10 of Regulation (EU) 2019/516 of the European Parliament and of the Council. (abolished as from 18 April 2019)</w:t>
      </w:r>
    </w:p>
    <w:p>
      <w:pPr>
        <w:pStyle w:val="ListDash"/>
        <w:numPr>
          <w:ilvl w:val="0"/>
          <w:numId w:val="36"/>
        </w:numPr>
        <w:spacing w:before="0" w:after="0"/>
        <w:rPr>
          <w:noProof/>
        </w:rPr>
      </w:pPr>
      <w:r>
        <w:rPr>
          <w:noProof/>
        </w:rPr>
        <w:t>C25100 - Committee on the harmonisation of the compilation of gross national product at market prices (GNP Committee)</w:t>
      </w:r>
    </w:p>
    <w:p>
      <w:pPr>
        <w:pStyle w:val="ListDash"/>
        <w:spacing w:before="0" w:after="0"/>
        <w:ind w:left="720"/>
        <w:rPr>
          <w:noProof/>
        </w:rPr>
      </w:pPr>
      <w:r>
        <w:rPr>
          <w:noProof/>
        </w:rPr>
        <w:t>Basic act: Council Directive 89/130/EEC, Euratom of 13 February 1989 on the harmonization of compilation of gross national product at market prices. OJ L 49 of 21.2.1989, p. 26. Directive 89/130/EEC, Euratom has been repealed by Article 10 of Regulation (EU) 2019/516 of the European Parliament and of the Council. (abolished as from 18 April 2019)</w:t>
      </w:r>
    </w:p>
    <w:p>
      <w:pPr>
        <w:pStyle w:val="ListDash"/>
        <w:spacing w:before="0" w:after="0"/>
        <w:ind w:left="720"/>
        <w:rPr>
          <w:noProof/>
        </w:rPr>
      </w:pPr>
    </w:p>
    <w:p>
      <w:pPr>
        <w:spacing w:before="0" w:after="0"/>
        <w:rPr>
          <w:b/>
          <w:noProof/>
          <w:u w:val="single"/>
        </w:rPr>
      </w:pPr>
      <w:r>
        <w:rPr>
          <w:b/>
          <w:noProof/>
          <w:u w:val="single"/>
        </w:rPr>
        <w:t>New procedures attributed to existing committee:</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36"/>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36"/>
        </w:numPr>
        <w:spacing w:before="0" w:after="0"/>
        <w:rPr>
          <w:noProof/>
        </w:rPr>
      </w:pPr>
      <w:r>
        <w:rPr>
          <w:noProof/>
        </w:rPr>
        <w:t>none</w:t>
      </w:r>
    </w:p>
    <w:p>
      <w:pPr>
        <w:pStyle w:val="ListDash"/>
        <w:spacing w:before="0" w:after="0"/>
        <w:rPr>
          <w:noProof/>
        </w:rPr>
      </w:pPr>
    </w:p>
    <w:p>
      <w:pPr>
        <w:pStyle w:val="ManualHeading1"/>
        <w:rPr>
          <w:noProof/>
        </w:rPr>
      </w:pPr>
      <w:bookmarkStart w:id="35" w:name="_Toc61958549"/>
      <w:bookmarkStart w:id="36" w:name="_Toc62746239"/>
      <w:r>
        <w:rPr>
          <w:noProof/>
        </w:rPr>
        <w:t>Financial Stability, Financial Services and Capital Markets Union (FISMA)</w:t>
      </w:r>
      <w:bookmarkEnd w:id="35"/>
      <w:bookmarkEnd w:id="36"/>
    </w:p>
    <w:tbl>
      <w:tblPr>
        <w:tblW w:w="5000" w:type="pct"/>
        <w:tblLook w:val="04A0" w:firstRow="1" w:lastRow="0" w:firstColumn="1" w:lastColumn="0" w:noHBand="0" w:noVBand="1"/>
      </w:tblPr>
      <w:tblGrid>
        <w:gridCol w:w="948"/>
        <w:gridCol w:w="3871"/>
        <w:gridCol w:w="2807"/>
        <w:gridCol w:w="1352"/>
        <w:gridCol w:w="539"/>
        <w:gridCol w:w="539"/>
        <w:gridCol w:w="539"/>
        <w:gridCol w:w="539"/>
        <w:gridCol w:w="539"/>
        <w:gridCol w:w="539"/>
        <w:gridCol w:w="539"/>
        <w:gridCol w:w="539"/>
        <w:gridCol w:w="539"/>
        <w:gridCol w:w="539"/>
        <w:gridCol w:w="527"/>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9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4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C16200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Accounting Regulatory Committee</w:t>
            </w:r>
          </w:p>
        </w:tc>
        <w:tc>
          <w:tcPr>
            <w:tcW w:w="94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1606/2002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C16400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Banking Committee</w:t>
            </w:r>
          </w:p>
        </w:tc>
        <w:tc>
          <w:tcPr>
            <w:tcW w:w="94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2006/49/EC </w:t>
            </w:r>
            <w:r>
              <w:rPr>
                <w:rFonts w:ascii="Arial" w:hAnsi="Arial" w:cs="Arial"/>
                <w:noProof/>
                <w:color w:val="000000"/>
                <w:sz w:val="18"/>
                <w:szCs w:val="18"/>
                <w:lang w:val="fr-BE" w:eastAsia="en-GB"/>
              </w:rPr>
              <w:br/>
              <w:t xml:space="preserve">Directive 2006/48/EC </w:t>
            </w:r>
            <w:r>
              <w:rPr>
                <w:rFonts w:ascii="Arial" w:hAnsi="Arial" w:cs="Arial"/>
                <w:noProof/>
                <w:color w:val="000000"/>
                <w:sz w:val="18"/>
                <w:szCs w:val="18"/>
                <w:lang w:val="fr-BE" w:eastAsia="en-GB"/>
              </w:rPr>
              <w:br/>
              <w:t xml:space="preserve">2004/10/EC: Commission Decision </w:t>
            </w:r>
            <w:r>
              <w:rPr>
                <w:rFonts w:ascii="Arial" w:hAnsi="Arial" w:cs="Arial"/>
                <w:noProof/>
                <w:color w:val="000000"/>
                <w:sz w:val="18"/>
                <w:szCs w:val="18"/>
                <w:lang w:val="fr-BE" w:eastAsia="en-GB"/>
              </w:rPr>
              <w:br/>
              <w:t xml:space="preserve">Regulation (EU) No 575/2013 </w:t>
            </w:r>
            <w:r>
              <w:rPr>
                <w:rFonts w:ascii="Arial" w:hAnsi="Arial" w:cs="Arial"/>
                <w:noProof/>
                <w:color w:val="000000"/>
                <w:sz w:val="18"/>
                <w:szCs w:val="18"/>
                <w:lang w:val="fr-BE" w:eastAsia="en-GB"/>
              </w:rPr>
              <w:br/>
              <w:t xml:space="preserve">Directive 2013/36/EU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5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C16900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Securities Committee</w:t>
            </w:r>
          </w:p>
        </w:tc>
        <w:tc>
          <w:tcPr>
            <w:tcW w:w="94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2003/6/EC </w:t>
            </w:r>
            <w:r>
              <w:rPr>
                <w:rFonts w:ascii="Arial" w:hAnsi="Arial" w:cs="Arial"/>
                <w:noProof/>
                <w:color w:val="000000"/>
                <w:sz w:val="18"/>
                <w:szCs w:val="18"/>
                <w:lang w:eastAsia="en-GB"/>
              </w:rPr>
              <w:br/>
              <w:t xml:space="preserve">Directive 2004/109/EC </w:t>
            </w:r>
            <w:r>
              <w:rPr>
                <w:rFonts w:ascii="Arial" w:hAnsi="Arial" w:cs="Arial"/>
                <w:noProof/>
                <w:color w:val="000000"/>
                <w:sz w:val="18"/>
                <w:szCs w:val="18"/>
                <w:lang w:eastAsia="en-GB"/>
              </w:rPr>
              <w:br/>
              <w:t xml:space="preserve">Directive 2001/34/EC </w:t>
            </w:r>
            <w:r>
              <w:rPr>
                <w:rFonts w:ascii="Arial" w:hAnsi="Arial" w:cs="Arial"/>
                <w:noProof/>
                <w:color w:val="000000"/>
                <w:sz w:val="18"/>
                <w:szCs w:val="18"/>
                <w:lang w:eastAsia="en-GB"/>
              </w:rPr>
              <w:br/>
              <w:t xml:space="preserve">Directive 2003/71/EC </w:t>
            </w:r>
            <w:r>
              <w:rPr>
                <w:rFonts w:ascii="Arial" w:hAnsi="Arial" w:cs="Arial"/>
                <w:noProof/>
                <w:color w:val="000000"/>
                <w:sz w:val="18"/>
                <w:szCs w:val="18"/>
                <w:lang w:eastAsia="en-GB"/>
              </w:rPr>
              <w:br/>
              <w:t xml:space="preserve">Directive 2009/65/EC </w:t>
            </w:r>
            <w:r>
              <w:rPr>
                <w:rFonts w:ascii="Arial" w:hAnsi="Arial" w:cs="Arial"/>
                <w:noProof/>
                <w:color w:val="000000"/>
                <w:sz w:val="18"/>
                <w:szCs w:val="18"/>
                <w:lang w:eastAsia="en-GB"/>
              </w:rPr>
              <w:br/>
              <w:t xml:space="preserve">Regulation (EC) No 1060/2009 </w:t>
            </w:r>
            <w:r>
              <w:rPr>
                <w:rFonts w:ascii="Arial" w:hAnsi="Arial" w:cs="Arial"/>
                <w:noProof/>
                <w:color w:val="000000"/>
                <w:sz w:val="18"/>
                <w:szCs w:val="18"/>
                <w:lang w:eastAsia="en-GB"/>
              </w:rPr>
              <w:br/>
              <w:t xml:space="preserve">Directive 2004/25/EC </w:t>
            </w:r>
            <w:r>
              <w:rPr>
                <w:rFonts w:ascii="Arial" w:hAnsi="Arial" w:cs="Arial"/>
                <w:noProof/>
                <w:color w:val="000000"/>
                <w:sz w:val="18"/>
                <w:szCs w:val="18"/>
                <w:lang w:eastAsia="en-GB"/>
              </w:rPr>
              <w:br/>
              <w:t xml:space="preserve">Directive 2011/61/EU </w:t>
            </w:r>
            <w:r>
              <w:rPr>
                <w:rFonts w:ascii="Arial" w:hAnsi="Arial" w:cs="Arial"/>
                <w:noProof/>
                <w:color w:val="000000"/>
                <w:sz w:val="18"/>
                <w:szCs w:val="18"/>
                <w:lang w:eastAsia="en-GB"/>
              </w:rPr>
              <w:br/>
              <w:t xml:space="preserve">Regulation (EU) No 648/2012 </w:t>
            </w:r>
            <w:r>
              <w:rPr>
                <w:rFonts w:ascii="Arial" w:hAnsi="Arial" w:cs="Arial"/>
                <w:noProof/>
                <w:color w:val="000000"/>
                <w:sz w:val="18"/>
                <w:szCs w:val="18"/>
                <w:lang w:eastAsia="en-GB"/>
              </w:rPr>
              <w:br/>
              <w:t xml:space="preserve">Regulation (EU) No 596/2014 </w:t>
            </w:r>
            <w:r>
              <w:rPr>
                <w:rFonts w:ascii="Arial" w:hAnsi="Arial" w:cs="Arial"/>
                <w:noProof/>
                <w:color w:val="000000"/>
                <w:sz w:val="18"/>
                <w:szCs w:val="18"/>
                <w:lang w:eastAsia="en-GB"/>
              </w:rPr>
              <w:br/>
              <w:t xml:space="preserve">Regulation (EU) 2016/1011 </w:t>
            </w:r>
            <w:r>
              <w:rPr>
                <w:rFonts w:ascii="Arial" w:hAnsi="Arial" w:cs="Arial"/>
                <w:noProof/>
                <w:color w:val="000000"/>
                <w:sz w:val="18"/>
                <w:szCs w:val="18"/>
                <w:lang w:eastAsia="en-GB"/>
              </w:rPr>
              <w:br/>
              <w:t xml:space="preserve">Regulation (EU) No 600/2014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17</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17</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C17000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Insurance and Occupational Pensions Committee</w:t>
            </w:r>
          </w:p>
        </w:tc>
        <w:tc>
          <w:tcPr>
            <w:tcW w:w="94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First Council Directive 73/239/EEC </w:t>
            </w:r>
            <w:r>
              <w:rPr>
                <w:rFonts w:ascii="Arial" w:hAnsi="Arial" w:cs="Arial"/>
                <w:noProof/>
                <w:color w:val="000000"/>
                <w:sz w:val="18"/>
                <w:szCs w:val="18"/>
                <w:lang w:eastAsia="en-GB"/>
              </w:rPr>
              <w:br/>
              <w:t xml:space="preserve">Council Directive 91/675/EEC </w:t>
            </w:r>
            <w:r>
              <w:rPr>
                <w:rFonts w:ascii="Arial" w:hAnsi="Arial" w:cs="Arial"/>
                <w:noProof/>
                <w:color w:val="000000"/>
                <w:sz w:val="18"/>
                <w:szCs w:val="18"/>
                <w:lang w:eastAsia="en-GB"/>
              </w:rPr>
              <w:br/>
              <w:t xml:space="preserve">Council Directive 92/49/EEC </w:t>
            </w:r>
            <w:r>
              <w:rPr>
                <w:rFonts w:ascii="Arial" w:hAnsi="Arial" w:cs="Arial"/>
                <w:noProof/>
                <w:color w:val="000000"/>
                <w:sz w:val="18"/>
                <w:szCs w:val="18"/>
                <w:lang w:eastAsia="en-GB"/>
              </w:rPr>
              <w:br/>
              <w:t xml:space="preserve">Directive 98/78/EC </w:t>
            </w:r>
            <w:r>
              <w:rPr>
                <w:rFonts w:ascii="Arial" w:hAnsi="Arial" w:cs="Arial"/>
                <w:noProof/>
                <w:color w:val="000000"/>
                <w:sz w:val="18"/>
                <w:szCs w:val="18"/>
                <w:lang w:eastAsia="en-GB"/>
              </w:rPr>
              <w:br/>
              <w:t xml:space="preserve">Directive 2002/83/EC </w:t>
            </w:r>
            <w:r>
              <w:rPr>
                <w:rFonts w:ascii="Arial" w:hAnsi="Arial" w:cs="Arial"/>
                <w:noProof/>
                <w:color w:val="000000"/>
                <w:sz w:val="18"/>
                <w:szCs w:val="18"/>
                <w:lang w:eastAsia="en-GB"/>
              </w:rPr>
              <w:br/>
              <w:t xml:space="preserve">Directive 2009/138/EC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C17100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Financial Conglomerates Committee</w:t>
            </w:r>
          </w:p>
        </w:tc>
        <w:tc>
          <w:tcPr>
            <w:tcW w:w="94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2002/87/EC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C26700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Audit Regulatory Committee</w:t>
            </w:r>
          </w:p>
        </w:tc>
        <w:tc>
          <w:tcPr>
            <w:tcW w:w="94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2006/43/EC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center"/>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C26800</w:t>
            </w:r>
          </w:p>
        </w:tc>
        <w:tc>
          <w:tcPr>
            <w:tcW w:w="129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Prevention of Money Laundering and Terrorist Financing</w:t>
            </w:r>
          </w:p>
        </w:tc>
        <w:tc>
          <w:tcPr>
            <w:tcW w:w="942"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(EC) No 1781/2006</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Directive 2005/60/EC</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2015/847</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Directive (EU)2018/843</w:t>
            </w:r>
          </w:p>
        </w:tc>
        <w:tc>
          <w:tcPr>
            <w:tcW w:w="45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 scrutiny</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C37200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Payments Committee </w:t>
            </w:r>
          </w:p>
        </w:tc>
        <w:tc>
          <w:tcPr>
            <w:tcW w:w="94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2007/64/EC </w:t>
            </w:r>
            <w:r>
              <w:rPr>
                <w:rFonts w:ascii="Arial" w:hAnsi="Arial" w:cs="Arial"/>
                <w:noProof/>
                <w:color w:val="000000"/>
                <w:sz w:val="18"/>
                <w:szCs w:val="18"/>
                <w:lang w:eastAsia="en-GB"/>
              </w:rPr>
              <w:br/>
              <w:t xml:space="preserve">Directive 2009/110/EC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C48400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Accounting Directive Committee</w:t>
            </w:r>
          </w:p>
        </w:tc>
        <w:tc>
          <w:tcPr>
            <w:tcW w:w="94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2013/34/EU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99"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942"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5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18</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28</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17</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pStyle w:val="ListDash"/>
        <w:ind w:left="720"/>
        <w:rPr>
          <w:noProof/>
        </w:rPr>
      </w:pPr>
    </w:p>
    <w:p>
      <w:pPr>
        <w:pStyle w:val="ManualHeading1"/>
        <w:rPr>
          <w:noProof/>
        </w:rPr>
      </w:pPr>
      <w:bookmarkStart w:id="37" w:name="_Toc61958550"/>
      <w:bookmarkStart w:id="38" w:name="_Toc62746240"/>
      <w:r>
        <w:rPr>
          <w:noProof/>
        </w:rPr>
        <w:t>Service for Foreign Policy Instruments (FPI)</w:t>
      </w:r>
      <w:bookmarkEnd w:id="37"/>
      <w:bookmarkEnd w:id="38"/>
    </w:p>
    <w:tbl>
      <w:tblPr>
        <w:tblW w:w="5000" w:type="pct"/>
        <w:tblLook w:val="04A0" w:firstRow="1" w:lastRow="0" w:firstColumn="1" w:lastColumn="0" w:noHBand="0" w:noVBand="1"/>
      </w:tblPr>
      <w:tblGrid>
        <w:gridCol w:w="948"/>
        <w:gridCol w:w="4094"/>
        <w:gridCol w:w="2467"/>
        <w:gridCol w:w="1466"/>
        <w:gridCol w:w="539"/>
        <w:gridCol w:w="539"/>
        <w:gridCol w:w="539"/>
        <w:gridCol w:w="539"/>
        <w:gridCol w:w="539"/>
        <w:gridCol w:w="539"/>
        <w:gridCol w:w="539"/>
        <w:gridCol w:w="539"/>
        <w:gridCol w:w="539"/>
        <w:gridCol w:w="539"/>
        <w:gridCol w:w="530"/>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7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2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9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C21900</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implementation of the Kimberley Process certification scheme for the international trade in rough diamonds</w:t>
            </w:r>
          </w:p>
        </w:tc>
        <w:tc>
          <w:tcPr>
            <w:tcW w:w="82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2368/2002 </w:t>
            </w:r>
          </w:p>
        </w:tc>
        <w:tc>
          <w:tcPr>
            <w:tcW w:w="49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1</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r>
      <w:tr>
        <w:trPr>
          <w:trHeight w:val="111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C22000</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protection against the effects of the extraterritorial application of legislation adopted by a third country, and actions based thereon or resulting there-from</w:t>
            </w:r>
          </w:p>
        </w:tc>
        <w:tc>
          <w:tcPr>
            <w:tcW w:w="82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2271/96 </w:t>
            </w:r>
            <w:r>
              <w:rPr>
                <w:rFonts w:ascii="Arial" w:hAnsi="Arial" w:cs="Arial"/>
                <w:noProof/>
                <w:color w:val="000000"/>
                <w:sz w:val="18"/>
                <w:szCs w:val="18"/>
                <w:lang w:eastAsia="en-GB"/>
              </w:rPr>
              <w:br/>
              <w:t xml:space="preserve">Council Regulation (EC) No 2488/2000 </w:t>
            </w:r>
          </w:p>
        </w:tc>
        <w:tc>
          <w:tcPr>
            <w:tcW w:w="49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C38100</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Review of Listings under Regulation 881/2002</w:t>
            </w:r>
          </w:p>
        </w:tc>
        <w:tc>
          <w:tcPr>
            <w:tcW w:w="82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No 1286/2009 </w:t>
            </w:r>
          </w:p>
        </w:tc>
        <w:tc>
          <w:tcPr>
            <w:tcW w:w="49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C46300</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Partnership Instrument Committee</w:t>
            </w:r>
          </w:p>
        </w:tc>
        <w:tc>
          <w:tcPr>
            <w:tcW w:w="82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236/2014 </w:t>
            </w:r>
            <w:r>
              <w:rPr>
                <w:rFonts w:ascii="Arial" w:hAnsi="Arial" w:cs="Arial"/>
                <w:noProof/>
                <w:color w:val="000000"/>
                <w:sz w:val="18"/>
                <w:szCs w:val="18"/>
                <w:lang w:val="pt-PT" w:eastAsia="en-GB"/>
              </w:rPr>
              <w:br/>
              <w:t xml:space="preserve">Regulation (EU) No 234/2014 </w:t>
            </w:r>
          </w:p>
        </w:tc>
        <w:tc>
          <w:tcPr>
            <w:tcW w:w="49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sz w:val="18"/>
                <w:szCs w:val="18"/>
                <w:lang w:eastAsia="en-GB"/>
              </w:rPr>
            </w:pPr>
            <w:r>
              <w:rPr>
                <w:rFonts w:ascii="Arial" w:hAnsi="Arial" w:cs="Arial"/>
                <w:noProof/>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374"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828"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9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lang w:eastAsia="en-GB"/>
              </w:rPr>
              <w:t> </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lang w:eastAsia="en-GB"/>
              </w:rPr>
              <w:t>5</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lang w:eastAsia="en-GB"/>
              </w:rPr>
              <w:t>2</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lang w:eastAsia="en-GB"/>
              </w:rPr>
              <w:t>2</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lang w:eastAsia="en-GB"/>
              </w:rPr>
              <w:t>1</w:t>
            </w:r>
          </w:p>
        </w:tc>
        <w:tc>
          <w:tcPr>
            <w:tcW w:w="17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36"/>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36"/>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36"/>
        </w:numPr>
        <w:spacing w:before="0" w:after="0"/>
        <w:rPr>
          <w:noProof/>
        </w:rPr>
      </w:pPr>
      <w:r>
        <w:rPr>
          <w:noProof/>
        </w:rPr>
        <w:t>none</w:t>
      </w:r>
      <w:r>
        <w:rPr>
          <w:noProof/>
        </w:rPr>
        <w:tab/>
      </w:r>
    </w:p>
    <w:p>
      <w:pPr>
        <w:spacing w:before="0" w:after="0"/>
        <w:rPr>
          <w:b/>
          <w:noProof/>
          <w:u w:val="single"/>
        </w:rPr>
      </w:pPr>
      <w:r>
        <w:rPr>
          <w:b/>
          <w:noProof/>
          <w:u w:val="single"/>
        </w:rPr>
        <w:t>Case Law or other cases of particular interest:</w:t>
      </w:r>
    </w:p>
    <w:p>
      <w:pPr>
        <w:pStyle w:val="ListDash"/>
        <w:numPr>
          <w:ilvl w:val="0"/>
          <w:numId w:val="36"/>
        </w:numPr>
        <w:spacing w:before="0" w:after="0"/>
        <w:rPr>
          <w:noProof/>
        </w:rPr>
      </w:pPr>
      <w:r>
        <w:rPr>
          <w:noProof/>
        </w:rPr>
        <w:t>none</w:t>
      </w:r>
    </w:p>
    <w:p>
      <w:pPr>
        <w:pStyle w:val="ListDash"/>
        <w:rPr>
          <w:noProof/>
        </w:rPr>
      </w:pPr>
    </w:p>
    <w:p>
      <w:pPr>
        <w:pStyle w:val="ManualHeading1"/>
        <w:rPr>
          <w:noProof/>
        </w:rPr>
      </w:pPr>
      <w:bookmarkStart w:id="39" w:name="_Toc310414137"/>
      <w:bookmarkStart w:id="40" w:name="_Toc61958551"/>
      <w:bookmarkStart w:id="41" w:name="_Toc62746241"/>
      <w:r>
        <w:rPr>
          <w:noProof/>
        </w:rPr>
        <w:t>Internal Market, Industry, Entrepreneurship and SMEs (GROW)</w:t>
      </w:r>
      <w:bookmarkEnd w:id="39"/>
      <w:bookmarkEnd w:id="40"/>
      <w:bookmarkEnd w:id="41"/>
    </w:p>
    <w:tbl>
      <w:tblPr>
        <w:tblW w:w="5060" w:type="pct"/>
        <w:tblInd w:w="-132" w:type="dxa"/>
        <w:tblLayout w:type="fixed"/>
        <w:tblLook w:val="04A0" w:firstRow="1" w:lastRow="0" w:firstColumn="1" w:lastColumn="0" w:noHBand="0" w:noVBand="1"/>
      </w:tblPr>
      <w:tblGrid>
        <w:gridCol w:w="958"/>
        <w:gridCol w:w="4203"/>
        <w:gridCol w:w="2243"/>
        <w:gridCol w:w="1911"/>
        <w:gridCol w:w="434"/>
        <w:gridCol w:w="534"/>
        <w:gridCol w:w="534"/>
        <w:gridCol w:w="534"/>
        <w:gridCol w:w="534"/>
        <w:gridCol w:w="534"/>
        <w:gridCol w:w="534"/>
        <w:gridCol w:w="534"/>
        <w:gridCol w:w="534"/>
        <w:gridCol w:w="534"/>
        <w:gridCol w:w="519"/>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9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4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63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4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C00200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Machinery Committee</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2006/42/EC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C00400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harmonisation of national regulations relating to cableway installations designed to carry persons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2016/424</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C00600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on the removal of technical barriers to trade in detergents (CATP-DETERGENTS)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648/2004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C00700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on the removal of technical barriers to trade in fertilisers (CATP-FERTILISERS)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2003/2003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C00900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legislation to remove technical barriers to trade in aerosol dispensers (CATP/AEROSOLS)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75/324/EEC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C01400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Cosmetic Products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1223/2009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C02000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harmonisation of the provisions relating to the placing on the market and supervision of explosives for civil uses (EXPLOSIVES)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2014/28/EU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C02200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horizontal questions concerning trade in processed agricultural products not listed in Annex I</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510/2014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C02600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equipment and protective systems intended for use in potentially explosive atmospheres (EXAT)</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2014/34/EU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5"/>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C02700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Pressure Equipment</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2014/68/EU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707"/>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C03000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Telecommunications Conformity Assessment and Market Surveillance Committee (TCAM)</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2014/53/EU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C12900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for the approximation of the laws of the Member States relating to </w:t>
            </w:r>
            <w:r>
              <w:rPr>
                <w:rFonts w:ascii="Arial" w:hAnsi="Arial" w:cs="Arial"/>
                <w:b/>
                <w:noProof/>
                <w:color w:val="000000"/>
                <w:sz w:val="18"/>
                <w:szCs w:val="18"/>
                <w:lang w:eastAsia="en-GB"/>
              </w:rPr>
              <w:t>noise</w:t>
            </w:r>
            <w:r>
              <w:rPr>
                <w:rFonts w:ascii="Arial" w:hAnsi="Arial" w:cs="Arial"/>
                <w:noProof/>
                <w:color w:val="000000"/>
                <w:sz w:val="18"/>
                <w:szCs w:val="18"/>
                <w:lang w:eastAsia="en-GB"/>
              </w:rPr>
              <w:t xml:space="preserve"> emission in the environment by equipment for use outdoors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2002/49/EC </w:t>
            </w:r>
            <w:r>
              <w:rPr>
                <w:rFonts w:ascii="Arial" w:hAnsi="Arial" w:cs="Arial"/>
                <w:noProof/>
                <w:color w:val="000000"/>
                <w:sz w:val="18"/>
                <w:szCs w:val="18"/>
                <w:lang w:eastAsia="en-GB"/>
              </w:rPr>
              <w:br/>
              <w:t xml:space="preserve">Directive 2000/14/EC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887"/>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C16300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for Public Contracts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2009/81/EC </w:t>
            </w:r>
            <w:r>
              <w:rPr>
                <w:rFonts w:ascii="Arial" w:hAnsi="Arial" w:cs="Arial"/>
                <w:noProof/>
                <w:color w:val="000000"/>
                <w:sz w:val="18"/>
                <w:szCs w:val="18"/>
                <w:lang w:val="fr-BE" w:eastAsia="en-GB"/>
              </w:rPr>
              <w:br/>
              <w:t xml:space="preserve">Directive 2014/25/EU </w:t>
            </w:r>
            <w:r>
              <w:rPr>
                <w:rFonts w:ascii="Arial" w:hAnsi="Arial" w:cs="Arial"/>
                <w:noProof/>
                <w:color w:val="000000"/>
                <w:sz w:val="18"/>
                <w:szCs w:val="18"/>
                <w:lang w:val="fr-BE" w:eastAsia="en-GB"/>
              </w:rPr>
              <w:br/>
              <w:t xml:space="preserve">Directive 2014/24/EU </w:t>
            </w:r>
            <w:r>
              <w:rPr>
                <w:rFonts w:ascii="Arial" w:hAnsi="Arial" w:cs="Arial"/>
                <w:noProof/>
                <w:color w:val="000000"/>
                <w:sz w:val="18"/>
                <w:szCs w:val="18"/>
                <w:lang w:val="fr-BE" w:eastAsia="en-GB"/>
              </w:rPr>
              <w:br/>
              <w:t xml:space="preserve">Directive 2014/23/EU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C16500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application of the legislation concerning common rules for the development of the internal market of Community postal services and the improvement of quality of service</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Directive 97/67/EC</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2018/644</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79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C16700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implementation rules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6/2002 </w:t>
            </w:r>
            <w:r>
              <w:rPr>
                <w:rFonts w:ascii="Arial" w:hAnsi="Arial" w:cs="Arial"/>
                <w:noProof/>
                <w:color w:val="000000"/>
                <w:sz w:val="18"/>
                <w:szCs w:val="18"/>
                <w:lang w:eastAsia="en-GB"/>
              </w:rPr>
              <w:br/>
              <w:t xml:space="preserve">Regulation (EU) 2017/1001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67"/>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C26900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recognition of professional qualifications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2005/36/EC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79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C27100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Measuring Instruments Committee</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2014/32/EU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C34200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established under the Regulation concerning the Registration, Evaluation, Authorisation and Restriction of Chemicals </w:t>
            </w:r>
            <w:r>
              <w:rPr>
                <w:rFonts w:ascii="Arial" w:hAnsi="Arial" w:cs="Arial"/>
                <w:b/>
                <w:noProof/>
                <w:color w:val="000000"/>
                <w:sz w:val="18"/>
                <w:szCs w:val="18"/>
                <w:lang w:eastAsia="en-GB"/>
              </w:rPr>
              <w:t>(REACH)</w:t>
            </w:r>
            <w:r>
              <w:rPr>
                <w:rFonts w:ascii="Arial" w:hAnsi="Arial" w:cs="Arial"/>
                <w:noProof/>
                <w:color w:val="000000"/>
                <w:sz w:val="18"/>
                <w:szCs w:val="18"/>
                <w:lang w:eastAsia="en-GB"/>
              </w:rPr>
              <w:t xml:space="preserve"> (Joint responsibility with DG ENV)</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1272/2008 </w:t>
            </w:r>
            <w:r>
              <w:rPr>
                <w:rFonts w:ascii="Arial" w:hAnsi="Arial" w:cs="Arial"/>
                <w:noProof/>
                <w:color w:val="000000"/>
                <w:sz w:val="18"/>
                <w:szCs w:val="18"/>
                <w:lang w:eastAsia="en-GB"/>
              </w:rPr>
              <w:br/>
              <w:t xml:space="preserve">Regulation (EC) No 1907/2006 </w:t>
            </w:r>
            <w:r>
              <w:rPr>
                <w:rFonts w:ascii="Arial" w:hAnsi="Arial" w:cs="Arial"/>
                <w:noProof/>
                <w:color w:val="000000"/>
                <w:sz w:val="18"/>
                <w:szCs w:val="18"/>
                <w:lang w:eastAsia="en-GB"/>
              </w:rPr>
              <w:br/>
              <w:t xml:space="preserve">Regulation (EU) No 649/2012 </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Regulation 2019/1021</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45</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33</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r>
      <w:tr>
        <w:trPr>
          <w:trHeight w:val="23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C35300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Technical Committee - Motor Vehicles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2007/46/EC </w:t>
            </w:r>
            <w:r>
              <w:rPr>
                <w:rFonts w:ascii="Arial" w:hAnsi="Arial" w:cs="Arial"/>
                <w:noProof/>
                <w:color w:val="000000"/>
                <w:sz w:val="18"/>
                <w:szCs w:val="18"/>
                <w:lang w:eastAsia="en-GB"/>
              </w:rPr>
              <w:br/>
              <w:t xml:space="preserve">Regulation (EC) No 79/2009 </w:t>
            </w:r>
            <w:r>
              <w:rPr>
                <w:rFonts w:ascii="Arial" w:hAnsi="Arial" w:cs="Arial"/>
                <w:noProof/>
                <w:color w:val="000000"/>
                <w:sz w:val="18"/>
                <w:szCs w:val="18"/>
                <w:lang w:eastAsia="en-GB"/>
              </w:rPr>
              <w:br/>
              <w:t xml:space="preserve">Regulation (EC) No 661/2009 </w:t>
            </w:r>
            <w:r>
              <w:rPr>
                <w:rFonts w:ascii="Arial" w:hAnsi="Arial" w:cs="Arial"/>
                <w:noProof/>
                <w:color w:val="000000"/>
                <w:sz w:val="18"/>
                <w:szCs w:val="18"/>
                <w:lang w:eastAsia="en-GB"/>
              </w:rPr>
              <w:br/>
              <w:t xml:space="preserve">Regulation (EC) No 715/2007 </w:t>
            </w:r>
            <w:r>
              <w:rPr>
                <w:rFonts w:ascii="Arial" w:hAnsi="Arial" w:cs="Arial"/>
                <w:noProof/>
                <w:color w:val="000000"/>
                <w:sz w:val="18"/>
                <w:szCs w:val="18"/>
                <w:lang w:eastAsia="en-GB"/>
              </w:rPr>
              <w:br/>
              <w:t xml:space="preserve">Regulation (EC) No 595/2009 </w:t>
            </w:r>
            <w:r>
              <w:rPr>
                <w:rFonts w:ascii="Arial" w:hAnsi="Arial" w:cs="Arial"/>
                <w:noProof/>
                <w:color w:val="000000"/>
                <w:sz w:val="18"/>
                <w:szCs w:val="18"/>
                <w:lang w:eastAsia="en-GB"/>
              </w:rPr>
              <w:br/>
              <w:t xml:space="preserve">97/836/EC: Council Decision </w:t>
            </w:r>
            <w:r>
              <w:rPr>
                <w:rFonts w:ascii="Arial" w:hAnsi="Arial" w:cs="Arial"/>
                <w:noProof/>
                <w:color w:val="000000"/>
                <w:sz w:val="18"/>
                <w:szCs w:val="18"/>
                <w:lang w:eastAsia="en-GB"/>
              </w:rPr>
              <w:br/>
              <w:t xml:space="preserve">Regulation (EU) No 168/2013 </w:t>
            </w:r>
            <w:r>
              <w:rPr>
                <w:rFonts w:ascii="Arial" w:hAnsi="Arial" w:cs="Arial"/>
                <w:noProof/>
                <w:color w:val="000000"/>
                <w:sz w:val="18"/>
                <w:szCs w:val="18"/>
                <w:lang w:eastAsia="en-GB"/>
              </w:rPr>
              <w:br/>
              <w:t xml:space="preserve">Regulation (EU) 2015/758 </w:t>
            </w:r>
            <w:r>
              <w:rPr>
                <w:rFonts w:ascii="Arial" w:hAnsi="Arial" w:cs="Arial"/>
                <w:noProof/>
                <w:color w:val="000000"/>
                <w:sz w:val="18"/>
                <w:szCs w:val="18"/>
                <w:lang w:eastAsia="en-GB"/>
              </w:rPr>
              <w:br/>
              <w:t xml:space="preserve">Regulation (EU) 2016/1628 </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2018/858</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Regulation (EU) 2019/2144</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C36200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Mutual Recognition Committee</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764/2008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3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C36800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Services Directive Committee</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2006/123/EC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C37700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Safety of toys Committee</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2009/48/EC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r>
      <w:tr>
        <w:trPr>
          <w:trHeight w:val="575"/>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C38600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placing on the market of pyrotechnic articles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2013/29/EU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C40100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Construction</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305/2011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C41300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sv-SE" w:eastAsia="en-GB"/>
              </w:rPr>
            </w:pPr>
            <w:r>
              <w:rPr>
                <w:rFonts w:ascii="Arial" w:hAnsi="Arial" w:cs="Arial"/>
                <w:noProof/>
                <w:color w:val="000000"/>
                <w:sz w:val="18"/>
                <w:szCs w:val="18"/>
                <w:lang w:val="sv-SE" w:eastAsia="en-GB"/>
              </w:rPr>
              <w:t>Internal Market Information System Committee</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1024/2012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C41700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Standards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1025/2012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C44900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(COSME)  Competitiveness of Enterprises and small and medium-sized enterprises Committee (2014 - 2020)</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1287/2013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C45300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Technical Committee — Agricultural Vehicles</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167/2013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527"/>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C47700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Electrical Equipment</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2014/35/EU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C48000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LIFTS Committee</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2014/33/EU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815"/>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C48200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for the harmonisation of national legislation relating to recreational craft </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2013/53/EU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C48300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Electromagnetic Compatibility</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2014/30/EU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1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C48900</w:t>
            </w:r>
          </w:p>
        </w:tc>
        <w:tc>
          <w:tcPr>
            <w:tcW w:w="139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personal protective equipment</w:t>
            </w:r>
          </w:p>
        </w:tc>
        <w:tc>
          <w:tcPr>
            <w:tcW w:w="74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2016/425 </w:t>
            </w:r>
          </w:p>
        </w:tc>
        <w:tc>
          <w:tcPr>
            <w:tcW w:w="63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4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C50800</w:t>
            </w:r>
          </w:p>
        </w:tc>
        <w:tc>
          <w:tcPr>
            <w:tcW w:w="139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Simple Pressure Vessels</w:t>
            </w:r>
          </w:p>
        </w:tc>
        <w:tc>
          <w:tcPr>
            <w:tcW w:w="74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Directive 2014/29/EU </w:t>
            </w:r>
          </w:p>
        </w:tc>
        <w:tc>
          <w:tcPr>
            <w:tcW w:w="63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 xml:space="preserve">Examination </w:t>
            </w:r>
          </w:p>
        </w:tc>
        <w:tc>
          <w:tcPr>
            <w:tcW w:w="14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C51200</w:t>
            </w:r>
          </w:p>
        </w:tc>
        <w:tc>
          <w:tcPr>
            <w:tcW w:w="139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Committee on appliances</w:t>
            </w:r>
          </w:p>
        </w:tc>
        <w:tc>
          <w:tcPr>
            <w:tcW w:w="74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Regulation (EU) 2016/426</w:t>
            </w:r>
          </w:p>
        </w:tc>
        <w:tc>
          <w:tcPr>
            <w:tcW w:w="63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Examination_urgency</w:t>
            </w:r>
          </w:p>
        </w:tc>
        <w:tc>
          <w:tcPr>
            <w:tcW w:w="14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671"/>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C51400</w:t>
            </w:r>
          </w:p>
        </w:tc>
        <w:tc>
          <w:tcPr>
            <w:tcW w:w="139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Committee on fertilising products</w:t>
            </w:r>
          </w:p>
        </w:tc>
        <w:tc>
          <w:tcPr>
            <w:tcW w:w="74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Regulation (EU) 2019/1009</w:t>
            </w:r>
          </w:p>
        </w:tc>
        <w:tc>
          <w:tcPr>
            <w:tcW w:w="63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Advisory_urgency</w:t>
            </w:r>
          </w:p>
          <w:p>
            <w:pPr>
              <w:spacing w:before="0" w:after="0"/>
              <w:jc w:val="left"/>
              <w:rPr>
                <w:rFonts w:ascii="Arial" w:hAnsi="Arial" w:cs="Arial"/>
                <w:noProof/>
                <w:color w:val="000000"/>
                <w:sz w:val="18"/>
                <w:szCs w:val="18"/>
                <w:lang w:eastAsia="en-GB"/>
              </w:rPr>
            </w:pPr>
          </w:p>
        </w:tc>
        <w:tc>
          <w:tcPr>
            <w:tcW w:w="14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394"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44"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63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4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xml:space="preserve">34 </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xml:space="preserve"> 14</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xml:space="preserve"> 68</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xml:space="preserve">38 </w:t>
            </w:r>
          </w:p>
        </w:tc>
        <w:tc>
          <w:tcPr>
            <w:tcW w:w="17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 xml:space="preserve"> 19    </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Paragraph"/>
        <w:numPr>
          <w:ilvl w:val="0"/>
          <w:numId w:val="36"/>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Paragraph"/>
        <w:numPr>
          <w:ilvl w:val="0"/>
          <w:numId w:val="36"/>
        </w:numPr>
        <w:spacing w:before="0" w:after="0"/>
        <w:rPr>
          <w:b/>
          <w:noProof/>
        </w:rPr>
      </w:pPr>
      <w:r>
        <w:rPr>
          <w:noProof/>
          <w:color w:val="000000"/>
        </w:rPr>
        <w:t>to DEFIS: C27400, C42506, C44000, C46700, C46800, C50400</w:t>
      </w:r>
    </w:p>
    <w:p>
      <w:pPr>
        <w:pStyle w:val="ListParagraph"/>
        <w:numPr>
          <w:ilvl w:val="0"/>
          <w:numId w:val="36"/>
        </w:numPr>
        <w:spacing w:before="0" w:after="0"/>
        <w:rPr>
          <w:b/>
          <w:noProof/>
        </w:rPr>
      </w:pPr>
      <w:r>
        <w:rPr>
          <w:noProof/>
          <w:color w:val="000000"/>
        </w:rPr>
        <w:t>to SANTE: C00300, C49800</w:t>
      </w:r>
    </w:p>
    <w:p>
      <w:pPr>
        <w:pStyle w:val="ListParagraph"/>
        <w:numPr>
          <w:ilvl w:val="0"/>
          <w:numId w:val="36"/>
        </w:numPr>
        <w:spacing w:before="0" w:after="0"/>
        <w:rPr>
          <w:b/>
          <w:noProof/>
        </w:rPr>
      </w:pPr>
      <w:r>
        <w:rPr>
          <w:noProof/>
          <w:color w:val="000000"/>
        </w:rPr>
        <w:t>to HOME:</w:t>
      </w:r>
      <w:r>
        <w:rPr>
          <w:b/>
          <w:noProof/>
        </w:rPr>
        <w:t xml:space="preserve"> </w:t>
      </w:r>
      <w:r>
        <w:rPr>
          <w:noProof/>
        </w:rPr>
        <w:t>C36300</w:t>
      </w:r>
    </w:p>
    <w:p>
      <w:pPr>
        <w:pStyle w:val="ListParagraph"/>
        <w:numPr>
          <w:ilvl w:val="0"/>
          <w:numId w:val="36"/>
        </w:numPr>
        <w:spacing w:before="0" w:after="0"/>
        <w:rPr>
          <w:noProof/>
          <w:color w:val="000000"/>
        </w:rPr>
      </w:pPr>
      <w:r>
        <w:rPr>
          <w:noProof/>
          <w:color w:val="000000"/>
        </w:rPr>
        <w:t>C01100: following the adoption of the omnibus Regulation (EU) 2019/1243, the Committee provided for in Article 17 of Directive 2009/34/EC relating to common provisions for both measuring instruments and methods of metrological control, namely the Committee for Adjustment to Technical Progress (Committee C01100 - referred to above), has been abolished (Article 17 deleted).</w:t>
      </w:r>
    </w:p>
    <w:p>
      <w:pPr>
        <w:spacing w:before="0" w:after="0"/>
        <w:rPr>
          <w:b/>
          <w:noProof/>
          <w:u w:val="single"/>
        </w:rPr>
      </w:pPr>
    </w:p>
    <w:p>
      <w:pPr>
        <w:spacing w:before="0" w:after="0"/>
        <w:rPr>
          <w:b/>
          <w:noProof/>
          <w:u w:val="single"/>
        </w:rPr>
      </w:pPr>
      <w:r>
        <w:rPr>
          <w:b/>
          <w:noProof/>
          <w:u w:val="single"/>
        </w:rPr>
        <w:t>New procedures attributed to existing committee:</w:t>
      </w:r>
    </w:p>
    <w:p>
      <w:pPr>
        <w:pStyle w:val="ListDash"/>
        <w:numPr>
          <w:ilvl w:val="0"/>
          <w:numId w:val="36"/>
        </w:numPr>
        <w:spacing w:before="0" w:after="0"/>
        <w:rPr>
          <w:noProof/>
        </w:rPr>
      </w:pPr>
      <w:r>
        <w:rPr>
          <w:noProof/>
        </w:rPr>
        <w:t>C35300:  Regulation (EU) 2019/2144</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36"/>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Paragraph"/>
        <w:numPr>
          <w:ilvl w:val="0"/>
          <w:numId w:val="40"/>
        </w:numPr>
        <w:rPr>
          <w:noProof/>
          <w:sz w:val="22"/>
          <w:szCs w:val="22"/>
          <w:lang w:eastAsia="de-DE"/>
        </w:rPr>
      </w:pPr>
      <w:r>
        <w:rPr>
          <w:noProof/>
          <w:lang w:eastAsia="de-DE"/>
        </w:rPr>
        <w:t xml:space="preserve">European Parliament resolution of 27 March 2019 on the draft Commission implementing decision granting an authorisation for certain uses of chromium trioxide under Regulation (EC) No 1907/2006 of the European Parliament and of the Council (Lanxess Deutschland GmbH and others) (D060095/03 – 2019/2654(RSP)) </w:t>
      </w:r>
    </w:p>
    <w:p>
      <w:pPr>
        <w:pStyle w:val="ListDash"/>
        <w:numPr>
          <w:ilvl w:val="0"/>
          <w:numId w:val="40"/>
        </w:numPr>
        <w:rPr>
          <w:noProof/>
        </w:rPr>
      </w:pPr>
      <w:r>
        <w:rPr>
          <w:noProof/>
        </w:rPr>
        <w:t>European Parliament resolution of 27 March 2019 on the draft Commission implementing decision partially granting an authorisation for certain uses of bis(2ethylhexyl) phthalate (DEHP) under Regulation (EC) No 1907/2006 of the European Parliament and of the Council (Grupa Azoty Zakłady Azotowe Kędzierzyn S.A.) (D060866/01 – 2019/2606(RSP))</w:t>
      </w:r>
    </w:p>
    <w:p>
      <w:pPr>
        <w:pStyle w:val="ListParagraph"/>
        <w:numPr>
          <w:ilvl w:val="0"/>
          <w:numId w:val="40"/>
        </w:numPr>
        <w:rPr>
          <w:noProof/>
          <w:lang w:eastAsia="de-DE"/>
        </w:rPr>
      </w:pPr>
      <w:r>
        <w:rPr>
          <w:noProof/>
          <w:lang w:eastAsia="de-DE"/>
        </w:rPr>
        <w:t xml:space="preserve">European Parliament resolution of 27 March 2019 on the draft Commission implementing decision partially granting an authorisation for certain uses of bis(2ethylhexyl) phthalate (DEHP) under Regulation (EC) No 1907/2006 of the European Parliament and of the Council (DEZA a.s.) (D060865/01 – 2019/2605(RSP)) </w:t>
      </w:r>
    </w:p>
    <w:p>
      <w:pPr>
        <w:pStyle w:val="ListDash"/>
        <w:numPr>
          <w:ilvl w:val="0"/>
          <w:numId w:val="40"/>
        </w:numPr>
        <w:rPr>
          <w:noProof/>
        </w:rPr>
      </w:pPr>
      <w:r>
        <w:rPr>
          <w:noProof/>
        </w:rPr>
        <w:t>European Parliament resolution of 24 October 2019 on the draft Commission implementing decision partially granting an authorisation for a use of chromium trioxide under Regulation (EC) No 1907/2006 of the European Parliament and of the Council (Cromomed S.A. and others) (D063690/01 – 2019/2844(RSP))</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5"/>
        </w:numPr>
        <w:rPr>
          <w:noProof/>
        </w:rPr>
      </w:pPr>
      <w:r>
        <w:rPr>
          <w:noProof/>
        </w:rPr>
        <w:t>Judgment of 7 March 2019 in case T-837/16 (Sweden v. Commission) annulling Commission Decision C(2016)5644 granting an authorisation under REACH.  The Commission has lodged an appeal (Case C-389/19 P).</w:t>
      </w:r>
    </w:p>
    <w:p>
      <w:pPr>
        <w:pStyle w:val="ListDash"/>
        <w:numPr>
          <w:ilvl w:val="0"/>
          <w:numId w:val="45"/>
        </w:numPr>
        <w:rPr>
          <w:noProof/>
        </w:rPr>
      </w:pPr>
      <w:r>
        <w:rPr>
          <w:noProof/>
        </w:rPr>
        <w:t>Judgment of 20 September 2019 in case T-610/17 (ICL v. Commission) dismissing the action for annulment of Commission Regulation 2017/999.</w:t>
      </w:r>
    </w:p>
    <w:p>
      <w:pPr>
        <w:pStyle w:val="ListDash"/>
        <w:ind w:left="720"/>
        <w:rPr>
          <w:noProof/>
        </w:rPr>
      </w:pPr>
    </w:p>
    <w:p>
      <w:pPr>
        <w:pStyle w:val="ManualHeading1"/>
        <w:rPr>
          <w:noProof/>
        </w:rPr>
      </w:pPr>
      <w:bookmarkStart w:id="42" w:name="_Toc61958552"/>
      <w:bookmarkStart w:id="43" w:name="_Toc62746242"/>
      <w:r>
        <w:rPr>
          <w:noProof/>
        </w:rPr>
        <w:t>Migration and Home Affairs (HOME)</w:t>
      </w:r>
      <w:bookmarkEnd w:id="42"/>
      <w:bookmarkEnd w:id="43"/>
    </w:p>
    <w:tbl>
      <w:tblPr>
        <w:tblW w:w="5000" w:type="pct"/>
        <w:tblLook w:val="04A0" w:firstRow="1" w:lastRow="0" w:firstColumn="1" w:lastColumn="0" w:noHBand="0" w:noVBand="1"/>
      </w:tblPr>
      <w:tblGrid>
        <w:gridCol w:w="948"/>
        <w:gridCol w:w="3763"/>
        <w:gridCol w:w="2914"/>
        <w:gridCol w:w="1356"/>
        <w:gridCol w:w="539"/>
        <w:gridCol w:w="539"/>
        <w:gridCol w:w="539"/>
        <w:gridCol w:w="539"/>
        <w:gridCol w:w="539"/>
        <w:gridCol w:w="539"/>
        <w:gridCol w:w="539"/>
        <w:gridCol w:w="539"/>
        <w:gridCol w:w="539"/>
        <w:gridCol w:w="539"/>
        <w:gridCol w:w="524"/>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7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C20800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on a uniform visa format </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2252/2004 </w:t>
            </w:r>
            <w:r>
              <w:rPr>
                <w:rFonts w:ascii="Arial" w:hAnsi="Arial" w:cs="Arial"/>
                <w:noProof/>
                <w:color w:val="000000"/>
                <w:sz w:val="18"/>
                <w:szCs w:val="18"/>
                <w:lang w:eastAsia="en-GB"/>
              </w:rPr>
              <w:br/>
              <w:t xml:space="preserve">Council Regulation (EC) No 1683/95 </w:t>
            </w:r>
            <w:r>
              <w:rPr>
                <w:rFonts w:ascii="Arial" w:hAnsi="Arial" w:cs="Arial"/>
                <w:noProof/>
                <w:color w:val="000000"/>
                <w:sz w:val="18"/>
                <w:szCs w:val="18"/>
                <w:lang w:eastAsia="en-GB"/>
              </w:rPr>
              <w:br/>
              <w:t xml:space="preserve">Council Regulation (EC) No 1030/2002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C34400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second generation Schengen Information System and Visa Information System committee (SIS-VIS committee)</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767/2008 </w:t>
            </w:r>
            <w:r>
              <w:rPr>
                <w:rFonts w:ascii="Arial" w:hAnsi="Arial" w:cs="Arial"/>
                <w:noProof/>
                <w:color w:val="000000"/>
                <w:sz w:val="18"/>
                <w:szCs w:val="18"/>
                <w:lang w:eastAsia="en-GB"/>
              </w:rPr>
              <w:br/>
              <w:t xml:space="preserve">Regulation (EC) No 1987/2006 </w:t>
            </w:r>
            <w:r>
              <w:rPr>
                <w:rFonts w:ascii="Arial" w:hAnsi="Arial" w:cs="Arial"/>
                <w:noProof/>
                <w:color w:val="000000"/>
                <w:sz w:val="18"/>
                <w:szCs w:val="18"/>
                <w:lang w:eastAsia="en-GB"/>
              </w:rPr>
              <w:br/>
              <w:t xml:space="preserve">Council Decision 2007/533/JHA </w:t>
            </w:r>
            <w:r>
              <w:rPr>
                <w:rFonts w:ascii="Arial" w:hAnsi="Arial" w:cs="Arial"/>
                <w:noProof/>
                <w:color w:val="000000"/>
                <w:sz w:val="18"/>
                <w:szCs w:val="18"/>
                <w:lang w:eastAsia="en-GB"/>
              </w:rPr>
              <w:br/>
              <w:t xml:space="preserve">Council Decision 2008/839/JHA </w:t>
            </w:r>
            <w:r>
              <w:rPr>
                <w:rFonts w:ascii="Arial" w:hAnsi="Arial" w:cs="Arial"/>
                <w:noProof/>
                <w:color w:val="000000"/>
                <w:sz w:val="18"/>
                <w:szCs w:val="18"/>
                <w:lang w:eastAsia="en-GB"/>
              </w:rPr>
              <w:br/>
              <w:t xml:space="preserve">Council Regulation (EC) No 1104/2008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71"/>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C36300</w:t>
            </w:r>
          </w:p>
        </w:tc>
        <w:tc>
          <w:tcPr>
            <w:tcW w:w="126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established under Directive 91/477/EEC (Firearms Directive)</w:t>
            </w:r>
          </w:p>
        </w:tc>
        <w:tc>
          <w:tcPr>
            <w:tcW w:w="978"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Directive 2008/51/EC  Directive (EU) 2017/853</w:t>
            </w:r>
          </w:p>
        </w:tc>
        <w:tc>
          <w:tcPr>
            <w:tcW w:w="455"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C37600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Visa Committee</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 810/2009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C40500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Travel Document Committee</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No 1105/2011/EU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C42000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Dublin III Committee </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604/2013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C42400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Schengen Committee</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No 1053/2013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39</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3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C42514</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‘Secure societies – Protecting Freedom and security of Europe and its citizens’</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C46500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Asylum, Migration and Integration and Internal Security Funds Committee</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514/2014 </w:t>
            </w:r>
            <w:r>
              <w:rPr>
                <w:rFonts w:ascii="Arial" w:hAnsi="Arial" w:cs="Arial"/>
                <w:noProof/>
                <w:color w:val="000000"/>
                <w:sz w:val="18"/>
                <w:szCs w:val="18"/>
                <w:lang w:val="pt-PT" w:eastAsia="en-GB"/>
              </w:rPr>
              <w:br/>
              <w:t xml:space="preserve">Regulation (EU) No 515/2014 </w:t>
            </w:r>
            <w:r>
              <w:rPr>
                <w:rFonts w:ascii="Arial" w:hAnsi="Arial" w:cs="Arial"/>
                <w:noProof/>
                <w:color w:val="000000"/>
                <w:sz w:val="18"/>
                <w:szCs w:val="18"/>
                <w:lang w:val="pt-PT" w:eastAsia="en-GB"/>
              </w:rPr>
              <w:br/>
              <w:t xml:space="preserve">Regulation (EU) No 516/2014 </w:t>
            </w:r>
            <w:r>
              <w:rPr>
                <w:rFonts w:ascii="Arial" w:hAnsi="Arial" w:cs="Arial"/>
                <w:noProof/>
                <w:color w:val="000000"/>
                <w:sz w:val="18"/>
                <w:szCs w:val="18"/>
                <w:lang w:val="pt-PT" w:eastAsia="en-GB"/>
              </w:rPr>
              <w:br/>
              <w:t xml:space="preserve">Regulation (EU) No 513/2014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C47400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Visa reciprocity and visa suspension committee</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1289/2013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r>
      <w:tr>
        <w:trPr>
          <w:trHeight w:val="359"/>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C48800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Schengen Borders Code </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2016/399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C49100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common protocols and data formats for transferring PNR data</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(EU) 2016/681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C49900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Smart Borders Committee</w:t>
            </w:r>
          </w:p>
        </w:tc>
        <w:tc>
          <w:tcPr>
            <w:tcW w:w="978"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2017/2226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lang w:eastAsia="en-GB"/>
              </w:rPr>
              <w:t>5</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4</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4</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4</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C51100</w:t>
            </w:r>
          </w:p>
        </w:tc>
        <w:tc>
          <w:tcPr>
            <w:tcW w:w="126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SIS-SIRENE Committee (Police)</w:t>
            </w:r>
          </w:p>
        </w:tc>
        <w:tc>
          <w:tcPr>
            <w:tcW w:w="978"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2018/1862</w:t>
            </w:r>
          </w:p>
        </w:tc>
        <w:tc>
          <w:tcPr>
            <w:tcW w:w="455"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lang w:eastAsia="en-GB"/>
              </w:rPr>
            </w:pPr>
            <w:r>
              <w:rPr>
                <w:rFonts w:ascii="Arial" w:hAnsi="Arial" w:cs="Arial"/>
                <w:noProof/>
                <w:sz w:val="18"/>
                <w:szCs w:val="18"/>
                <w:lang w:eastAsia="en-GB"/>
              </w:rPr>
              <w:t>5</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C51300</w:t>
            </w:r>
          </w:p>
        </w:tc>
        <w:tc>
          <w:tcPr>
            <w:tcW w:w="126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Interoperability Committee</w:t>
            </w:r>
          </w:p>
        </w:tc>
        <w:tc>
          <w:tcPr>
            <w:tcW w:w="978"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2019/818 Regulation (EU) 2019/817</w:t>
            </w:r>
          </w:p>
        </w:tc>
        <w:tc>
          <w:tcPr>
            <w:tcW w:w="455"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lang w:eastAsia="en-GB"/>
              </w:rPr>
            </w:pPr>
            <w:r>
              <w:rPr>
                <w:rFonts w:ascii="Arial" w:hAnsi="Arial" w:cs="Arial"/>
                <w:noProof/>
                <w:sz w:val="18"/>
                <w:szCs w:val="18"/>
                <w:lang w:eastAsia="en-GB"/>
              </w:rPr>
              <w:t>4</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C52000</w:t>
            </w:r>
          </w:p>
        </w:tc>
        <w:tc>
          <w:tcPr>
            <w:tcW w:w="126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Border and Coast Guard Committee</w:t>
            </w:r>
          </w:p>
        </w:tc>
        <w:tc>
          <w:tcPr>
            <w:tcW w:w="978"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2019/1896</w:t>
            </w:r>
          </w:p>
        </w:tc>
        <w:tc>
          <w:tcPr>
            <w:tcW w:w="455"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lang w:eastAsia="en-GB"/>
              </w:rPr>
            </w:pPr>
            <w:r>
              <w:rPr>
                <w:rFonts w:ascii="Arial" w:hAnsi="Arial" w:cs="Arial"/>
                <w:noProof/>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C52100</w:t>
            </w:r>
          </w:p>
        </w:tc>
        <w:tc>
          <w:tcPr>
            <w:tcW w:w="126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SIS-SIRENE Committee (Borders)</w:t>
            </w:r>
          </w:p>
        </w:tc>
        <w:tc>
          <w:tcPr>
            <w:tcW w:w="978"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2018/1861</w:t>
            </w:r>
          </w:p>
        </w:tc>
        <w:tc>
          <w:tcPr>
            <w:tcW w:w="455"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lang w:eastAsia="en-GB"/>
              </w:rPr>
            </w:pPr>
            <w:r>
              <w:rPr>
                <w:rFonts w:ascii="Arial" w:hAnsi="Arial" w:cs="Arial"/>
                <w:noProof/>
                <w:sz w:val="18"/>
                <w:szCs w:val="18"/>
                <w:lang w:eastAsia="en-GB"/>
              </w:rPr>
              <w:t>5</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C52300</w:t>
            </w:r>
          </w:p>
        </w:tc>
        <w:tc>
          <w:tcPr>
            <w:tcW w:w="126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Smart Borders Committee (ETIAS)</w:t>
            </w:r>
          </w:p>
        </w:tc>
        <w:tc>
          <w:tcPr>
            <w:tcW w:w="978"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2018/124</w:t>
            </w:r>
          </w:p>
        </w:tc>
        <w:tc>
          <w:tcPr>
            <w:tcW w:w="455"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lang w:eastAsia="en-GB"/>
              </w:rPr>
            </w:pPr>
            <w:r>
              <w:rPr>
                <w:rFonts w:ascii="Arial" w:hAnsi="Arial" w:cs="Arial"/>
                <w:noProof/>
                <w:sz w:val="18"/>
                <w:szCs w:val="18"/>
                <w:lang w:eastAsia="en-GB"/>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sz w:val="18"/>
                <w:szCs w:val="18"/>
              </w:rPr>
            </w:pPr>
            <w:r>
              <w:rPr>
                <w:rFonts w:ascii="Arial" w:hAnsi="Arial" w:cs="Arial"/>
                <w:noProof/>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6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978"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5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45</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16</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66</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lang w:eastAsia="en-GB"/>
              </w:rPr>
              <w:t>21</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0</w:t>
            </w:r>
          </w:p>
        </w:tc>
      </w:tr>
    </w:tbl>
    <w:p>
      <w:pPr>
        <w:spacing w:before="240"/>
        <w:rPr>
          <w:i/>
          <w:noProof/>
          <w:sz w:val="18"/>
          <w:szCs w:val="18"/>
        </w:rPr>
      </w:pPr>
      <w:r>
        <w:rPr>
          <w:i/>
          <w:noProof/>
          <w:sz w:val="18"/>
          <w:szCs w:val="18"/>
        </w:rPr>
        <w:t>*For other configurations of this committee, see ‘RESEARCH AND INNOVATION (RTD)’, ‘INTERNAL MARKET, INDUSTRY, ENTREPRENEURSHIP AND SMES (GROW)’, and ‘COMMUNICATIONS NETWORKS, CONTENT AND TECHNOLOGY (CNECT)’</w:t>
      </w: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C52000 European Border and Coast Guard Committee (Regulation (EU) 2019/1896)</w:t>
      </w:r>
    </w:p>
    <w:p>
      <w:pPr>
        <w:pStyle w:val="ListDash"/>
        <w:numPr>
          <w:ilvl w:val="0"/>
          <w:numId w:val="40"/>
        </w:numPr>
        <w:spacing w:before="0" w:after="0"/>
        <w:rPr>
          <w:noProof/>
        </w:rPr>
      </w:pPr>
      <w:r>
        <w:rPr>
          <w:noProof/>
        </w:rPr>
        <w:t xml:space="preserve">Due to legal reasons concerning the legal basis of SIS-SIRENE Committee, this Committee was split in 2 at the end of 2019: the existing SIS-SIRENE Committee changed its name to ‘SIS-SIRENE Police’ (legal basis Regulation 2018/1862), and a second committee named ‘SIS-SIRENE Borders’ (legal basis Regulation 2018/1861) was created. </w:t>
      </w:r>
    </w:p>
    <w:p>
      <w:pPr>
        <w:pStyle w:val="ListDash"/>
        <w:numPr>
          <w:ilvl w:val="0"/>
          <w:numId w:val="40"/>
        </w:numPr>
        <w:spacing w:before="0" w:after="0"/>
        <w:rPr>
          <w:noProof/>
        </w:rPr>
      </w:pPr>
      <w:r>
        <w:rPr>
          <w:noProof/>
        </w:rPr>
        <w:t xml:space="preserve">Due to legal reasons concerning the legal basis of Smart Borders Committee, this Committee was split in 2 at the end of 2019: the existing Smart Borders Committee changed its name to ‘Smart Borders Committee (EES)’ (legal basis </w:t>
      </w:r>
      <w:r>
        <w:rPr>
          <w:noProof/>
          <w:lang w:val="en-IE"/>
        </w:rPr>
        <w:t>Regulation (EU) 2017/2226</w:t>
      </w:r>
      <w:r>
        <w:rPr>
          <w:noProof/>
        </w:rPr>
        <w:t xml:space="preserve">), and a second committee named ‘Smart Borders Committee (ETIAS)’ (legal basis </w:t>
      </w:r>
      <w:r>
        <w:rPr>
          <w:noProof/>
          <w:lang w:val="en-IE"/>
        </w:rPr>
        <w:t>Regulation (EU) 2018/124</w:t>
      </w:r>
      <w:r>
        <w:rPr>
          <w:noProof/>
        </w:rPr>
        <w:t>) was created.”</w:t>
      </w:r>
    </w:p>
    <w:p>
      <w:pPr>
        <w:spacing w:before="0" w:after="0"/>
        <w:rPr>
          <w:b/>
          <w:noProof/>
          <w:u w:val="single"/>
        </w:rPr>
      </w:pP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pStyle w:val="ListDash"/>
        <w:rPr>
          <w:noProof/>
        </w:rPr>
      </w:pPr>
    </w:p>
    <w:p>
      <w:pPr>
        <w:pStyle w:val="ManualHeading1"/>
        <w:spacing w:before="720"/>
        <w:rPr>
          <w:noProof/>
        </w:rPr>
      </w:pPr>
      <w:bookmarkStart w:id="44" w:name="_Toc310414147"/>
      <w:bookmarkStart w:id="45" w:name="_Toc61958553"/>
      <w:bookmarkStart w:id="46" w:name="_Toc62746243"/>
      <w:r>
        <w:rPr>
          <w:noProof/>
        </w:rPr>
        <w:t>Justice and Consumers (JUST)</w:t>
      </w:r>
      <w:bookmarkEnd w:id="44"/>
      <w:bookmarkEnd w:id="45"/>
      <w:bookmarkEnd w:id="46"/>
    </w:p>
    <w:tbl>
      <w:tblPr>
        <w:tblW w:w="5000" w:type="pct"/>
        <w:tblLayout w:type="fixed"/>
        <w:tblLook w:val="04A0" w:firstRow="1" w:lastRow="0" w:firstColumn="1" w:lastColumn="0" w:noHBand="0" w:noVBand="1"/>
      </w:tblPr>
      <w:tblGrid>
        <w:gridCol w:w="948"/>
        <w:gridCol w:w="3868"/>
        <w:gridCol w:w="2360"/>
        <w:gridCol w:w="1835"/>
        <w:gridCol w:w="536"/>
        <w:gridCol w:w="536"/>
        <w:gridCol w:w="536"/>
        <w:gridCol w:w="536"/>
        <w:gridCol w:w="536"/>
        <w:gridCol w:w="536"/>
        <w:gridCol w:w="536"/>
        <w:gridCol w:w="536"/>
        <w:gridCol w:w="536"/>
        <w:gridCol w:w="536"/>
        <w:gridCol w:w="524"/>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98"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79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616"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974"/>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C19500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of the Directive on General Product Safety (2001/95/EC)</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2001/95/EC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842"/>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C21300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service in the Member States of judicial and extrajudicial documents in civil and commercial matters</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1393/2007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C21400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Advisory Committee on legal aid in cross-border disputes in civil and commercial matters </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2002/8/EC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C21500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Advisory Committee concerning jurisdiction, recognition and enforcement of judgments in civil and commercial matters – Brussels </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805/2004 </w:t>
            </w:r>
            <w:r>
              <w:rPr>
                <w:rFonts w:ascii="Arial" w:hAnsi="Arial" w:cs="Arial"/>
                <w:noProof/>
                <w:color w:val="000000"/>
                <w:sz w:val="18"/>
                <w:szCs w:val="18"/>
                <w:lang w:eastAsia="en-GB"/>
              </w:rPr>
              <w:br/>
              <w:t xml:space="preserve">Council Regulation (EC) No 44/2001 </w:t>
            </w:r>
            <w:r>
              <w:rPr>
                <w:rFonts w:ascii="Arial" w:hAnsi="Arial" w:cs="Arial"/>
                <w:noProof/>
                <w:color w:val="000000"/>
                <w:sz w:val="18"/>
                <w:szCs w:val="18"/>
                <w:lang w:eastAsia="en-GB"/>
              </w:rPr>
              <w:br/>
              <w:t xml:space="preserve">Regulation (EC) No 1896/2006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C21800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Crime victims committee</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2004/80/EC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C25900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Consumer Protection Cooperation Committee (Reg. (EC) No 2006/2004)</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2006/2004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C35200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concerning applicable law, jurisdiction and enforcement in matrimonial matters, parental responsibility and maintenance obligations</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2201/2003 </w:t>
            </w:r>
            <w:r>
              <w:rPr>
                <w:rFonts w:ascii="Arial" w:hAnsi="Arial" w:cs="Arial"/>
                <w:noProof/>
                <w:color w:val="000000"/>
                <w:sz w:val="18"/>
                <w:szCs w:val="18"/>
                <w:lang w:eastAsia="en-GB"/>
              </w:rPr>
              <w:br/>
              <w:t xml:space="preserve">Council Regulation (EC) No 4/2009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C35800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cooperation between the courts of the Member States in the taking of evidence in civil or commercial matters</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1206/2001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C39600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credit agreements for consumers</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2008/48/EC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C41100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Succession committee</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650/2012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C41900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mutual recognition of protection measures in civil matters</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606/2013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C42700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Online Dispute Resolution  (Reg. (EU) No 524/2013)</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524/2013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C44600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Rights, Equality and Citizenship Programme Committee </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1381/2013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C44700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Justice Programme Committee </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1382/2013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C45800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Consumer Financial Programme Committee 2014-2020 (CFPC)</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254/2014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C46400</w:t>
            </w:r>
            <w:r>
              <w:rPr>
                <w:rStyle w:val="FootnoteReference"/>
                <w:rFonts w:ascii="Arial" w:hAnsi="Arial" w:cs="Arial"/>
                <w:noProof/>
                <w:color w:val="000000"/>
                <w:sz w:val="18"/>
                <w:szCs w:val="18"/>
                <w:lang w:eastAsia="en-GB"/>
              </w:rPr>
              <w:footnoteReference w:id="3"/>
            </w:r>
          </w:p>
        </w:tc>
        <w:tc>
          <w:tcPr>
            <w:tcW w:w="129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 for Citizens" Committee</w:t>
            </w:r>
          </w:p>
        </w:tc>
        <w:tc>
          <w:tcPr>
            <w:tcW w:w="792"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COUNCIL REGULATION (EU) No 390/2014</w:t>
            </w:r>
          </w:p>
        </w:tc>
        <w:tc>
          <w:tcPr>
            <w:tcW w:w="616"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C47000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Interconnection of Central, Commercial and Companies' Registers</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Directive 2009/101/EC Directive 2012/17/EU Directive (EU) 2017/1132</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Examination_urgency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C47100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Account Preservation Order Committee</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655/2014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C48500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insolvency proceedings</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2015/848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C49000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protection of individuals with regard to the processing of personal data and on the free movement of such data (2018)</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2016/679 </w:t>
            </w:r>
            <w:r>
              <w:rPr>
                <w:rFonts w:ascii="Arial" w:hAnsi="Arial" w:cs="Arial"/>
                <w:noProof/>
                <w:color w:val="000000"/>
                <w:sz w:val="18"/>
                <w:szCs w:val="18"/>
                <w:lang w:eastAsia="en-GB"/>
              </w:rPr>
              <w:br/>
              <w:t xml:space="preserve">Directive (EU) 2016/680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C49200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Property regimes of international couples: marriages</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2016/1103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C49300</w:t>
            </w:r>
          </w:p>
        </w:tc>
        <w:tc>
          <w:tcPr>
            <w:tcW w:w="1298"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Property regimes of international couples: registered partnerships</w:t>
            </w:r>
          </w:p>
        </w:tc>
        <w:tc>
          <w:tcPr>
            <w:tcW w:w="79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2016/1104 </w:t>
            </w:r>
          </w:p>
        </w:tc>
        <w:tc>
          <w:tcPr>
            <w:tcW w:w="6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C50500</w:t>
            </w:r>
          </w:p>
        </w:tc>
        <w:tc>
          <w:tcPr>
            <w:tcW w:w="129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Consumer Protection Cooperation Committee (Reg. (EC) No 2017/2394) </w:t>
            </w:r>
          </w:p>
        </w:tc>
        <w:tc>
          <w:tcPr>
            <w:tcW w:w="792"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2017/2394 </w:t>
            </w:r>
          </w:p>
        </w:tc>
        <w:tc>
          <w:tcPr>
            <w:tcW w:w="616"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C51700</w:t>
            </w:r>
          </w:p>
        </w:tc>
        <w:tc>
          <w:tcPr>
            <w:tcW w:w="1298"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European Criminal Records Information System (ECRIS) Committee</w:t>
            </w:r>
          </w:p>
        </w:tc>
        <w:tc>
          <w:tcPr>
            <w:tcW w:w="792"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Regulation (EU) 2019/816</w:t>
            </w:r>
          </w:p>
        </w:tc>
        <w:tc>
          <w:tcPr>
            <w:tcW w:w="616"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rPr>
            </w:pPr>
            <w:r>
              <w:rPr>
                <w:rFonts w:ascii="Arial" w:hAnsi="Arial" w:cs="Arial"/>
                <w:noProof/>
                <w:color w:val="000000"/>
                <w:sz w:val="18"/>
                <w:szCs w:val="18"/>
              </w:rPr>
              <w:t>Examination</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98"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792"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6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13</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7</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2</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Paragraph"/>
        <w:numPr>
          <w:ilvl w:val="0"/>
          <w:numId w:val="36"/>
        </w:numPr>
        <w:spacing w:before="0" w:after="0"/>
        <w:rPr>
          <w:noProof/>
        </w:rPr>
      </w:pPr>
      <w:r>
        <w:rPr>
          <w:noProof/>
        </w:rPr>
        <w:t>C46400 Europe for Citizens committee (transferred from DG HOME to DG JUST)</w:t>
      </w:r>
    </w:p>
    <w:p>
      <w:pPr>
        <w:spacing w:before="0" w:after="0"/>
        <w:rPr>
          <w:b/>
          <w:noProof/>
        </w:rPr>
      </w:pPr>
      <w:r>
        <w:rPr>
          <w:b/>
          <w:noProof/>
          <w:u w:val="single"/>
        </w:rPr>
        <w:t>Abolished (or transferred) committee(s)</w:t>
      </w:r>
      <w:r>
        <w:rPr>
          <w:b/>
          <w:noProof/>
        </w:rPr>
        <w:t>:</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36"/>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36"/>
        </w:numPr>
        <w:spacing w:before="0" w:after="0"/>
        <w:rPr>
          <w:noProof/>
        </w:rPr>
      </w:pPr>
      <w:r>
        <w:rPr>
          <w:noProof/>
        </w:rPr>
        <w:t>none</w:t>
      </w:r>
    </w:p>
    <w:p>
      <w:pPr>
        <w:spacing w:before="0" w:after="0"/>
        <w:jc w:val="left"/>
        <w:rPr>
          <w:b/>
          <w:smallCaps/>
          <w:noProof/>
        </w:rPr>
      </w:pPr>
      <w:bookmarkStart w:id="47" w:name="_Toc310414148"/>
    </w:p>
    <w:p>
      <w:pPr>
        <w:pStyle w:val="ManualHeading1"/>
        <w:rPr>
          <w:noProof/>
        </w:rPr>
      </w:pPr>
      <w:bookmarkStart w:id="48" w:name="_Toc61958554"/>
      <w:bookmarkStart w:id="49" w:name="_Toc62746244"/>
      <w:r>
        <w:rPr>
          <w:noProof/>
        </w:rPr>
        <w:t>Maritime Affairs and Fisheries (MARE)</w:t>
      </w:r>
      <w:bookmarkEnd w:id="47"/>
      <w:bookmarkEnd w:id="48"/>
      <w:bookmarkEnd w:id="49"/>
    </w:p>
    <w:tbl>
      <w:tblPr>
        <w:tblpPr w:leftFromText="180" w:rightFromText="180" w:vertAnchor="text" w:tblpY="1"/>
        <w:tblOverlap w:val="never"/>
        <w:tblW w:w="5000" w:type="pct"/>
        <w:tblLook w:val="04A0" w:firstRow="1" w:lastRow="0" w:firstColumn="1" w:lastColumn="0" w:noHBand="0" w:noVBand="1"/>
      </w:tblPr>
      <w:tblGrid>
        <w:gridCol w:w="948"/>
        <w:gridCol w:w="3984"/>
        <w:gridCol w:w="2694"/>
        <w:gridCol w:w="1355"/>
        <w:gridCol w:w="539"/>
        <w:gridCol w:w="539"/>
        <w:gridCol w:w="539"/>
        <w:gridCol w:w="539"/>
        <w:gridCol w:w="539"/>
        <w:gridCol w:w="539"/>
        <w:gridCol w:w="539"/>
        <w:gridCol w:w="539"/>
        <w:gridCol w:w="539"/>
        <w:gridCol w:w="539"/>
        <w:gridCol w:w="524"/>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3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0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356"/>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C16100</w:t>
            </w:r>
          </w:p>
        </w:tc>
        <w:tc>
          <w:tcPr>
            <w:tcW w:w="133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for Fisheries and Aquaculture </w:t>
            </w:r>
          </w:p>
        </w:tc>
        <w:tc>
          <w:tcPr>
            <w:tcW w:w="90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2371/2002 </w:t>
            </w:r>
            <w:r>
              <w:rPr>
                <w:rFonts w:ascii="Arial" w:hAnsi="Arial" w:cs="Arial"/>
                <w:noProof/>
                <w:color w:val="000000"/>
                <w:sz w:val="18"/>
                <w:szCs w:val="18"/>
                <w:lang w:eastAsia="en-GB"/>
              </w:rPr>
              <w:br/>
              <w:t xml:space="preserve">Council Regulation (EC) No 1100/2007 </w:t>
            </w:r>
            <w:r>
              <w:rPr>
                <w:rFonts w:ascii="Arial" w:hAnsi="Arial" w:cs="Arial"/>
                <w:noProof/>
                <w:color w:val="000000"/>
                <w:sz w:val="18"/>
                <w:szCs w:val="18"/>
                <w:lang w:eastAsia="en-GB"/>
              </w:rPr>
              <w:br/>
              <w:t xml:space="preserve">Regulation (EU) No 1236/2010 </w:t>
            </w:r>
            <w:r>
              <w:rPr>
                <w:rFonts w:ascii="Arial" w:hAnsi="Arial" w:cs="Arial"/>
                <w:noProof/>
                <w:color w:val="000000"/>
                <w:sz w:val="18"/>
                <w:szCs w:val="18"/>
                <w:lang w:eastAsia="en-GB"/>
              </w:rPr>
              <w:br/>
              <w:t xml:space="preserve">Council Regulation (EC) No 1224/2009 </w:t>
            </w:r>
            <w:r>
              <w:rPr>
                <w:rFonts w:ascii="Arial" w:hAnsi="Arial" w:cs="Arial"/>
                <w:noProof/>
                <w:color w:val="000000"/>
                <w:sz w:val="18"/>
                <w:szCs w:val="18"/>
                <w:lang w:eastAsia="en-GB"/>
              </w:rPr>
              <w:br/>
              <w:t xml:space="preserve">Council Regulation (EU) No 57/2011 </w:t>
            </w:r>
            <w:r>
              <w:rPr>
                <w:rFonts w:ascii="Arial" w:hAnsi="Arial" w:cs="Arial"/>
                <w:noProof/>
                <w:color w:val="000000"/>
                <w:sz w:val="18"/>
                <w:szCs w:val="18"/>
                <w:lang w:eastAsia="en-GB"/>
              </w:rPr>
              <w:br/>
              <w:t xml:space="preserve">Council Regulation (EC) No 1005/2008 </w:t>
            </w:r>
            <w:r>
              <w:rPr>
                <w:rFonts w:ascii="Arial" w:hAnsi="Arial" w:cs="Arial"/>
                <w:noProof/>
                <w:color w:val="000000"/>
                <w:sz w:val="18"/>
                <w:szCs w:val="18"/>
                <w:lang w:eastAsia="en-GB"/>
              </w:rPr>
              <w:br/>
              <w:t xml:space="preserve">Council Regulation (EU) No 43/2012 </w:t>
            </w:r>
            <w:r>
              <w:rPr>
                <w:rFonts w:ascii="Arial" w:hAnsi="Arial" w:cs="Arial"/>
                <w:noProof/>
                <w:color w:val="000000"/>
                <w:sz w:val="18"/>
                <w:szCs w:val="18"/>
                <w:lang w:eastAsia="en-GB"/>
              </w:rPr>
              <w:br/>
              <w:t xml:space="preserve">Council Regulation (EC) No 1967/2006 </w:t>
            </w:r>
            <w:r>
              <w:rPr>
                <w:rFonts w:ascii="Arial" w:hAnsi="Arial" w:cs="Arial"/>
                <w:noProof/>
                <w:color w:val="000000"/>
                <w:sz w:val="18"/>
                <w:szCs w:val="18"/>
                <w:lang w:eastAsia="en-GB"/>
              </w:rPr>
              <w:br/>
              <w:t xml:space="preserve">Council Regulation (EC) No 1098/2007 </w:t>
            </w:r>
            <w:r>
              <w:rPr>
                <w:rFonts w:ascii="Arial" w:hAnsi="Arial" w:cs="Arial"/>
                <w:noProof/>
                <w:color w:val="000000"/>
                <w:sz w:val="18"/>
                <w:szCs w:val="18"/>
                <w:lang w:eastAsia="en-GB"/>
              </w:rPr>
              <w:br/>
              <w:t xml:space="preserve">Council Regulation (EC) No 861/2006 </w:t>
            </w:r>
            <w:r>
              <w:rPr>
                <w:rFonts w:ascii="Arial" w:hAnsi="Arial" w:cs="Arial"/>
                <w:noProof/>
                <w:color w:val="000000"/>
                <w:sz w:val="18"/>
                <w:szCs w:val="18"/>
                <w:lang w:eastAsia="en-GB"/>
              </w:rPr>
              <w:br/>
              <w:t xml:space="preserve">Council Regulation (EC) No 847/96 </w:t>
            </w:r>
            <w:r>
              <w:rPr>
                <w:rFonts w:ascii="Arial" w:hAnsi="Arial" w:cs="Arial"/>
                <w:noProof/>
                <w:color w:val="000000"/>
                <w:sz w:val="18"/>
                <w:szCs w:val="18"/>
                <w:lang w:eastAsia="en-GB"/>
              </w:rPr>
              <w:br/>
              <w:t xml:space="preserve">Council Regulation (EU) No 44/2012 </w:t>
            </w:r>
            <w:r>
              <w:rPr>
                <w:rFonts w:ascii="Arial" w:hAnsi="Arial" w:cs="Arial"/>
                <w:noProof/>
                <w:color w:val="000000"/>
                <w:sz w:val="18"/>
                <w:szCs w:val="18"/>
                <w:lang w:eastAsia="en-GB"/>
              </w:rPr>
              <w:br/>
              <w:t xml:space="preserve">Council Regulation (EU) No 39/2013 </w:t>
            </w:r>
            <w:r>
              <w:rPr>
                <w:rFonts w:ascii="Arial" w:hAnsi="Arial" w:cs="Arial"/>
                <w:noProof/>
                <w:color w:val="000000"/>
                <w:sz w:val="18"/>
                <w:szCs w:val="18"/>
                <w:lang w:eastAsia="en-GB"/>
              </w:rPr>
              <w:br/>
              <w:t xml:space="preserve">Regulation (EU) No 1026/2012 </w:t>
            </w:r>
            <w:r>
              <w:rPr>
                <w:rFonts w:ascii="Arial" w:hAnsi="Arial" w:cs="Arial"/>
                <w:noProof/>
                <w:color w:val="000000"/>
                <w:sz w:val="18"/>
                <w:szCs w:val="18"/>
                <w:lang w:eastAsia="en-GB"/>
              </w:rPr>
              <w:br/>
              <w:t xml:space="preserve">Council Regulation (EC) No 199/2008 </w:t>
            </w:r>
            <w:r>
              <w:rPr>
                <w:rFonts w:ascii="Arial" w:hAnsi="Arial" w:cs="Arial"/>
                <w:noProof/>
                <w:color w:val="000000"/>
                <w:sz w:val="18"/>
                <w:szCs w:val="18"/>
                <w:lang w:eastAsia="en-GB"/>
              </w:rPr>
              <w:br/>
              <w:t xml:space="preserve">Regulation (EU) No 1380/2013 </w:t>
            </w:r>
            <w:r>
              <w:rPr>
                <w:rFonts w:ascii="Arial" w:hAnsi="Arial" w:cs="Arial"/>
                <w:noProof/>
                <w:color w:val="000000"/>
                <w:sz w:val="18"/>
                <w:szCs w:val="18"/>
                <w:lang w:eastAsia="en-GB"/>
              </w:rPr>
              <w:br/>
              <w:t xml:space="preserve">Council Regulation (EC) No 1415/2004 </w:t>
            </w:r>
            <w:r>
              <w:rPr>
                <w:rFonts w:ascii="Arial" w:hAnsi="Arial" w:cs="Arial"/>
                <w:noProof/>
                <w:color w:val="000000"/>
                <w:sz w:val="18"/>
                <w:szCs w:val="18"/>
                <w:lang w:eastAsia="en-GB"/>
              </w:rPr>
              <w:br/>
              <w:t xml:space="preserve">Council Regulation (EU) 2015/104 </w:t>
            </w:r>
            <w:r>
              <w:rPr>
                <w:rFonts w:ascii="Arial" w:hAnsi="Arial" w:cs="Arial"/>
                <w:noProof/>
                <w:color w:val="000000"/>
                <w:sz w:val="18"/>
                <w:szCs w:val="18"/>
                <w:lang w:eastAsia="en-GB"/>
              </w:rPr>
              <w:br/>
              <w:t xml:space="preserve">Regulation (EU) No 1379/2013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C30700</w:t>
            </w:r>
          </w:p>
        </w:tc>
        <w:tc>
          <w:tcPr>
            <w:tcW w:w="133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European Maritime and Fisheries Fund (EMFF)</w:t>
            </w:r>
          </w:p>
        </w:tc>
        <w:tc>
          <w:tcPr>
            <w:tcW w:w="90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1198/2006 </w:t>
            </w:r>
            <w:r>
              <w:rPr>
                <w:rFonts w:ascii="Arial" w:hAnsi="Arial" w:cs="Arial"/>
                <w:noProof/>
                <w:color w:val="000000"/>
                <w:sz w:val="18"/>
                <w:szCs w:val="18"/>
                <w:lang w:eastAsia="en-GB"/>
              </w:rPr>
              <w:br/>
              <w:t xml:space="preserve">Regulation (EU) No 508/2014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C40400</w:t>
            </w:r>
          </w:p>
        </w:tc>
        <w:tc>
          <w:tcPr>
            <w:tcW w:w="133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Integrated Maritime Policy</w:t>
            </w:r>
          </w:p>
        </w:tc>
        <w:tc>
          <w:tcPr>
            <w:tcW w:w="90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1255/2011 </w:t>
            </w:r>
          </w:p>
        </w:tc>
        <w:tc>
          <w:tcPr>
            <w:tcW w:w="45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337"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904"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55"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9</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10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6</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0" w:after="0"/>
        <w:rPr>
          <w:b/>
          <w:noProof/>
        </w:rPr>
      </w:pPr>
      <w:bookmarkStart w:id="50" w:name="_Toc310414142"/>
      <w:r>
        <w:rPr>
          <w:b/>
          <w:noProof/>
          <w:u w:val="single"/>
        </w:rPr>
        <w:br w:type="textWrapping" w:clear="all"/>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bookmarkEnd w:id="50"/>
    <w:p>
      <w:pPr>
        <w:pStyle w:val="ListDash"/>
        <w:rPr>
          <w:noProof/>
        </w:rPr>
      </w:pPr>
    </w:p>
    <w:p>
      <w:pPr>
        <w:pStyle w:val="ManualHeading1"/>
        <w:rPr>
          <w:noProof/>
        </w:rPr>
      </w:pPr>
      <w:bookmarkStart w:id="51" w:name="_Toc310414149"/>
      <w:bookmarkStart w:id="52" w:name="_Toc61958555"/>
      <w:bookmarkStart w:id="53" w:name="_Toc62746245"/>
      <w:r>
        <w:rPr>
          <w:noProof/>
        </w:rPr>
        <w:t>Mobility and Transport (MOVE)</w:t>
      </w:r>
      <w:bookmarkEnd w:id="51"/>
      <w:bookmarkEnd w:id="52"/>
      <w:bookmarkEnd w:id="53"/>
    </w:p>
    <w:tbl>
      <w:tblPr>
        <w:tblW w:w="5000" w:type="pct"/>
        <w:tblLayout w:type="fixed"/>
        <w:tblLook w:val="04A0" w:firstRow="1" w:lastRow="0" w:firstColumn="1" w:lastColumn="0" w:noHBand="0" w:noVBand="1"/>
      </w:tblPr>
      <w:tblGrid>
        <w:gridCol w:w="950"/>
        <w:gridCol w:w="4177"/>
        <w:gridCol w:w="2687"/>
        <w:gridCol w:w="1320"/>
        <w:gridCol w:w="524"/>
        <w:gridCol w:w="524"/>
        <w:gridCol w:w="524"/>
        <w:gridCol w:w="524"/>
        <w:gridCol w:w="524"/>
        <w:gridCol w:w="524"/>
        <w:gridCol w:w="524"/>
        <w:gridCol w:w="524"/>
        <w:gridCol w:w="524"/>
        <w:gridCol w:w="524"/>
        <w:gridCol w:w="521"/>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tcFitText/>
            <w:vAlign w:val="center"/>
          </w:tcPr>
          <w:p>
            <w:pPr>
              <w:spacing w:before="0" w:after="0"/>
              <w:jc w:val="left"/>
              <w:rPr>
                <w:rFonts w:ascii="Gulim" w:eastAsia="Gulim" w:hAnsi="Arial" w:cs="Arial"/>
                <w:b/>
                <w:bCs/>
                <w:noProof/>
                <w:color w:val="FFFFFF"/>
                <w:sz w:val="16"/>
                <w:szCs w:val="16"/>
                <w:lang w:eastAsia="en-GB"/>
              </w:rPr>
            </w:pPr>
            <w:r>
              <w:rPr>
                <w:rFonts w:ascii="Gulim" w:eastAsia="Gulim" w:hAnsi="Arial" w:cs="Arial" w:hint="eastAsia"/>
                <w:b/>
                <w:bCs/>
                <w:noProof/>
                <w:color w:val="FFFFFF"/>
                <w:spacing w:val="107"/>
                <w:sz w:val="16"/>
                <w:szCs w:val="16"/>
                <w:lang w:eastAsia="en-GB"/>
              </w:rPr>
              <w:t>Cod</w:t>
            </w:r>
            <w:r>
              <w:rPr>
                <w:rFonts w:ascii="Gulim" w:eastAsia="Gulim" w:hAnsi="Arial" w:cs="Arial" w:hint="eastAsia"/>
                <w:b/>
                <w:bCs/>
                <w:noProof/>
                <w:color w:val="FFFFFF"/>
                <w:spacing w:val="1"/>
                <w:sz w:val="16"/>
                <w:szCs w:val="16"/>
                <w:lang w:eastAsia="en-GB"/>
              </w:rPr>
              <w:t>e</w:t>
            </w:r>
          </w:p>
        </w:tc>
        <w:tc>
          <w:tcPr>
            <w:tcW w:w="140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0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4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6"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935"/>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C0690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application of the legislation on access for Community air carriers to intra-Community air routes</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1008/2008 </w:t>
            </w:r>
            <w:r>
              <w:rPr>
                <w:rFonts w:ascii="Arial" w:hAnsi="Arial" w:cs="Arial"/>
                <w:noProof/>
                <w:color w:val="000000"/>
                <w:sz w:val="18"/>
                <w:szCs w:val="18"/>
                <w:lang w:eastAsia="en-GB"/>
              </w:rPr>
              <w:br/>
              <w:t xml:space="preserve">Regulation (EC) No 847/2004 </w:t>
            </w:r>
            <w:r>
              <w:rPr>
                <w:rFonts w:ascii="Arial" w:hAnsi="Arial" w:cs="Arial"/>
                <w:noProof/>
                <w:color w:val="000000"/>
                <w:sz w:val="18"/>
                <w:szCs w:val="18"/>
                <w:lang w:eastAsia="en-GB"/>
              </w:rPr>
              <w:br/>
              <w:t xml:space="preserve">Regulation (EC) No 785/2004 </w:t>
            </w:r>
            <w:r>
              <w:rPr>
                <w:rFonts w:ascii="Arial" w:hAnsi="Arial" w:cs="Arial"/>
                <w:noProof/>
                <w:color w:val="000000"/>
                <w:sz w:val="18"/>
                <w:szCs w:val="18"/>
                <w:lang w:eastAsia="en-GB"/>
              </w:rPr>
              <w:br/>
              <w:t xml:space="preserve">Regulation (EC) No 868/2004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r>
              <w:rPr>
                <w:rFonts w:ascii="Arial" w:hAnsi="Arial" w:cs="Arial"/>
                <w:noProof/>
                <w:color w:val="000000"/>
                <w:sz w:val="18"/>
                <w:szCs w:val="18"/>
                <w:lang w:eastAsia="en-GB"/>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07"/>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C0700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measures taken in the event of a crisis in the market in the carriage of goods by road and for laying down the conditions under which non-resident carriers may operate national road haulage services within a Member State (cabotage)</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3916/90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719"/>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C0720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unfair pricing practices in maritime transport</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4057/86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C0740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interoperability of electronic road toll systems</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2004/52/EC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32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C0780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adaptation to technical progress and the possible adoption of a harmonised risk analysis method concerning the minimum safety requirements for tunnels in the European road network</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Directive 2004/54/EC</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631"/>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C0800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establishment of conditions for the interoperability of the trans-European high-speed rail system</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2004/49/CE </w:t>
            </w:r>
            <w:r>
              <w:rPr>
                <w:rFonts w:ascii="Arial" w:hAnsi="Arial" w:cs="Arial"/>
                <w:noProof/>
                <w:color w:val="000000"/>
                <w:sz w:val="18"/>
                <w:szCs w:val="18"/>
                <w:lang w:val="fr-BE" w:eastAsia="en-GB"/>
              </w:rPr>
              <w:br/>
              <w:t xml:space="preserve">Directive 2008/57/CE </w:t>
            </w:r>
            <w:r>
              <w:rPr>
                <w:rFonts w:ascii="Arial" w:hAnsi="Arial" w:cs="Arial"/>
                <w:noProof/>
                <w:color w:val="000000"/>
                <w:sz w:val="18"/>
                <w:szCs w:val="18"/>
                <w:lang w:val="fr-BE" w:eastAsia="en-GB"/>
              </w:rPr>
              <w:br/>
              <w:t xml:space="preserve">Directive 2007/59/CE </w:t>
            </w:r>
            <w:r>
              <w:rPr>
                <w:rFonts w:ascii="Arial" w:hAnsi="Arial" w:cs="Arial"/>
                <w:noProof/>
                <w:color w:val="000000"/>
                <w:sz w:val="18"/>
                <w:szCs w:val="18"/>
                <w:lang w:val="fr-BE" w:eastAsia="en-GB"/>
              </w:rPr>
              <w:br/>
              <w:t xml:space="preserve">Directive (EU) 2016/798 </w:t>
            </w:r>
            <w:r>
              <w:rPr>
                <w:rFonts w:ascii="Arial" w:hAnsi="Arial" w:cs="Arial"/>
                <w:noProof/>
                <w:color w:val="000000"/>
                <w:sz w:val="18"/>
                <w:szCs w:val="18"/>
                <w:lang w:val="fr-BE" w:eastAsia="en-GB"/>
              </w:rPr>
              <w:br/>
              <w:t xml:space="preserve">Directive (EU) 2016/797 </w:t>
            </w:r>
            <w:r>
              <w:rPr>
                <w:rFonts w:ascii="Arial" w:hAnsi="Arial" w:cs="Arial"/>
                <w:noProof/>
                <w:color w:val="000000"/>
                <w:sz w:val="18"/>
                <w:szCs w:val="18"/>
                <w:lang w:val="fr-BE" w:eastAsia="en-GB"/>
              </w:rPr>
              <w:br/>
              <w:t>Regulation (EU) 2016/796</w:t>
            </w:r>
            <w:r>
              <w:rPr>
                <w:rFonts w:ascii="Arial" w:hAnsi="Arial" w:cs="Arial"/>
                <w:noProof/>
                <w:color w:val="000000"/>
                <w:sz w:val="18"/>
                <w:szCs w:val="18"/>
                <w:lang w:val="fr-BE" w:eastAsia="en-GB"/>
              </w:rPr>
              <w:br/>
              <w:t xml:space="preserve">Directive (EU) 2012/34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132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C0840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Inland Waterway Transport Committee</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91/672/EEC </w:t>
            </w:r>
            <w:r>
              <w:rPr>
                <w:rFonts w:ascii="Arial" w:hAnsi="Arial" w:cs="Arial"/>
                <w:noProof/>
                <w:color w:val="000000"/>
                <w:sz w:val="18"/>
                <w:szCs w:val="18"/>
                <w:lang w:eastAsia="en-GB"/>
              </w:rPr>
              <w:br/>
              <w:t xml:space="preserve">Council Directive 96/50/EC </w:t>
            </w:r>
            <w:r>
              <w:rPr>
                <w:rFonts w:ascii="Arial" w:hAnsi="Arial" w:cs="Arial"/>
                <w:noProof/>
                <w:color w:val="000000"/>
                <w:sz w:val="18"/>
                <w:szCs w:val="18"/>
                <w:lang w:eastAsia="en-GB"/>
              </w:rPr>
              <w:br/>
              <w:t xml:space="preserve">Council Directive 96/75/EC </w:t>
            </w:r>
            <w:r>
              <w:rPr>
                <w:rFonts w:ascii="Arial" w:hAnsi="Arial" w:cs="Arial"/>
                <w:noProof/>
                <w:color w:val="000000"/>
                <w:sz w:val="18"/>
                <w:szCs w:val="18"/>
                <w:lang w:eastAsia="en-GB"/>
              </w:rPr>
              <w:br/>
              <w:t xml:space="preserve">Directive 2005/44/EC </w:t>
            </w:r>
            <w:r>
              <w:rPr>
                <w:rFonts w:ascii="Arial" w:hAnsi="Arial" w:cs="Arial"/>
                <w:noProof/>
                <w:color w:val="000000"/>
                <w:sz w:val="18"/>
                <w:szCs w:val="18"/>
                <w:lang w:eastAsia="en-GB"/>
              </w:rPr>
              <w:br/>
              <w:t xml:space="preserve">2006/87/EC Directive </w:t>
            </w:r>
            <w:r>
              <w:rPr>
                <w:rFonts w:ascii="Arial" w:hAnsi="Arial" w:cs="Arial"/>
                <w:noProof/>
                <w:color w:val="000000"/>
                <w:sz w:val="18"/>
                <w:szCs w:val="18"/>
                <w:lang w:eastAsia="en-GB"/>
              </w:rPr>
              <w:br/>
              <w:t xml:space="preserve">Directive (EU) 2016/1629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C0860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application of the legislation on access to the groundhandling market at Community airports</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96/67/EC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83"/>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C0870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implementation of legislation on improving ship and port installation security</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725/2004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95"/>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C0880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application of the legislation on harmonisation of technical requirements and administrative procedures in the field of civil aviation</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3922/91 </w:t>
            </w:r>
            <w:r>
              <w:rPr>
                <w:rFonts w:ascii="Arial" w:hAnsi="Arial" w:cs="Arial"/>
                <w:noProof/>
                <w:color w:val="000000"/>
                <w:sz w:val="18"/>
                <w:szCs w:val="18"/>
                <w:lang w:eastAsia="en-GB"/>
              </w:rPr>
              <w:br/>
              <w:t xml:space="preserve">Regulation (EC) No 2111/2005 </w:t>
            </w:r>
            <w:r>
              <w:rPr>
                <w:rFonts w:ascii="Arial" w:hAnsi="Arial" w:cs="Arial"/>
                <w:noProof/>
                <w:color w:val="000000"/>
                <w:sz w:val="18"/>
                <w:szCs w:val="18"/>
                <w:lang w:eastAsia="en-GB"/>
              </w:rPr>
              <w:br/>
              <w:t xml:space="preserve">Regulation (EU) No 376/2014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587"/>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C0910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application of legislation and common rules on the security of civil aviation</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300/2008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C0920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driving licences</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2006/126/EC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000"/>
        </w:trPr>
        <w:tc>
          <w:tcPr>
            <w:tcW w:w="318" w:type="pct"/>
            <w:vMerge w:val="restar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C0940</w:t>
            </w:r>
            <w:r>
              <w:rPr>
                <w:rFonts w:ascii="Arial" w:hAnsi="Arial" w:cs="Arial"/>
                <w:noProof/>
                <w:color w:val="000000"/>
                <w:spacing w:val="4"/>
                <w:sz w:val="18"/>
                <w:szCs w:val="18"/>
                <w:lang w:eastAsia="en-GB"/>
              </w:rPr>
              <w:t>0</w:t>
            </w:r>
          </w:p>
        </w:tc>
        <w:tc>
          <w:tcPr>
            <w:tcW w:w="1402"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Safe Seas and prevention of pollution from ships (COSS)</w:t>
            </w:r>
          </w:p>
        </w:tc>
        <w:tc>
          <w:tcPr>
            <w:tcW w:w="902"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789/2004 </w:t>
            </w:r>
            <w:r>
              <w:rPr>
                <w:rFonts w:ascii="Arial" w:hAnsi="Arial" w:cs="Arial"/>
                <w:noProof/>
                <w:color w:val="000000"/>
                <w:sz w:val="18"/>
                <w:szCs w:val="18"/>
                <w:lang w:eastAsia="en-GB"/>
              </w:rPr>
              <w:br/>
              <w:t xml:space="preserve">Directive 2003/25/EC </w:t>
            </w:r>
            <w:r>
              <w:rPr>
                <w:rFonts w:ascii="Arial" w:hAnsi="Arial" w:cs="Arial"/>
                <w:noProof/>
                <w:color w:val="000000"/>
                <w:sz w:val="18"/>
                <w:szCs w:val="18"/>
                <w:lang w:eastAsia="en-GB"/>
              </w:rPr>
              <w:br/>
              <w:t xml:space="preserve">Regulation (EC) No 782/2003 </w:t>
            </w:r>
            <w:r>
              <w:rPr>
                <w:rFonts w:ascii="Arial" w:hAnsi="Arial" w:cs="Arial"/>
                <w:noProof/>
                <w:color w:val="000000"/>
                <w:sz w:val="18"/>
                <w:szCs w:val="18"/>
                <w:lang w:eastAsia="en-GB"/>
              </w:rPr>
              <w:br/>
              <w:t xml:space="preserve">Directive 2002/59/EC </w:t>
            </w:r>
            <w:r>
              <w:rPr>
                <w:rFonts w:ascii="Arial" w:hAnsi="Arial" w:cs="Arial"/>
                <w:noProof/>
                <w:color w:val="000000"/>
                <w:sz w:val="18"/>
                <w:szCs w:val="18"/>
                <w:lang w:eastAsia="en-GB"/>
              </w:rPr>
              <w:br/>
              <w:t xml:space="preserve">Directive 2005/35/EC </w:t>
            </w:r>
            <w:r>
              <w:rPr>
                <w:rFonts w:ascii="Arial" w:hAnsi="Arial" w:cs="Arial"/>
                <w:noProof/>
                <w:color w:val="000000"/>
                <w:sz w:val="18"/>
                <w:szCs w:val="18"/>
                <w:lang w:eastAsia="en-GB"/>
              </w:rPr>
              <w:br/>
              <w:t xml:space="preserve">Regulation (EC) No 336/2006 </w:t>
            </w:r>
            <w:r>
              <w:rPr>
                <w:rFonts w:ascii="Arial" w:hAnsi="Arial" w:cs="Arial"/>
                <w:noProof/>
                <w:color w:val="000000"/>
                <w:sz w:val="18"/>
                <w:szCs w:val="18"/>
                <w:lang w:eastAsia="en-GB"/>
              </w:rPr>
              <w:br/>
              <w:t xml:space="preserve">Directive 2001/96/EC </w:t>
            </w:r>
            <w:r>
              <w:rPr>
                <w:rFonts w:ascii="Arial" w:hAnsi="Arial" w:cs="Arial"/>
                <w:noProof/>
                <w:color w:val="000000"/>
                <w:sz w:val="18"/>
                <w:szCs w:val="18"/>
                <w:lang w:eastAsia="en-GB"/>
              </w:rPr>
              <w:br/>
              <w:t xml:space="preserve">Council Directive 97/70/EC </w:t>
            </w:r>
            <w:r>
              <w:rPr>
                <w:rFonts w:ascii="Arial" w:hAnsi="Arial" w:cs="Arial"/>
                <w:noProof/>
                <w:color w:val="000000"/>
                <w:sz w:val="18"/>
                <w:szCs w:val="18"/>
                <w:lang w:eastAsia="en-GB"/>
              </w:rPr>
              <w:br/>
              <w:t xml:space="preserve">Council Directive 98/41/EC </w:t>
            </w:r>
            <w:r>
              <w:rPr>
                <w:rFonts w:ascii="Arial" w:hAnsi="Arial" w:cs="Arial"/>
                <w:noProof/>
                <w:color w:val="000000"/>
                <w:sz w:val="18"/>
                <w:szCs w:val="18"/>
                <w:lang w:eastAsia="en-GB"/>
              </w:rPr>
              <w:br/>
              <w:t xml:space="preserve">Directive 2000/59/EC </w:t>
            </w:r>
            <w:r>
              <w:rPr>
                <w:rFonts w:ascii="Arial" w:hAnsi="Arial" w:cs="Arial"/>
                <w:noProof/>
                <w:color w:val="000000"/>
                <w:sz w:val="18"/>
                <w:szCs w:val="18"/>
                <w:lang w:eastAsia="en-GB"/>
              </w:rPr>
              <w:br/>
              <w:t xml:space="preserve">Directive 2009/16/EC </w:t>
            </w:r>
            <w:r>
              <w:rPr>
                <w:rFonts w:ascii="Arial" w:hAnsi="Arial" w:cs="Arial"/>
                <w:noProof/>
                <w:color w:val="000000"/>
                <w:sz w:val="18"/>
                <w:szCs w:val="18"/>
                <w:lang w:eastAsia="en-GB"/>
              </w:rPr>
              <w:br/>
              <w:t xml:space="preserve">Directive 2009/17/EC </w:t>
            </w:r>
            <w:r>
              <w:rPr>
                <w:rFonts w:ascii="Arial" w:hAnsi="Arial" w:cs="Arial"/>
                <w:noProof/>
                <w:color w:val="000000"/>
                <w:sz w:val="18"/>
                <w:szCs w:val="18"/>
                <w:lang w:eastAsia="en-GB"/>
              </w:rPr>
              <w:br/>
              <w:t xml:space="preserve">Directive 2009/15/EC </w:t>
            </w:r>
            <w:r>
              <w:rPr>
                <w:rFonts w:ascii="Arial" w:hAnsi="Arial" w:cs="Arial"/>
                <w:noProof/>
                <w:color w:val="000000"/>
                <w:sz w:val="18"/>
                <w:szCs w:val="18"/>
                <w:lang w:eastAsia="en-GB"/>
              </w:rPr>
              <w:br/>
              <w:t xml:space="preserve">Directive 2009/18/EC </w:t>
            </w:r>
            <w:r>
              <w:rPr>
                <w:rFonts w:ascii="Arial" w:hAnsi="Arial" w:cs="Arial"/>
                <w:noProof/>
                <w:color w:val="000000"/>
                <w:sz w:val="18"/>
                <w:szCs w:val="18"/>
                <w:lang w:eastAsia="en-GB"/>
              </w:rPr>
              <w:br/>
              <w:t xml:space="preserve">Directive 2009/21/EC </w:t>
            </w:r>
            <w:r>
              <w:rPr>
                <w:rFonts w:ascii="Arial" w:hAnsi="Arial" w:cs="Arial"/>
                <w:noProof/>
                <w:color w:val="000000"/>
                <w:sz w:val="18"/>
                <w:szCs w:val="18"/>
                <w:lang w:eastAsia="en-GB"/>
              </w:rPr>
              <w:br/>
              <w:t xml:space="preserve">Regulation (EC) No 392/2009 </w:t>
            </w:r>
            <w:r>
              <w:rPr>
                <w:rFonts w:ascii="Arial" w:hAnsi="Arial" w:cs="Arial"/>
                <w:noProof/>
                <w:color w:val="000000"/>
                <w:sz w:val="18"/>
                <w:szCs w:val="18"/>
                <w:lang w:eastAsia="en-GB"/>
              </w:rPr>
              <w:br/>
              <w:t xml:space="preserve">Regulation (EC) No 391/2009 </w:t>
            </w:r>
            <w:r>
              <w:rPr>
                <w:rFonts w:ascii="Arial" w:hAnsi="Arial" w:cs="Arial"/>
                <w:noProof/>
                <w:color w:val="000000"/>
                <w:sz w:val="18"/>
                <w:szCs w:val="18"/>
                <w:lang w:eastAsia="en-GB"/>
              </w:rPr>
              <w:br/>
              <w:t xml:space="preserve">Directive 2008/106/EC </w:t>
            </w:r>
            <w:r>
              <w:rPr>
                <w:rFonts w:ascii="Arial" w:hAnsi="Arial" w:cs="Arial"/>
                <w:noProof/>
                <w:color w:val="000000"/>
                <w:sz w:val="18"/>
                <w:szCs w:val="18"/>
                <w:lang w:eastAsia="en-GB"/>
              </w:rPr>
              <w:br/>
              <w:t xml:space="preserve">Regulation (EC) No 2099/2002 </w:t>
            </w:r>
            <w:r>
              <w:rPr>
                <w:rFonts w:ascii="Arial" w:hAnsi="Arial" w:cs="Arial"/>
                <w:noProof/>
                <w:color w:val="000000"/>
                <w:sz w:val="18"/>
                <w:szCs w:val="18"/>
                <w:lang w:eastAsia="en-GB"/>
              </w:rPr>
              <w:br/>
              <w:t xml:space="preserve">Directive 2009/45/EC </w:t>
            </w:r>
            <w:r>
              <w:rPr>
                <w:rFonts w:ascii="Arial" w:hAnsi="Arial" w:cs="Arial"/>
                <w:noProof/>
                <w:color w:val="000000"/>
                <w:sz w:val="18"/>
                <w:szCs w:val="18"/>
                <w:lang w:eastAsia="en-GB"/>
              </w:rPr>
              <w:br/>
              <w:t>Directive 2014/90/EU</w:t>
            </w:r>
            <w:r>
              <w:rPr>
                <w:rFonts w:ascii="Arial" w:hAnsi="Arial" w:cs="Arial"/>
                <w:noProof/>
                <w:color w:val="000000"/>
                <w:sz w:val="18"/>
                <w:szCs w:val="18"/>
                <w:lang w:eastAsia="en-GB"/>
              </w:rPr>
              <w:br/>
              <w:t>Directive (EU) 2016/802</w:t>
            </w:r>
          </w:p>
        </w:tc>
        <w:tc>
          <w:tcPr>
            <w:tcW w:w="443"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360"/>
        </w:trPr>
        <w:tc>
          <w:tcPr>
            <w:tcW w:w="318" w:type="pct"/>
            <w:vMerge/>
            <w:tcBorders>
              <w:top w:val="nil"/>
              <w:left w:val="single" w:sz="4" w:space="0" w:color="auto"/>
              <w:bottom w:val="single" w:sz="4" w:space="0" w:color="auto"/>
              <w:right w:val="single" w:sz="4" w:space="0" w:color="auto"/>
            </w:tcBorders>
            <w:tcFitText/>
            <w:vAlign w:val="center"/>
            <w:hideMark/>
          </w:tcPr>
          <w:p>
            <w:pPr>
              <w:spacing w:before="0" w:after="0"/>
              <w:jc w:val="left"/>
              <w:rPr>
                <w:rFonts w:ascii="Arial" w:hAnsi="Arial" w:cs="Arial"/>
                <w:noProof/>
                <w:color w:val="000000"/>
                <w:sz w:val="18"/>
                <w:szCs w:val="18"/>
                <w:lang w:eastAsia="en-GB"/>
              </w:rPr>
            </w:pPr>
          </w:p>
        </w:tc>
        <w:tc>
          <w:tcPr>
            <w:tcW w:w="1402"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443"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r>
      <w:tr>
        <w:trPr>
          <w:trHeight w:val="1151"/>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C0950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Road Transport</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561/2006 </w:t>
            </w:r>
            <w:r>
              <w:rPr>
                <w:rFonts w:ascii="Arial" w:hAnsi="Arial" w:cs="Arial"/>
                <w:noProof/>
                <w:color w:val="000000"/>
                <w:sz w:val="18"/>
                <w:szCs w:val="18"/>
                <w:lang w:eastAsia="en-GB"/>
              </w:rPr>
              <w:br/>
              <w:t xml:space="preserve">Directive 2006/22/EC </w:t>
            </w:r>
            <w:r>
              <w:rPr>
                <w:rFonts w:ascii="Arial" w:hAnsi="Arial" w:cs="Arial"/>
                <w:noProof/>
                <w:color w:val="000000"/>
                <w:sz w:val="18"/>
                <w:szCs w:val="18"/>
                <w:lang w:eastAsia="en-GB"/>
              </w:rPr>
              <w:br/>
              <w:t xml:space="preserve">Regulation (EC) No 1073/2009 </w:t>
            </w:r>
            <w:r>
              <w:rPr>
                <w:rFonts w:ascii="Arial" w:hAnsi="Arial" w:cs="Arial"/>
                <w:noProof/>
                <w:color w:val="000000"/>
                <w:sz w:val="18"/>
                <w:szCs w:val="18"/>
                <w:lang w:eastAsia="en-GB"/>
              </w:rPr>
              <w:br/>
              <w:t xml:space="preserve">Regulation (EC) No 1072/2009 </w:t>
            </w:r>
            <w:r>
              <w:rPr>
                <w:rFonts w:ascii="Arial" w:hAnsi="Arial" w:cs="Arial"/>
                <w:noProof/>
                <w:color w:val="000000"/>
                <w:sz w:val="18"/>
                <w:szCs w:val="18"/>
                <w:lang w:eastAsia="en-GB"/>
              </w:rPr>
              <w:br/>
              <w:t xml:space="preserve">Regulation (EC) No 1071/2009 </w:t>
            </w:r>
            <w:r>
              <w:rPr>
                <w:rFonts w:ascii="Arial" w:hAnsi="Arial" w:cs="Arial"/>
                <w:noProof/>
                <w:color w:val="000000"/>
                <w:sz w:val="18"/>
                <w:szCs w:val="18"/>
                <w:lang w:eastAsia="en-GB"/>
              </w:rPr>
              <w:br/>
              <w:t xml:space="preserve">Regulation (EU) No 165/2014 </w:t>
            </w:r>
            <w:r>
              <w:rPr>
                <w:rFonts w:ascii="Arial" w:hAnsi="Arial" w:cs="Arial"/>
                <w:noProof/>
                <w:color w:val="000000"/>
                <w:sz w:val="18"/>
                <w:szCs w:val="18"/>
                <w:lang w:eastAsia="en-GB"/>
              </w:rPr>
              <w:br/>
              <w:t xml:space="preserve">Directive (EU) 2015/719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r>
              <w:rPr>
                <w:rFonts w:ascii="Arial" w:hAnsi="Arial" w:cs="Arial"/>
                <w:noProof/>
                <w:color w:val="000000"/>
                <w:sz w:val="18"/>
                <w:szCs w:val="18"/>
                <w:lang w:eastAsia="en-GB"/>
              </w:rPr>
              <w:br/>
              <w:t>Examination</w:t>
            </w:r>
            <w:r>
              <w:rPr>
                <w:rFonts w:ascii="Arial" w:hAnsi="Arial" w:cs="Arial"/>
                <w:noProof/>
                <w:color w:val="000000"/>
                <w:sz w:val="18"/>
                <w:szCs w:val="18"/>
                <w:lang w:eastAsia="en-GB"/>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599"/>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C0960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transport of dangerous goods</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2008/68/EC </w:t>
            </w:r>
            <w:r>
              <w:rPr>
                <w:rFonts w:ascii="Arial" w:hAnsi="Arial" w:cs="Arial"/>
                <w:noProof/>
                <w:color w:val="000000"/>
                <w:sz w:val="18"/>
                <w:szCs w:val="18"/>
                <w:lang w:eastAsia="en-GB"/>
              </w:rPr>
              <w:br/>
              <w:t>Council Directive 95/50/EC</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C0980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Community/Switzerland Transport Committee (rail and road)</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2002/309/EC, Euratom: Decision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35"/>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C1000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application of common safety rules in the field of civil aviation</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3922/91 </w:t>
            </w:r>
            <w:r>
              <w:rPr>
                <w:rFonts w:ascii="Arial" w:hAnsi="Arial" w:cs="Arial"/>
                <w:noProof/>
                <w:color w:val="000000"/>
                <w:sz w:val="18"/>
                <w:szCs w:val="18"/>
                <w:lang w:eastAsia="en-GB"/>
              </w:rPr>
              <w:br/>
              <w:t xml:space="preserve">Regulation (EC) No 216/2008 </w:t>
            </w:r>
            <w:r>
              <w:rPr>
                <w:rFonts w:ascii="Arial" w:hAnsi="Arial" w:cs="Arial"/>
                <w:noProof/>
                <w:color w:val="000000"/>
                <w:sz w:val="18"/>
                <w:szCs w:val="18"/>
                <w:lang w:eastAsia="en-GB"/>
              </w:rPr>
              <w:br/>
              <w:t xml:space="preserve">Regulation (EU) No 376/2014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C1020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Marco Polo Committee</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1692/2006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C1030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Single Sky Committee</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219/2007 </w:t>
            </w:r>
            <w:r>
              <w:rPr>
                <w:rFonts w:ascii="Arial" w:hAnsi="Arial" w:cs="Arial"/>
                <w:noProof/>
                <w:color w:val="000000"/>
                <w:sz w:val="18"/>
                <w:szCs w:val="18"/>
                <w:lang w:eastAsia="en-GB"/>
              </w:rPr>
              <w:br/>
              <w:t xml:space="preserve">Regulation (EC) No 549/2004 </w:t>
            </w:r>
            <w:r>
              <w:rPr>
                <w:rFonts w:ascii="Arial" w:hAnsi="Arial" w:cs="Arial"/>
                <w:noProof/>
                <w:color w:val="000000"/>
                <w:sz w:val="18"/>
                <w:szCs w:val="18"/>
                <w:lang w:eastAsia="en-GB"/>
              </w:rPr>
              <w:br/>
              <w:t xml:space="preserve">Regulation (EC) No 552/2004 </w:t>
            </w:r>
            <w:r>
              <w:rPr>
                <w:rFonts w:ascii="Arial" w:hAnsi="Arial" w:cs="Arial"/>
                <w:noProof/>
                <w:color w:val="000000"/>
                <w:sz w:val="18"/>
                <w:szCs w:val="18"/>
                <w:lang w:eastAsia="en-GB"/>
              </w:rPr>
              <w:br/>
              <w:t xml:space="preserve">Regulation (EC) No 551/2004 </w:t>
            </w:r>
            <w:r>
              <w:rPr>
                <w:rFonts w:ascii="Arial" w:hAnsi="Arial" w:cs="Arial"/>
                <w:noProof/>
                <w:color w:val="000000"/>
                <w:sz w:val="18"/>
                <w:szCs w:val="18"/>
                <w:lang w:eastAsia="en-GB"/>
              </w:rPr>
              <w:br/>
              <w:t xml:space="preserve">Regulation (EC) No 550/2004 </w:t>
            </w:r>
            <w:r>
              <w:rPr>
                <w:rFonts w:ascii="Arial" w:hAnsi="Arial" w:cs="Arial"/>
                <w:noProof/>
                <w:color w:val="000000"/>
                <w:sz w:val="18"/>
                <w:szCs w:val="18"/>
                <w:lang w:eastAsia="en-GB"/>
              </w:rPr>
              <w:br/>
              <w:t xml:space="preserve">Regulation (EC) No 216/2008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C1040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Technical Adaptation Committee on Roadworthiness Testing</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 xml:space="preserve">Directive 2009/40/EC </w:t>
            </w:r>
            <w:r>
              <w:rPr>
                <w:rFonts w:ascii="Arial" w:hAnsi="Arial" w:cs="Arial"/>
                <w:noProof/>
                <w:color w:val="000000"/>
                <w:sz w:val="18"/>
                <w:szCs w:val="18"/>
                <w:lang w:val="fr-BE" w:eastAsia="en-GB"/>
              </w:rPr>
              <w:br/>
              <w:t xml:space="preserve">Directive 2000/30/EC </w:t>
            </w:r>
            <w:r>
              <w:rPr>
                <w:rFonts w:ascii="Arial" w:hAnsi="Arial" w:cs="Arial"/>
                <w:noProof/>
                <w:color w:val="000000"/>
                <w:sz w:val="18"/>
                <w:szCs w:val="18"/>
                <w:lang w:val="fr-BE" w:eastAsia="en-GB"/>
              </w:rPr>
              <w:br/>
              <w:t>Directive 2014/47/EU</w:t>
            </w:r>
            <w:r>
              <w:rPr>
                <w:rFonts w:ascii="Arial" w:hAnsi="Arial" w:cs="Arial"/>
                <w:noProof/>
                <w:color w:val="000000"/>
                <w:sz w:val="18"/>
                <w:szCs w:val="18"/>
                <w:lang w:val="fr-BE" w:eastAsia="en-GB"/>
              </w:rPr>
              <w:br/>
              <w:t xml:space="preserve">Directive 2014/45/EC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C1060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Transport infrastructure charging</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1999/62/EC </w:t>
            </w:r>
            <w:r>
              <w:rPr>
                <w:rFonts w:ascii="Arial" w:hAnsi="Arial" w:cs="Arial"/>
                <w:noProof/>
                <w:color w:val="000000"/>
                <w:sz w:val="18"/>
                <w:szCs w:val="18"/>
                <w:lang w:eastAsia="en-GB"/>
              </w:rPr>
              <w:br/>
              <w:t xml:space="preserve">Regulation (EEC) No 1108/70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C3820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compulsory use of safety belts and child-restraint systems in vehicles</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2003/20/EC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C3830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road infrastructure safety management</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2008/96/EC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C3910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application of the common rules for the allocation of slots at Community airports</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95/93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C3940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ITS Committee - (EIC)</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2010/40/EU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C3970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promotion of clean and energy-efficient road transport vehicles</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2009/33/EC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C4150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Single European Rail Area Committee</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Directive 2012/34/EU </w:t>
            </w:r>
            <w:r>
              <w:rPr>
                <w:rFonts w:ascii="Arial" w:hAnsi="Arial" w:cs="Arial"/>
                <w:noProof/>
                <w:color w:val="000000"/>
                <w:sz w:val="18"/>
                <w:szCs w:val="18"/>
                <w:lang w:val="pt-PT" w:eastAsia="en-GB"/>
              </w:rPr>
              <w:br/>
              <w:t>Regulation (EU) No 913/2010</w:t>
            </w:r>
            <w:r>
              <w:rPr>
                <w:rFonts w:ascii="Arial" w:hAnsi="Arial" w:cs="Arial"/>
                <w:noProof/>
                <w:color w:val="000000"/>
                <w:sz w:val="18"/>
                <w:szCs w:val="18"/>
                <w:lang w:val="pt-PT" w:eastAsia="en-GB"/>
              </w:rPr>
              <w:br/>
              <w:t xml:space="preserve">Regulation (EU) No 1371/2007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779"/>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C4180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initial qualification and periodic training of drivers of certain road vehicles for the carriage of goods or passengers</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2003/59/EC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C4370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Connecting Europe Facility Coordination Committee</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1316/2013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C4480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Trans-European Transport Network Committee</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1315/2013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16"/>
                <w:sz w:val="18"/>
                <w:szCs w:val="18"/>
                <w:lang w:eastAsia="en-GB"/>
              </w:rPr>
              <w:t>C4950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alternative fuels infrastructure</w:t>
            </w:r>
          </w:p>
        </w:tc>
        <w:tc>
          <w:tcPr>
            <w:tcW w:w="90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2014/94/EU </w:t>
            </w:r>
          </w:p>
        </w:tc>
        <w:tc>
          <w:tcPr>
            <w:tcW w:w="44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tcFitText/>
            <w:vAlign w:val="center"/>
          </w:tcPr>
          <w:p>
            <w:pPr>
              <w:spacing w:before="0" w:after="0"/>
              <w:jc w:val="left"/>
              <w:rPr>
                <w:rFonts w:ascii="Arial" w:hAnsi="Arial" w:cs="Arial"/>
                <w:noProof/>
                <w:color w:val="000000"/>
                <w:w w:val="89"/>
                <w:sz w:val="18"/>
                <w:szCs w:val="18"/>
                <w:lang w:eastAsia="en-GB"/>
              </w:rPr>
            </w:pPr>
            <w:r>
              <w:rPr>
                <w:rFonts w:ascii="Arial" w:hAnsi="Arial" w:cs="Arial"/>
                <w:noProof/>
                <w:color w:val="000000"/>
                <w:spacing w:val="16"/>
                <w:sz w:val="18"/>
                <w:szCs w:val="18"/>
                <w:lang w:eastAsia="en-GB"/>
              </w:rPr>
              <w:t>C5190</w:t>
            </w:r>
            <w:r>
              <w:rPr>
                <w:rFonts w:ascii="Arial" w:hAnsi="Arial" w:cs="Arial"/>
                <w:noProof/>
                <w:color w:val="000000"/>
                <w:spacing w:val="4"/>
                <w:sz w:val="18"/>
                <w:szCs w:val="18"/>
                <w:lang w:eastAsia="en-GB"/>
              </w:rPr>
              <w:t>0</w:t>
            </w:r>
          </w:p>
        </w:tc>
        <w:tc>
          <w:tcPr>
            <w:tcW w:w="1402"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Digital Transport and Trade Facilitation Committee</w:t>
            </w:r>
          </w:p>
        </w:tc>
        <w:tc>
          <w:tcPr>
            <w:tcW w:w="902"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2019/1239</w:t>
            </w:r>
          </w:p>
        </w:tc>
        <w:tc>
          <w:tcPr>
            <w:tcW w:w="44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6"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tcFitText/>
            <w:vAlign w:val="center"/>
            <w:hideMark/>
          </w:tcPr>
          <w:p>
            <w:pPr>
              <w:spacing w:before="0" w:after="0"/>
              <w:jc w:val="lef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402"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902"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43"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46</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31</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62</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62</w:t>
            </w:r>
          </w:p>
        </w:tc>
        <w:tc>
          <w:tcPr>
            <w:tcW w:w="17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jc w:val="left"/>
        <w:rPr>
          <w:noProof/>
        </w:rPr>
      </w:pPr>
      <w:r>
        <w:rPr>
          <w:noProof/>
        </w:rPr>
        <w:t xml:space="preserve">C051900 Digital transport and trade facilitation committee; </w:t>
      </w:r>
      <w:r>
        <w:rPr>
          <w:noProof/>
        </w:rPr>
        <w:br/>
        <w:t xml:space="preserve">Regulation (EU) 2019/1239 of the European Parliament and of the Council of 20 June 2019 establishing a European Maritime Single Window environment and repealing Directive 2010/65/EU </w:t>
      </w:r>
    </w:p>
    <w:p>
      <w:pPr>
        <w:spacing w:before="0" w:after="0"/>
        <w:rPr>
          <w:b/>
          <w:noProof/>
          <w:u w:val="single"/>
        </w:rPr>
      </w:pP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pStyle w:val="ListDash"/>
        <w:rPr>
          <w:noProof/>
        </w:rPr>
      </w:pPr>
    </w:p>
    <w:p>
      <w:pPr>
        <w:pStyle w:val="ManualHeading1"/>
        <w:rPr>
          <w:noProof/>
        </w:rPr>
      </w:pPr>
      <w:bookmarkStart w:id="54" w:name="_Toc310414136"/>
      <w:bookmarkStart w:id="55" w:name="_Toc61958556"/>
      <w:bookmarkStart w:id="56" w:name="_Toc62746246"/>
      <w:r>
        <w:rPr>
          <w:noProof/>
        </w:rPr>
        <w:t>Neighbourhood and Enlargement Negotiations (NEAR)</w:t>
      </w:r>
      <w:bookmarkEnd w:id="54"/>
      <w:bookmarkEnd w:id="55"/>
      <w:bookmarkEnd w:id="56"/>
    </w:p>
    <w:tbl>
      <w:tblPr>
        <w:tblW w:w="5000" w:type="pct"/>
        <w:tblLook w:val="04A0" w:firstRow="1" w:lastRow="0" w:firstColumn="1" w:lastColumn="0" w:noHBand="0" w:noVBand="1"/>
      </w:tblPr>
      <w:tblGrid>
        <w:gridCol w:w="948"/>
        <w:gridCol w:w="3871"/>
        <w:gridCol w:w="2807"/>
        <w:gridCol w:w="1352"/>
        <w:gridCol w:w="539"/>
        <w:gridCol w:w="539"/>
        <w:gridCol w:w="539"/>
        <w:gridCol w:w="539"/>
        <w:gridCol w:w="539"/>
        <w:gridCol w:w="539"/>
        <w:gridCol w:w="539"/>
        <w:gridCol w:w="539"/>
        <w:gridCol w:w="539"/>
        <w:gridCol w:w="539"/>
        <w:gridCol w:w="527"/>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9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4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C39900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Line Regulation Committee</w:t>
            </w:r>
          </w:p>
        </w:tc>
        <w:tc>
          <w:tcPr>
            <w:tcW w:w="94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866/2004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C45400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IPA II Committee</w:t>
            </w:r>
          </w:p>
        </w:tc>
        <w:tc>
          <w:tcPr>
            <w:tcW w:w="94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(EU)No 231/2014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22</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3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C45900</w:t>
            </w:r>
          </w:p>
        </w:tc>
        <w:tc>
          <w:tcPr>
            <w:tcW w:w="129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ENI Committee</w:t>
            </w:r>
          </w:p>
        </w:tc>
        <w:tc>
          <w:tcPr>
            <w:tcW w:w="942"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Regulation (EU) No 232/2014 </w:t>
            </w:r>
            <w:r>
              <w:rPr>
                <w:rFonts w:ascii="Arial" w:hAnsi="Arial" w:cs="Arial"/>
                <w:noProof/>
                <w:color w:val="000000"/>
                <w:sz w:val="18"/>
                <w:szCs w:val="18"/>
                <w:lang w:val="pt-PT" w:eastAsia="en-GB"/>
              </w:rPr>
              <w:br/>
              <w:t xml:space="preserve">Regulation (EU) No 236/2014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36</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36</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99"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942"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5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9</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8</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58</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58</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pStyle w:val="ListDash"/>
        <w:rPr>
          <w:noProof/>
        </w:rPr>
      </w:pPr>
    </w:p>
    <w:p>
      <w:pPr>
        <w:pStyle w:val="ManualHeading1"/>
        <w:rPr>
          <w:noProof/>
        </w:rPr>
      </w:pPr>
      <w:bookmarkStart w:id="57" w:name="_Toc61958557"/>
      <w:bookmarkStart w:id="58" w:name="_Toc62746247"/>
      <w:r>
        <w:rPr>
          <w:noProof/>
        </w:rPr>
        <w:t>European Anti-Fraud Office (OLAF)</w:t>
      </w:r>
      <w:bookmarkEnd w:id="57"/>
      <w:bookmarkEnd w:id="58"/>
    </w:p>
    <w:tbl>
      <w:tblPr>
        <w:tblW w:w="5000" w:type="pct"/>
        <w:tblLook w:val="04A0" w:firstRow="1" w:lastRow="0" w:firstColumn="1" w:lastColumn="0" w:noHBand="0" w:noVBand="1"/>
      </w:tblPr>
      <w:tblGrid>
        <w:gridCol w:w="948"/>
        <w:gridCol w:w="3984"/>
        <w:gridCol w:w="2694"/>
        <w:gridCol w:w="1352"/>
        <w:gridCol w:w="539"/>
        <w:gridCol w:w="539"/>
        <w:gridCol w:w="539"/>
        <w:gridCol w:w="539"/>
        <w:gridCol w:w="539"/>
        <w:gridCol w:w="539"/>
        <w:gridCol w:w="539"/>
        <w:gridCol w:w="539"/>
        <w:gridCol w:w="539"/>
        <w:gridCol w:w="539"/>
        <w:gridCol w:w="527"/>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3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0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5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C25700</w:t>
            </w:r>
          </w:p>
        </w:tc>
        <w:tc>
          <w:tcPr>
            <w:tcW w:w="133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The Regulation 515/97 Committee</w:t>
            </w:r>
          </w:p>
        </w:tc>
        <w:tc>
          <w:tcPr>
            <w:tcW w:w="90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515/97 </w:t>
            </w:r>
          </w:p>
        </w:tc>
        <w:tc>
          <w:tcPr>
            <w:tcW w:w="45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337"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904"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5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pStyle w:val="ListDash"/>
        <w:rPr>
          <w:noProof/>
        </w:rPr>
      </w:pPr>
    </w:p>
    <w:p>
      <w:pPr>
        <w:pStyle w:val="ManualHeading1"/>
        <w:rPr>
          <w:noProof/>
        </w:rPr>
      </w:pPr>
      <w:bookmarkStart w:id="59" w:name="_Toc310414150"/>
      <w:bookmarkStart w:id="60" w:name="_Toc61958558"/>
      <w:bookmarkStart w:id="61" w:name="_Toc62746248"/>
      <w:r>
        <w:rPr>
          <w:noProof/>
        </w:rPr>
        <w:t>Regional and Urban Policy (REGIO)</w:t>
      </w:r>
      <w:bookmarkEnd w:id="59"/>
      <w:bookmarkEnd w:id="60"/>
      <w:bookmarkEnd w:id="61"/>
    </w:p>
    <w:tbl>
      <w:tblPr>
        <w:tblW w:w="5000" w:type="pct"/>
        <w:tblLook w:val="04A0" w:firstRow="1" w:lastRow="0" w:firstColumn="1" w:lastColumn="0" w:noHBand="0" w:noVBand="1"/>
      </w:tblPr>
      <w:tblGrid>
        <w:gridCol w:w="948"/>
        <w:gridCol w:w="3874"/>
        <w:gridCol w:w="2917"/>
        <w:gridCol w:w="1239"/>
        <w:gridCol w:w="539"/>
        <w:gridCol w:w="539"/>
        <w:gridCol w:w="539"/>
        <w:gridCol w:w="539"/>
        <w:gridCol w:w="539"/>
        <w:gridCol w:w="539"/>
        <w:gridCol w:w="539"/>
        <w:gridCol w:w="539"/>
        <w:gridCol w:w="539"/>
        <w:gridCol w:w="539"/>
        <w:gridCol w:w="527"/>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00"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7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16"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79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C43300</w:t>
            </w:r>
          </w:p>
        </w:tc>
        <w:tc>
          <w:tcPr>
            <w:tcW w:w="1300"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Coordination Committee for the European Structural and Investment Funds (COESIF)</w:t>
            </w:r>
          </w:p>
        </w:tc>
        <w:tc>
          <w:tcPr>
            <w:tcW w:w="97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1303/2013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sz w:val="18"/>
                <w:szCs w:val="18"/>
                <w:lang w:eastAsia="en-GB"/>
              </w:rPr>
            </w:pPr>
            <w:r>
              <w:rPr>
                <w:rFonts w:ascii="Arial" w:hAnsi="Arial" w:cs="Arial"/>
                <w:noProof/>
                <w:sz w:val="18"/>
                <w:szCs w:val="18"/>
              </w:rPr>
              <w:t>5</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300"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979"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sz w:val="18"/>
                <w:szCs w:val="18"/>
                <w:lang w:eastAsia="en-GB"/>
              </w:rPr>
            </w:pPr>
            <w:r>
              <w:rPr>
                <w:rFonts w:ascii="Arial" w:hAnsi="Arial" w:cs="Arial"/>
                <w:b/>
                <w:bCs/>
                <w:noProof/>
                <w:sz w:val="18"/>
                <w:szCs w:val="18"/>
              </w:rPr>
              <w:t>5</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40"/>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40"/>
        </w:numPr>
        <w:spacing w:before="0" w:after="0"/>
        <w:rPr>
          <w:noProof/>
        </w:rPr>
      </w:pPr>
      <w:r>
        <w:rPr>
          <w:noProof/>
        </w:rPr>
        <w:t>none</w:t>
      </w:r>
    </w:p>
    <w:p>
      <w:pPr>
        <w:spacing w:before="0" w:after="0"/>
        <w:jc w:val="left"/>
        <w:rPr>
          <w:b/>
          <w:smallCaps/>
          <w:noProof/>
        </w:rPr>
      </w:pPr>
      <w:bookmarkStart w:id="62" w:name="_Toc310414151"/>
    </w:p>
    <w:p>
      <w:pPr>
        <w:pStyle w:val="ManualHeading1"/>
        <w:rPr>
          <w:noProof/>
        </w:rPr>
      </w:pPr>
      <w:bookmarkStart w:id="63" w:name="_Toc61958559"/>
      <w:bookmarkStart w:id="64" w:name="_Toc62746249"/>
      <w:r>
        <w:rPr>
          <w:noProof/>
        </w:rPr>
        <w:t>Research and Innovation (RTD)</w:t>
      </w:r>
      <w:bookmarkEnd w:id="62"/>
      <w:bookmarkEnd w:id="63"/>
      <w:bookmarkEnd w:id="64"/>
    </w:p>
    <w:tbl>
      <w:tblPr>
        <w:tblW w:w="5000" w:type="pct"/>
        <w:tblLook w:val="04A0" w:firstRow="1" w:lastRow="0" w:firstColumn="1" w:lastColumn="0" w:noHBand="0" w:noVBand="1"/>
      </w:tblPr>
      <w:tblGrid>
        <w:gridCol w:w="948"/>
        <w:gridCol w:w="4097"/>
        <w:gridCol w:w="2471"/>
        <w:gridCol w:w="1422"/>
        <w:gridCol w:w="543"/>
        <w:gridCol w:w="542"/>
        <w:gridCol w:w="542"/>
        <w:gridCol w:w="542"/>
        <w:gridCol w:w="542"/>
        <w:gridCol w:w="542"/>
        <w:gridCol w:w="542"/>
        <w:gridCol w:w="542"/>
        <w:gridCol w:w="542"/>
        <w:gridCol w:w="542"/>
        <w:gridCol w:w="536"/>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7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2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7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8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C14400</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Agricultural Research (SCAR)</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(EEC) No 1728/74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C35400</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Coal and Steel Committee</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2008/376/EC: Council Decision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839"/>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C37900</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implementation of the Regulation on the Community legal framework for a European Research Infrastructure Consortium (ERIC)</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723/2009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827"/>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C42500</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47"/>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C42501</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Strategic configuration</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39</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38</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83"/>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C42502</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‘European Research Council (ERC), Future and Emerging Technologies’ (FET) and Marie Skłodowska-Curie Actions (MSCA)</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38</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39</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C42503</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‘Research infrastructures’</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12</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12</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9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C42505</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‘Nanotechnologies, Advanced materials, Biotechnology, Advanced manufacturing and processing’</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15</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13</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259"/>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C42507</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‘SMEs and Access to risk finance’</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87"/>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C42508</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‘Health, demographic change and well-being’</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12</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559"/>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C42509</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‘Food security, sustainable agriculture and forestry, marine, maritime and inland water research, and the bioeconomy’</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2013/743/EU Council Decision</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22</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22</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C42510</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‘Secure, clean and efficient energy’</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663/2009 </w:t>
            </w:r>
            <w:r>
              <w:rPr>
                <w:rFonts w:ascii="Arial" w:hAnsi="Arial" w:cs="Arial"/>
                <w:noProof/>
                <w:color w:val="000000"/>
                <w:sz w:val="18"/>
                <w:szCs w:val="18"/>
                <w:lang w:eastAsia="en-GB"/>
              </w:rPr>
              <w:br/>
              <w:t xml:space="preserve">2013/743/EU Council Decision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34</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34</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5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C42511</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‘Smart, green and integrated transport’</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13</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13</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10</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99"/>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C42512</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‘Climate action, environment, resource efficiency and raw materials’</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2013/743/EU Council Decision </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07"/>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C42513</w:t>
            </w:r>
          </w:p>
        </w:tc>
        <w:tc>
          <w:tcPr>
            <w:tcW w:w="1374"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Programme Committee for the specific programme implementing Horizon 2020 - the Framework Programme for Research and Innovation (2014-2020) - Configuration ‘Europe in a changing world – Inclusive, innovative and reflective societies’</w:t>
            </w:r>
          </w:p>
        </w:tc>
        <w:tc>
          <w:tcPr>
            <w:tcW w:w="829"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2013/743/EU Council Decision</w:t>
            </w:r>
          </w:p>
        </w:tc>
        <w:tc>
          <w:tcPr>
            <w:tcW w:w="47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15</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15</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18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32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C50600</w:t>
            </w:r>
          </w:p>
        </w:tc>
        <w:tc>
          <w:tcPr>
            <w:tcW w:w="137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Programme Committee for the Research and Training Programme of the European Atomic Energy Community (2019-2020) complementing the Horizon 2020 Framework Programme for Research and Innovation - Configuration ‘Fission’ </w:t>
            </w:r>
          </w:p>
        </w:tc>
        <w:tc>
          <w:tcPr>
            <w:tcW w:w="829"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(Euratom) 2018/1563 </w:t>
            </w:r>
          </w:p>
        </w:tc>
        <w:tc>
          <w:tcPr>
            <w:tcW w:w="477"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3</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3</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3</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132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C50700</w:t>
            </w:r>
          </w:p>
        </w:tc>
        <w:tc>
          <w:tcPr>
            <w:tcW w:w="1374"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Programme Committee for the Research and Training Programme of the European Atomic Energy Community (2019-2020) complementing the Horizon 2020 Framework Programme for Research and Innovation - Configuration ‘Fusion’</w:t>
            </w:r>
          </w:p>
        </w:tc>
        <w:tc>
          <w:tcPr>
            <w:tcW w:w="829"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(Euratom) 2018/1563 </w:t>
            </w:r>
          </w:p>
        </w:tc>
        <w:tc>
          <w:tcPr>
            <w:tcW w:w="477"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374"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829"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8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45</w:t>
            </w:r>
          </w:p>
        </w:tc>
        <w:tc>
          <w:tcPr>
            <w:tcW w:w="18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228</w:t>
            </w:r>
          </w:p>
        </w:tc>
        <w:tc>
          <w:tcPr>
            <w:tcW w:w="18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227</w:t>
            </w:r>
          </w:p>
        </w:tc>
        <w:tc>
          <w:tcPr>
            <w:tcW w:w="18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18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158</w:t>
            </w:r>
          </w:p>
        </w:tc>
        <w:tc>
          <w:tcPr>
            <w:tcW w:w="18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240"/>
        <w:rPr>
          <w:i/>
          <w:noProof/>
          <w:sz w:val="18"/>
          <w:szCs w:val="18"/>
        </w:rPr>
      </w:pPr>
      <w:r>
        <w:rPr>
          <w:i/>
          <w:noProof/>
          <w:sz w:val="18"/>
          <w:szCs w:val="18"/>
        </w:rPr>
        <w:t>*For other configurations of this committee, see ‘INTERNAL MARKET, INDUSTRY, ENTREPRENEURSHIP AND SMES (GROW)’, 'MIGRATION AND HOME AFFAIRS (HOME)' and 'COMMUNICATIONS NETWORKS, CONTENT AND TECHNOLOGY (CNECT)'.</w:t>
      </w:r>
    </w:p>
    <w:p>
      <w:pPr>
        <w:spacing w:before="0" w:after="0"/>
        <w:rPr>
          <w:b/>
          <w:noProof/>
        </w:rPr>
      </w:pPr>
      <w:r>
        <w:rPr>
          <w:b/>
          <w:noProof/>
          <w:u w:val="single"/>
        </w:rPr>
        <w:t>Newly created (or transferred) committee(s)</w:t>
      </w:r>
      <w:r>
        <w:rPr>
          <w:b/>
          <w:noProof/>
        </w:rPr>
        <w:t>:</w:t>
      </w:r>
    </w:p>
    <w:p>
      <w:pPr>
        <w:pStyle w:val="ListDash"/>
        <w:numPr>
          <w:ilvl w:val="0"/>
          <w:numId w:val="36"/>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36"/>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36"/>
        </w:numPr>
        <w:spacing w:before="0" w:after="0"/>
        <w:rPr>
          <w:noProof/>
        </w:rPr>
      </w:pPr>
      <w:r>
        <w:rPr>
          <w:noProof/>
        </w:rPr>
        <w:t>none</w:t>
      </w:r>
    </w:p>
    <w:p>
      <w:pPr>
        <w:pStyle w:val="ListDash"/>
        <w:rPr>
          <w:noProof/>
        </w:rPr>
      </w:pPr>
    </w:p>
    <w:p>
      <w:pPr>
        <w:pStyle w:val="ManualHeading1"/>
        <w:rPr>
          <w:noProof/>
        </w:rPr>
      </w:pPr>
      <w:bookmarkStart w:id="65" w:name="_Toc310414141"/>
      <w:bookmarkStart w:id="66" w:name="_Toc61958560"/>
      <w:bookmarkStart w:id="67" w:name="_Toc62746250"/>
      <w:r>
        <w:rPr>
          <w:noProof/>
        </w:rPr>
        <w:t>Health and Food Safety (SANTE)</w:t>
      </w:r>
      <w:bookmarkEnd w:id="65"/>
      <w:bookmarkEnd w:id="66"/>
      <w:bookmarkEnd w:id="67"/>
    </w:p>
    <w:tbl>
      <w:tblPr>
        <w:tblW w:w="5080" w:type="pct"/>
        <w:tblInd w:w="-176" w:type="dxa"/>
        <w:tblLayout w:type="fixed"/>
        <w:tblLook w:val="04A0" w:firstRow="1" w:lastRow="0" w:firstColumn="1" w:lastColumn="0" w:noHBand="0" w:noVBand="1"/>
      </w:tblPr>
      <w:tblGrid>
        <w:gridCol w:w="1004"/>
        <w:gridCol w:w="4294"/>
        <w:gridCol w:w="2796"/>
        <w:gridCol w:w="1258"/>
        <w:gridCol w:w="523"/>
        <w:gridCol w:w="524"/>
        <w:gridCol w:w="524"/>
        <w:gridCol w:w="527"/>
        <w:gridCol w:w="527"/>
        <w:gridCol w:w="527"/>
        <w:gridCol w:w="527"/>
        <w:gridCol w:w="527"/>
        <w:gridCol w:w="527"/>
        <w:gridCol w:w="527"/>
        <w:gridCol w:w="521"/>
      </w:tblGrid>
      <w:tr>
        <w:trPr>
          <w:trHeight w:val="2001"/>
          <w:tblHeader/>
        </w:trPr>
        <w:tc>
          <w:tcPr>
            <w:tcW w:w="332" w:type="pct"/>
            <w:tcBorders>
              <w:top w:val="single" w:sz="4" w:space="0" w:color="auto"/>
              <w:left w:val="single" w:sz="4" w:space="0" w:color="auto"/>
              <w:bottom w:val="single" w:sz="4" w:space="0" w:color="auto"/>
              <w:right w:val="single" w:sz="4" w:space="0" w:color="auto"/>
            </w:tcBorders>
            <w:shd w:val="clear" w:color="FFFFFF" w:fill="33CCCC"/>
            <w:tcFitText/>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pacing w:val="125"/>
                <w:sz w:val="16"/>
                <w:szCs w:val="16"/>
                <w:lang w:eastAsia="en-GB"/>
              </w:rPr>
              <w:t>Cod</w:t>
            </w:r>
            <w:r>
              <w:rPr>
                <w:rFonts w:ascii="Gulim" w:eastAsia="Gulim" w:hAnsi="Arial" w:cs="Arial" w:hint="eastAsia"/>
                <w:b/>
                <w:bCs/>
                <w:noProof/>
                <w:color w:val="FFFFFF"/>
                <w:spacing w:val="1"/>
                <w:sz w:val="16"/>
                <w:szCs w:val="16"/>
                <w:lang w:eastAsia="en-GB"/>
              </w:rPr>
              <w:t>e</w:t>
            </w:r>
          </w:p>
        </w:tc>
        <w:tc>
          <w:tcPr>
            <w:tcW w:w="1419"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24"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16"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73"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73"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73"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7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7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7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7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7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7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74"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2"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1007"/>
        </w:trPr>
        <w:tc>
          <w:tcPr>
            <w:tcW w:w="332" w:type="pct"/>
            <w:tcBorders>
              <w:top w:val="nil"/>
              <w:left w:val="single" w:sz="4" w:space="0" w:color="auto"/>
              <w:bottom w:val="single" w:sz="4" w:space="0" w:color="auto"/>
              <w:right w:val="single" w:sz="4" w:space="0" w:color="auto"/>
            </w:tcBorders>
            <w:shd w:val="clear" w:color="FFFFFF" w:fill="FFFFFF"/>
            <w:noWrap/>
            <w:tcFitText/>
            <w:vAlign w:val="center"/>
          </w:tcPr>
          <w:p>
            <w:pPr>
              <w:spacing w:before="0" w:after="0"/>
              <w:jc w:val="left"/>
              <w:rPr>
                <w:rFonts w:ascii="Arial" w:hAnsi="Arial" w:cs="Arial"/>
                <w:noProof/>
                <w:color w:val="000000"/>
                <w:w w:val="99"/>
                <w:sz w:val="18"/>
                <w:szCs w:val="18"/>
                <w:highlight w:val="green"/>
                <w:lang w:eastAsia="en-GB"/>
              </w:rPr>
            </w:pPr>
            <w:r>
              <w:rPr>
                <w:rFonts w:ascii="Arial" w:hAnsi="Arial" w:cs="Arial"/>
                <w:noProof/>
                <w:color w:val="000000"/>
                <w:spacing w:val="27"/>
                <w:sz w:val="18"/>
                <w:szCs w:val="18"/>
                <w:lang w:eastAsia="en-GB"/>
              </w:rPr>
              <w:t>C0030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approximation of the laws of the Member States relating to medical devices</w:t>
            </w:r>
          </w:p>
        </w:tc>
        <w:tc>
          <w:tcPr>
            <w:tcW w:w="92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Council Directive 93/42/EEC Directive 98/79/EC Council Directive 90/385/EEC</w:t>
            </w:r>
          </w:p>
        </w:tc>
        <w:tc>
          <w:tcPr>
            <w:tcW w:w="416"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Examination_2011 Regulatory w/ scrutiny</w:t>
            </w:r>
          </w:p>
        </w:tc>
        <w:tc>
          <w:tcPr>
            <w:tcW w:w="173"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3"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031"/>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27"/>
                <w:sz w:val="18"/>
                <w:szCs w:val="18"/>
                <w:lang w:eastAsia="en-GB"/>
              </w:rPr>
              <w:t>C0130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of the directives on the removal of technical barriers to trade in colouring matters which may be added to medicinal products</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78/25/EEC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1559"/>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pacing w:val="35"/>
                <w:w w:val="70"/>
                <w:sz w:val="18"/>
                <w:szCs w:val="18"/>
                <w:lang w:eastAsia="en-GB"/>
              </w:rPr>
            </w:pPr>
            <w:r>
              <w:rPr>
                <w:rFonts w:ascii="Arial" w:hAnsi="Arial" w:cs="Arial"/>
                <w:noProof/>
                <w:color w:val="000000"/>
                <w:spacing w:val="27"/>
                <w:sz w:val="18"/>
                <w:szCs w:val="18"/>
                <w:lang w:eastAsia="en-GB"/>
              </w:rPr>
              <w:t>C0250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medicinal products for human use</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1394/2007 </w:t>
            </w:r>
            <w:r>
              <w:rPr>
                <w:rFonts w:ascii="Arial" w:hAnsi="Arial" w:cs="Arial"/>
                <w:noProof/>
                <w:color w:val="000000"/>
                <w:sz w:val="18"/>
                <w:szCs w:val="18"/>
                <w:lang w:eastAsia="en-GB"/>
              </w:rPr>
              <w:br/>
              <w:t xml:space="preserve">Regulation (EC) No 1901/2006 </w:t>
            </w:r>
            <w:r>
              <w:rPr>
                <w:rFonts w:ascii="Arial" w:hAnsi="Arial" w:cs="Arial"/>
                <w:noProof/>
                <w:color w:val="000000"/>
                <w:sz w:val="18"/>
                <w:szCs w:val="18"/>
                <w:lang w:eastAsia="en-GB"/>
              </w:rPr>
              <w:br/>
              <w:t xml:space="preserve">Regulation (EC) No 726/2004 </w:t>
            </w:r>
            <w:r>
              <w:rPr>
                <w:rFonts w:ascii="Arial" w:hAnsi="Arial" w:cs="Arial"/>
                <w:noProof/>
                <w:color w:val="000000"/>
                <w:sz w:val="18"/>
                <w:szCs w:val="18"/>
                <w:lang w:eastAsia="en-GB"/>
              </w:rPr>
              <w:br/>
              <w:t xml:space="preserve">Directive 2001/20/EC </w:t>
            </w:r>
            <w:r>
              <w:rPr>
                <w:rFonts w:ascii="Arial" w:hAnsi="Arial" w:cs="Arial"/>
                <w:noProof/>
                <w:color w:val="000000"/>
                <w:sz w:val="18"/>
                <w:szCs w:val="18"/>
                <w:lang w:eastAsia="en-GB"/>
              </w:rPr>
              <w:br/>
              <w:t xml:space="preserve">Regulation (EC) No 141/2000 </w:t>
            </w:r>
            <w:r>
              <w:rPr>
                <w:rFonts w:ascii="Arial" w:hAnsi="Arial" w:cs="Arial"/>
                <w:noProof/>
                <w:color w:val="000000"/>
                <w:sz w:val="18"/>
                <w:szCs w:val="18"/>
                <w:lang w:eastAsia="en-GB"/>
              </w:rPr>
              <w:br/>
              <w:t xml:space="preserve">Directive 2001/83/EC </w:t>
            </w:r>
            <w:r>
              <w:rPr>
                <w:rFonts w:ascii="Arial" w:hAnsi="Arial" w:cs="Arial"/>
                <w:noProof/>
                <w:color w:val="000000"/>
                <w:sz w:val="18"/>
                <w:szCs w:val="18"/>
                <w:lang w:eastAsia="en-GB"/>
              </w:rPr>
              <w:br/>
              <w:t xml:space="preserve">Regulation (EU) No 536/2014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395</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378</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384</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C0290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veterinary medicinal products</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2377/90 </w:t>
            </w:r>
            <w:r>
              <w:rPr>
                <w:rFonts w:ascii="Arial" w:hAnsi="Arial" w:cs="Arial"/>
                <w:noProof/>
                <w:color w:val="000000"/>
                <w:sz w:val="18"/>
                <w:szCs w:val="18"/>
                <w:lang w:eastAsia="en-GB"/>
              </w:rPr>
              <w:br/>
              <w:t xml:space="preserve">Regulation (EC) No 726/2004 </w:t>
            </w:r>
            <w:r>
              <w:rPr>
                <w:rFonts w:ascii="Arial" w:hAnsi="Arial" w:cs="Arial"/>
                <w:noProof/>
                <w:color w:val="000000"/>
                <w:sz w:val="18"/>
                <w:szCs w:val="18"/>
                <w:lang w:eastAsia="en-GB"/>
              </w:rPr>
              <w:br/>
              <w:t xml:space="preserve">Directive 2001/82/EC </w:t>
            </w:r>
            <w:r>
              <w:rPr>
                <w:rFonts w:ascii="Arial" w:hAnsi="Arial" w:cs="Arial"/>
                <w:noProof/>
                <w:color w:val="000000"/>
                <w:sz w:val="18"/>
                <w:szCs w:val="18"/>
                <w:lang w:eastAsia="en-GB"/>
              </w:rPr>
              <w:br/>
              <w:t xml:space="preserve">Regulation (EC) No 470/2009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47</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33</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35</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83"/>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C1220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the adaptation to technical progress and implementation of the directive on the deliberate release into the environment of genetically modified organisms</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2001/18/EC </w:t>
            </w:r>
            <w:r>
              <w:rPr>
                <w:rFonts w:ascii="Arial" w:hAnsi="Arial" w:cs="Arial"/>
                <w:noProof/>
                <w:color w:val="000000"/>
                <w:sz w:val="18"/>
                <w:szCs w:val="18"/>
                <w:lang w:eastAsia="en-GB"/>
              </w:rPr>
              <w:br/>
              <w:t xml:space="preserve">Regulation (EC) No 1830/2003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C1390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Biocidal Products</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pt-PT" w:eastAsia="en-GB"/>
              </w:rPr>
            </w:pPr>
            <w:r>
              <w:rPr>
                <w:rFonts w:ascii="Arial" w:hAnsi="Arial" w:cs="Arial"/>
                <w:noProof/>
                <w:color w:val="000000"/>
                <w:sz w:val="18"/>
                <w:szCs w:val="18"/>
                <w:lang w:val="pt-PT" w:eastAsia="en-GB"/>
              </w:rPr>
              <w:t xml:space="preserve">Directive 98/8/EC </w:t>
            </w:r>
            <w:r>
              <w:rPr>
                <w:rFonts w:ascii="Arial" w:hAnsi="Arial" w:cs="Arial"/>
                <w:noProof/>
                <w:color w:val="000000"/>
                <w:sz w:val="18"/>
                <w:szCs w:val="18"/>
                <w:lang w:val="pt-PT" w:eastAsia="en-GB"/>
              </w:rPr>
              <w:br/>
              <w:t xml:space="preserve">Regulation (EU) No 528/2012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23</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23</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551"/>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C1930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Tobacco Products Regulatory Committee</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2001/37/EC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527"/>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C1980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 Committee on the quality and safety of blood</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2002/98/EC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C1990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for Community protection of plant variety rights</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2100/94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91"/>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178/2002 </w:t>
            </w:r>
            <w:r>
              <w:rPr>
                <w:rFonts w:ascii="Arial" w:hAnsi="Arial" w:cs="Arial"/>
                <w:noProof/>
                <w:color w:val="000000"/>
                <w:sz w:val="18"/>
                <w:szCs w:val="18"/>
                <w:lang w:eastAsia="en-GB"/>
              </w:rPr>
              <w:br/>
              <w:t xml:space="preserve">Regulation (EU) No 652/2014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C2040</w:t>
            </w:r>
            <w:r>
              <w:rPr>
                <w:rFonts w:ascii="Arial" w:hAnsi="Arial" w:cs="Arial"/>
                <w:noProof/>
                <w:color w:val="000000"/>
                <w:spacing w:val="3"/>
                <w:sz w:val="18"/>
                <w:szCs w:val="18"/>
                <w:lang w:eastAsia="en-GB"/>
              </w:rPr>
              <w:t>1</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‘Phytopharmaceuticals- Pesticide residues’</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396/2005 </w:t>
            </w:r>
            <w:r>
              <w:rPr>
                <w:rFonts w:ascii="Arial" w:hAnsi="Arial" w:cs="Arial"/>
                <w:noProof/>
                <w:color w:val="000000"/>
                <w:sz w:val="18"/>
                <w:szCs w:val="18"/>
                <w:lang w:eastAsia="en-GB"/>
              </w:rPr>
              <w:br/>
              <w:t xml:space="preserve">Regulation (EC) No 178/2002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18</w:t>
            </w:r>
          </w:p>
        </w:tc>
      </w:tr>
      <w:tr>
        <w:trPr>
          <w:trHeight w:val="2231"/>
        </w:trPr>
        <w:tc>
          <w:tcPr>
            <w:tcW w:w="332" w:type="pct"/>
            <w:vMerge w:val="restar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pacing w:val="27"/>
                <w:sz w:val="18"/>
                <w:szCs w:val="18"/>
                <w:lang w:eastAsia="en-GB"/>
              </w:rPr>
              <w:t>C2040</w:t>
            </w:r>
            <w:r>
              <w:rPr>
                <w:rFonts w:ascii="Arial" w:hAnsi="Arial" w:cs="Arial"/>
                <w:noProof/>
                <w:color w:val="000000"/>
                <w:spacing w:val="3"/>
                <w:sz w:val="18"/>
                <w:szCs w:val="18"/>
                <w:lang w:eastAsia="en-GB"/>
              </w:rPr>
              <w:t>2</w:t>
            </w:r>
          </w:p>
        </w:tc>
        <w:tc>
          <w:tcPr>
            <w:tcW w:w="1419"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‘Animal health and animal welfare’</w:t>
            </w:r>
          </w:p>
        </w:tc>
        <w:tc>
          <w:tcPr>
            <w:tcW w:w="924"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1774/2002 </w:t>
            </w:r>
            <w:r>
              <w:rPr>
                <w:rFonts w:ascii="Arial" w:hAnsi="Arial" w:cs="Arial"/>
                <w:noProof/>
                <w:color w:val="000000"/>
                <w:sz w:val="18"/>
                <w:szCs w:val="18"/>
                <w:lang w:eastAsia="en-GB"/>
              </w:rPr>
              <w:br/>
              <w:t xml:space="preserve">Regulation (EC) No 854/2004 </w:t>
            </w:r>
            <w:r>
              <w:rPr>
                <w:rFonts w:ascii="Arial" w:hAnsi="Arial" w:cs="Arial"/>
                <w:noProof/>
                <w:color w:val="000000"/>
                <w:sz w:val="18"/>
                <w:szCs w:val="18"/>
                <w:lang w:eastAsia="en-GB"/>
              </w:rPr>
              <w:br/>
              <w:t xml:space="preserve">Regulation (EC) No 998/2003 </w:t>
            </w:r>
            <w:r>
              <w:rPr>
                <w:rFonts w:ascii="Arial" w:hAnsi="Arial" w:cs="Arial"/>
                <w:noProof/>
                <w:color w:val="000000"/>
                <w:sz w:val="18"/>
                <w:szCs w:val="18"/>
                <w:lang w:eastAsia="en-GB"/>
              </w:rPr>
              <w:br/>
              <w:t xml:space="preserve">Regulation (EC) No 2160/2003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Council Directive 82/894/EEC </w:t>
            </w:r>
            <w:r>
              <w:rPr>
                <w:rFonts w:ascii="Arial" w:hAnsi="Arial" w:cs="Arial"/>
                <w:noProof/>
                <w:color w:val="000000"/>
                <w:sz w:val="18"/>
                <w:szCs w:val="18"/>
                <w:lang w:eastAsia="en-GB"/>
              </w:rPr>
              <w:br/>
              <w:t xml:space="preserve">Council Directive 2001/89/EC </w:t>
            </w:r>
            <w:r>
              <w:rPr>
                <w:rFonts w:ascii="Arial" w:hAnsi="Arial" w:cs="Arial"/>
                <w:noProof/>
                <w:color w:val="000000"/>
                <w:sz w:val="18"/>
                <w:szCs w:val="18"/>
                <w:lang w:eastAsia="en-GB"/>
              </w:rPr>
              <w:br/>
              <w:t xml:space="preserve">Council Directive 2004/68/EC </w:t>
            </w:r>
            <w:r>
              <w:rPr>
                <w:rFonts w:ascii="Arial" w:hAnsi="Arial" w:cs="Arial"/>
                <w:noProof/>
                <w:color w:val="000000"/>
                <w:sz w:val="18"/>
                <w:szCs w:val="18"/>
                <w:lang w:eastAsia="en-GB"/>
              </w:rPr>
              <w:br/>
              <w:t xml:space="preserve">Council Directive 2002/99/EC </w:t>
            </w:r>
            <w:r>
              <w:rPr>
                <w:rFonts w:ascii="Arial" w:hAnsi="Arial" w:cs="Arial"/>
                <w:noProof/>
                <w:color w:val="000000"/>
                <w:sz w:val="18"/>
                <w:szCs w:val="18"/>
                <w:lang w:eastAsia="en-GB"/>
              </w:rPr>
              <w:br/>
              <w:t xml:space="preserve">Regulation (EC) No 1760/2000 </w:t>
            </w:r>
            <w:r>
              <w:rPr>
                <w:rFonts w:ascii="Arial" w:hAnsi="Arial" w:cs="Arial"/>
                <w:noProof/>
                <w:color w:val="000000"/>
                <w:sz w:val="18"/>
                <w:szCs w:val="18"/>
                <w:lang w:eastAsia="en-GB"/>
              </w:rPr>
              <w:br/>
              <w:t xml:space="preserve">Regulation (EC) No 1069/2009 </w:t>
            </w:r>
            <w:r>
              <w:rPr>
                <w:rFonts w:ascii="Arial" w:hAnsi="Arial" w:cs="Arial"/>
                <w:noProof/>
                <w:color w:val="000000"/>
                <w:sz w:val="18"/>
                <w:szCs w:val="18"/>
                <w:lang w:eastAsia="en-GB"/>
              </w:rPr>
              <w:br/>
              <w:t xml:space="preserve">Council Decision 2009/470/EC </w:t>
            </w:r>
            <w:r>
              <w:rPr>
                <w:rFonts w:ascii="Arial" w:hAnsi="Arial" w:cs="Arial"/>
                <w:noProof/>
                <w:color w:val="000000"/>
                <w:sz w:val="18"/>
                <w:szCs w:val="18"/>
                <w:lang w:eastAsia="en-GB"/>
              </w:rPr>
              <w:br/>
              <w:t xml:space="preserve">Council Directive 2000/75/EC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Council Regulation (EC) No 21/2004 </w:t>
            </w:r>
            <w:r>
              <w:rPr>
                <w:rFonts w:ascii="Arial" w:hAnsi="Arial" w:cs="Arial"/>
                <w:noProof/>
                <w:color w:val="000000"/>
                <w:sz w:val="18"/>
                <w:szCs w:val="18"/>
                <w:lang w:eastAsia="en-GB"/>
              </w:rPr>
              <w:br/>
              <w:t xml:space="preserve">Council Directive 92/65/EEC </w:t>
            </w:r>
            <w:r>
              <w:rPr>
                <w:rFonts w:ascii="Arial" w:hAnsi="Arial" w:cs="Arial"/>
                <w:noProof/>
                <w:color w:val="000000"/>
                <w:sz w:val="18"/>
                <w:szCs w:val="18"/>
                <w:lang w:eastAsia="en-GB"/>
              </w:rPr>
              <w:br/>
              <w:t xml:space="preserve">Regulation (EC) No 853/2004 </w:t>
            </w:r>
            <w:r>
              <w:rPr>
                <w:rFonts w:ascii="Arial" w:hAnsi="Arial" w:cs="Arial"/>
                <w:noProof/>
                <w:color w:val="000000"/>
                <w:sz w:val="18"/>
                <w:szCs w:val="18"/>
                <w:lang w:eastAsia="en-GB"/>
              </w:rPr>
              <w:br/>
              <w:t xml:space="preserve">Council Directive 89/662/EEC </w:t>
            </w:r>
            <w:r>
              <w:rPr>
                <w:rFonts w:ascii="Arial" w:hAnsi="Arial" w:cs="Arial"/>
                <w:noProof/>
                <w:color w:val="000000"/>
                <w:sz w:val="18"/>
                <w:szCs w:val="18"/>
                <w:lang w:eastAsia="en-GB"/>
              </w:rPr>
              <w:br/>
              <w:t xml:space="preserve">Council Directive 2003/85/EC </w:t>
            </w:r>
            <w:r>
              <w:rPr>
                <w:rFonts w:ascii="Arial" w:hAnsi="Arial" w:cs="Arial"/>
                <w:noProof/>
                <w:color w:val="000000"/>
                <w:sz w:val="18"/>
                <w:szCs w:val="18"/>
                <w:lang w:eastAsia="en-GB"/>
              </w:rPr>
              <w:br/>
              <w:t xml:space="preserve">Council Directive 2005/94/EC </w:t>
            </w:r>
            <w:r>
              <w:rPr>
                <w:rFonts w:ascii="Arial" w:hAnsi="Arial" w:cs="Arial"/>
                <w:noProof/>
                <w:color w:val="000000"/>
                <w:sz w:val="18"/>
                <w:szCs w:val="18"/>
                <w:lang w:eastAsia="en-GB"/>
              </w:rPr>
              <w:br/>
              <w:t xml:space="preserve">Council Directive 2006/88/EC </w:t>
            </w:r>
            <w:r>
              <w:rPr>
                <w:rFonts w:ascii="Arial" w:hAnsi="Arial" w:cs="Arial"/>
                <w:noProof/>
                <w:color w:val="000000"/>
                <w:sz w:val="18"/>
                <w:szCs w:val="18"/>
                <w:lang w:eastAsia="en-GB"/>
              </w:rPr>
              <w:br/>
              <w:t xml:space="preserve">Council Directive 2009/158/EC </w:t>
            </w:r>
            <w:r>
              <w:rPr>
                <w:rFonts w:ascii="Arial" w:hAnsi="Arial" w:cs="Arial"/>
                <w:noProof/>
                <w:color w:val="000000"/>
                <w:sz w:val="18"/>
                <w:szCs w:val="18"/>
                <w:lang w:eastAsia="en-GB"/>
              </w:rPr>
              <w:br/>
              <w:t xml:space="preserve">Council Directive 90/429/EEC </w:t>
            </w:r>
            <w:r>
              <w:rPr>
                <w:rFonts w:ascii="Arial" w:hAnsi="Arial" w:cs="Arial"/>
                <w:noProof/>
                <w:color w:val="000000"/>
                <w:sz w:val="18"/>
                <w:szCs w:val="18"/>
                <w:lang w:eastAsia="en-GB"/>
              </w:rPr>
              <w:br/>
              <w:t xml:space="preserve">Council Regulation (EC) No 1/2005 </w:t>
            </w:r>
            <w:r>
              <w:rPr>
                <w:rFonts w:ascii="Arial" w:hAnsi="Arial" w:cs="Arial"/>
                <w:noProof/>
                <w:color w:val="000000"/>
                <w:sz w:val="18"/>
                <w:szCs w:val="18"/>
                <w:lang w:eastAsia="en-GB"/>
              </w:rPr>
              <w:br/>
              <w:t xml:space="preserve">Council Directive 94/28/EC </w:t>
            </w:r>
            <w:r>
              <w:rPr>
                <w:rFonts w:ascii="Arial" w:hAnsi="Arial" w:cs="Arial"/>
                <w:noProof/>
                <w:color w:val="000000"/>
                <w:sz w:val="18"/>
                <w:szCs w:val="18"/>
                <w:lang w:eastAsia="en-GB"/>
              </w:rPr>
              <w:br/>
              <w:t xml:space="preserve">Council Directive 90/427/EEC </w:t>
            </w:r>
            <w:r>
              <w:rPr>
                <w:rFonts w:ascii="Arial" w:hAnsi="Arial" w:cs="Arial"/>
                <w:noProof/>
                <w:color w:val="000000"/>
                <w:sz w:val="18"/>
                <w:szCs w:val="18"/>
                <w:lang w:eastAsia="en-GB"/>
              </w:rPr>
              <w:br/>
              <w:t xml:space="preserve">Council Directive 2009/156/EC </w:t>
            </w:r>
            <w:r>
              <w:rPr>
                <w:rFonts w:ascii="Arial" w:hAnsi="Arial" w:cs="Arial"/>
                <w:noProof/>
                <w:color w:val="000000"/>
                <w:sz w:val="18"/>
                <w:szCs w:val="18"/>
                <w:lang w:eastAsia="en-GB"/>
              </w:rPr>
              <w:br/>
              <w:t xml:space="preserve">Council Regulation (EC) No 1234/2007 </w:t>
            </w:r>
            <w:r>
              <w:rPr>
                <w:rFonts w:ascii="Arial" w:hAnsi="Arial" w:cs="Arial"/>
                <w:noProof/>
                <w:color w:val="000000"/>
                <w:sz w:val="18"/>
                <w:szCs w:val="18"/>
                <w:lang w:eastAsia="en-GB"/>
              </w:rPr>
              <w:br/>
              <w:t xml:space="preserve">Council Directive 88/407/EEC </w:t>
            </w:r>
            <w:r>
              <w:rPr>
                <w:rFonts w:ascii="Arial" w:hAnsi="Arial" w:cs="Arial"/>
                <w:noProof/>
                <w:color w:val="000000"/>
                <w:sz w:val="18"/>
                <w:szCs w:val="18"/>
                <w:lang w:eastAsia="en-GB"/>
              </w:rPr>
              <w:br/>
              <w:t xml:space="preserve">Council Directive 91/68/EEC </w:t>
            </w:r>
            <w:r>
              <w:rPr>
                <w:rFonts w:ascii="Arial" w:hAnsi="Arial" w:cs="Arial"/>
                <w:noProof/>
                <w:color w:val="000000"/>
                <w:sz w:val="18"/>
                <w:szCs w:val="18"/>
                <w:lang w:eastAsia="en-GB"/>
              </w:rPr>
              <w:br/>
              <w:t xml:space="preserve">Council Directive 64/432/EEC </w:t>
            </w:r>
            <w:r>
              <w:rPr>
                <w:rFonts w:ascii="Arial" w:hAnsi="Arial" w:cs="Arial"/>
                <w:noProof/>
                <w:color w:val="000000"/>
                <w:sz w:val="18"/>
                <w:szCs w:val="18"/>
                <w:lang w:eastAsia="en-GB"/>
              </w:rPr>
              <w:br/>
              <w:t xml:space="preserve">2000/258/EC: Council Decision </w:t>
            </w:r>
            <w:r>
              <w:rPr>
                <w:rFonts w:ascii="Arial" w:hAnsi="Arial" w:cs="Arial"/>
                <w:noProof/>
                <w:color w:val="000000"/>
                <w:sz w:val="18"/>
                <w:szCs w:val="18"/>
                <w:lang w:eastAsia="en-GB"/>
              </w:rPr>
              <w:br/>
              <w:t xml:space="preserve">Council Directive 90/425/EEC </w:t>
            </w:r>
            <w:r>
              <w:rPr>
                <w:rFonts w:ascii="Arial" w:hAnsi="Arial" w:cs="Arial"/>
                <w:noProof/>
                <w:color w:val="000000"/>
                <w:sz w:val="18"/>
                <w:szCs w:val="18"/>
                <w:lang w:eastAsia="en-GB"/>
              </w:rPr>
              <w:br/>
              <w:t xml:space="preserve">Council Directive 2002/60/EC </w:t>
            </w:r>
            <w:r>
              <w:rPr>
                <w:rFonts w:ascii="Arial" w:hAnsi="Arial" w:cs="Arial"/>
                <w:noProof/>
                <w:color w:val="000000"/>
                <w:sz w:val="18"/>
                <w:szCs w:val="18"/>
                <w:lang w:eastAsia="en-GB"/>
              </w:rPr>
              <w:br/>
              <w:t xml:space="preserve">Regulation (EU) No 652/2014 </w:t>
            </w:r>
            <w:r>
              <w:rPr>
                <w:rFonts w:ascii="Arial" w:hAnsi="Arial" w:cs="Arial"/>
                <w:noProof/>
                <w:color w:val="000000"/>
                <w:sz w:val="18"/>
                <w:szCs w:val="18"/>
                <w:lang w:eastAsia="en-GB"/>
              </w:rPr>
              <w:br/>
              <w:t xml:space="preserve">Council Directive 2008/71/EC </w:t>
            </w:r>
            <w:r>
              <w:rPr>
                <w:rFonts w:ascii="Arial" w:hAnsi="Arial" w:cs="Arial"/>
                <w:noProof/>
                <w:color w:val="000000"/>
                <w:sz w:val="18"/>
                <w:szCs w:val="18"/>
                <w:lang w:eastAsia="en-GB"/>
              </w:rPr>
              <w:br/>
              <w:t xml:space="preserve">Council Directive 92/119/EEC </w:t>
            </w:r>
          </w:p>
        </w:tc>
        <w:tc>
          <w:tcPr>
            <w:tcW w:w="416" w:type="pct"/>
            <w:vMerge w:val="restart"/>
            <w:tcBorders>
              <w:top w:val="nil"/>
              <w:left w:val="single" w:sz="4" w:space="0" w:color="auto"/>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3"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12</w:t>
            </w:r>
          </w:p>
        </w:tc>
        <w:tc>
          <w:tcPr>
            <w:tcW w:w="173"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25</w:t>
            </w:r>
          </w:p>
        </w:tc>
        <w:tc>
          <w:tcPr>
            <w:tcW w:w="173"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66</w:t>
            </w:r>
          </w:p>
        </w:tc>
        <w:tc>
          <w:tcPr>
            <w:tcW w:w="17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63</w:t>
            </w:r>
          </w:p>
        </w:tc>
        <w:tc>
          <w:tcPr>
            <w:tcW w:w="172" w:type="pct"/>
            <w:vMerge w:val="restar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040"/>
        </w:trPr>
        <w:tc>
          <w:tcPr>
            <w:tcW w:w="332" w:type="pct"/>
            <w:vMerge/>
            <w:tcBorders>
              <w:top w:val="nil"/>
              <w:left w:val="single" w:sz="4" w:space="0" w:color="auto"/>
              <w:bottom w:val="single" w:sz="4" w:space="0" w:color="auto"/>
              <w:right w:val="single" w:sz="4" w:space="0" w:color="auto"/>
            </w:tcBorders>
            <w:tcFitText/>
            <w:vAlign w:val="center"/>
            <w:hideMark/>
          </w:tcPr>
          <w:p>
            <w:pPr>
              <w:spacing w:before="0" w:after="0"/>
              <w:jc w:val="left"/>
              <w:rPr>
                <w:rFonts w:ascii="Arial" w:hAnsi="Arial" w:cs="Arial"/>
                <w:noProof/>
                <w:color w:val="000000"/>
                <w:sz w:val="18"/>
                <w:szCs w:val="18"/>
                <w:lang w:eastAsia="en-GB"/>
              </w:rPr>
            </w:pPr>
          </w:p>
        </w:tc>
        <w:tc>
          <w:tcPr>
            <w:tcW w:w="1419"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416"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3"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3"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3"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4"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c>
          <w:tcPr>
            <w:tcW w:w="172" w:type="pct"/>
            <w:vMerge/>
            <w:tcBorders>
              <w:top w:val="nil"/>
              <w:left w:val="single" w:sz="4" w:space="0" w:color="auto"/>
              <w:bottom w:val="single" w:sz="4" w:space="0" w:color="auto"/>
              <w:right w:val="single" w:sz="4" w:space="0" w:color="auto"/>
            </w:tcBorders>
            <w:vAlign w:val="center"/>
            <w:hideMark/>
          </w:tcPr>
          <w:p>
            <w:pPr>
              <w:spacing w:before="0" w:after="0"/>
              <w:jc w:val="left"/>
              <w:rPr>
                <w:rFonts w:ascii="Arial" w:hAnsi="Arial" w:cs="Arial"/>
                <w:noProof/>
                <w:color w:val="000000"/>
                <w:sz w:val="18"/>
                <w:szCs w:val="18"/>
                <w:lang w:eastAsia="en-GB"/>
              </w:rPr>
            </w:pPr>
          </w:p>
        </w:tc>
      </w:tr>
      <w:tr>
        <w:trPr>
          <w:trHeight w:val="153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C2040</w:t>
            </w:r>
            <w:r>
              <w:rPr>
                <w:rFonts w:ascii="Arial" w:hAnsi="Arial" w:cs="Arial"/>
                <w:noProof/>
                <w:color w:val="000000"/>
                <w:spacing w:val="3"/>
                <w:sz w:val="18"/>
                <w:szCs w:val="18"/>
                <w:lang w:eastAsia="en-GB"/>
              </w:rPr>
              <w:t>3</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‘Animal nutrition’</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1831/2003 </w:t>
            </w:r>
            <w:r>
              <w:rPr>
                <w:rFonts w:ascii="Arial" w:hAnsi="Arial" w:cs="Arial"/>
                <w:noProof/>
                <w:color w:val="000000"/>
                <w:sz w:val="18"/>
                <w:szCs w:val="18"/>
                <w:lang w:eastAsia="en-GB"/>
              </w:rPr>
              <w:br/>
              <w:t xml:space="preserve">Directive 2002/32/EC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767/2009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Regulation (EC) No 183/2005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58</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r>
      <w:tr>
        <w:trPr>
          <w:trHeight w:val="342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C2040</w:t>
            </w:r>
            <w:r>
              <w:rPr>
                <w:rFonts w:ascii="Arial" w:hAnsi="Arial" w:cs="Arial"/>
                <w:noProof/>
                <w:color w:val="000000"/>
                <w:spacing w:val="3"/>
                <w:sz w:val="18"/>
                <w:szCs w:val="18"/>
                <w:lang w:eastAsia="en-GB"/>
              </w:rPr>
              <w:t>4</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‘Biological safety of the food chain’</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852/2004 </w:t>
            </w:r>
            <w:r>
              <w:rPr>
                <w:rFonts w:ascii="Arial" w:hAnsi="Arial" w:cs="Arial"/>
                <w:noProof/>
                <w:color w:val="000000"/>
                <w:sz w:val="18"/>
                <w:szCs w:val="18"/>
                <w:lang w:eastAsia="en-GB"/>
              </w:rPr>
              <w:br/>
              <w:t xml:space="preserve">Regulation (EC) No 853/2004 </w:t>
            </w:r>
            <w:r>
              <w:rPr>
                <w:rFonts w:ascii="Arial" w:hAnsi="Arial" w:cs="Arial"/>
                <w:noProof/>
                <w:color w:val="000000"/>
                <w:sz w:val="18"/>
                <w:szCs w:val="18"/>
                <w:lang w:eastAsia="en-GB"/>
              </w:rPr>
              <w:br/>
              <w:t xml:space="preserve">Regulation (EC) No 854/2004 </w:t>
            </w:r>
            <w:r>
              <w:rPr>
                <w:rFonts w:ascii="Arial" w:hAnsi="Arial" w:cs="Arial"/>
                <w:noProof/>
                <w:color w:val="000000"/>
                <w:sz w:val="18"/>
                <w:szCs w:val="18"/>
                <w:lang w:eastAsia="en-GB"/>
              </w:rPr>
              <w:br/>
              <w:t xml:space="preserve">Regulation (EC) No 2160/2003 </w:t>
            </w:r>
            <w:r>
              <w:rPr>
                <w:rFonts w:ascii="Arial" w:hAnsi="Arial" w:cs="Arial"/>
                <w:noProof/>
                <w:color w:val="000000"/>
                <w:sz w:val="18"/>
                <w:szCs w:val="18"/>
                <w:lang w:eastAsia="en-GB"/>
              </w:rPr>
              <w:br/>
              <w:t xml:space="preserve">Directive 2003/99/EC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999/2001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Council Directive 89/108/EEC </w:t>
            </w:r>
            <w:r>
              <w:rPr>
                <w:rFonts w:ascii="Arial" w:hAnsi="Arial" w:cs="Arial"/>
                <w:noProof/>
                <w:color w:val="000000"/>
                <w:sz w:val="18"/>
                <w:szCs w:val="18"/>
                <w:lang w:eastAsia="en-GB"/>
              </w:rPr>
              <w:br/>
              <w:t xml:space="preserve">2009/470/EC: Council Decision </w:t>
            </w:r>
            <w:r>
              <w:rPr>
                <w:rFonts w:ascii="Arial" w:hAnsi="Arial" w:cs="Arial"/>
                <w:noProof/>
                <w:color w:val="000000"/>
                <w:sz w:val="18"/>
                <w:szCs w:val="18"/>
                <w:lang w:eastAsia="en-GB"/>
              </w:rPr>
              <w:br/>
              <w:t xml:space="preserve">Directive 1999/2/EC </w:t>
            </w:r>
            <w:r>
              <w:rPr>
                <w:rFonts w:ascii="Arial" w:hAnsi="Arial" w:cs="Arial"/>
                <w:noProof/>
                <w:color w:val="000000"/>
                <w:sz w:val="18"/>
                <w:szCs w:val="18"/>
                <w:lang w:eastAsia="en-GB"/>
              </w:rPr>
              <w:br/>
              <w:t xml:space="preserve">Council Directive 64/432/EEC </w:t>
            </w:r>
            <w:r>
              <w:rPr>
                <w:rFonts w:ascii="Arial" w:hAnsi="Arial" w:cs="Arial"/>
                <w:noProof/>
                <w:color w:val="000000"/>
                <w:sz w:val="18"/>
                <w:szCs w:val="18"/>
                <w:lang w:eastAsia="en-GB"/>
              </w:rPr>
              <w:br/>
              <w:t xml:space="preserve">Council Directive 2004/68/EC </w:t>
            </w:r>
            <w:r>
              <w:rPr>
                <w:rFonts w:ascii="Arial" w:hAnsi="Arial" w:cs="Arial"/>
                <w:noProof/>
                <w:color w:val="000000"/>
                <w:sz w:val="18"/>
                <w:szCs w:val="18"/>
                <w:lang w:eastAsia="en-GB"/>
              </w:rPr>
              <w:br/>
              <w:t xml:space="preserve">Council Directive 2002/99/EC </w:t>
            </w:r>
            <w:r>
              <w:rPr>
                <w:rFonts w:ascii="Arial" w:hAnsi="Arial" w:cs="Arial"/>
                <w:noProof/>
                <w:color w:val="000000"/>
                <w:sz w:val="18"/>
                <w:szCs w:val="18"/>
                <w:lang w:eastAsia="en-GB"/>
              </w:rPr>
              <w:br/>
              <w:t xml:space="preserve">Regulation (EU) No 652/2014 </w:t>
            </w:r>
            <w:r>
              <w:rPr>
                <w:rFonts w:ascii="Arial" w:hAnsi="Arial" w:cs="Arial"/>
                <w:noProof/>
                <w:color w:val="000000"/>
                <w:sz w:val="18"/>
                <w:szCs w:val="18"/>
                <w:lang w:eastAsia="en-GB"/>
              </w:rPr>
              <w:br/>
              <w:t xml:space="preserve">Council Directive 97/78/EC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r>
      <w:tr>
        <w:trPr>
          <w:trHeight w:val="531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C2040</w:t>
            </w:r>
            <w:r>
              <w:rPr>
                <w:rFonts w:ascii="Arial" w:hAnsi="Arial" w:cs="Arial"/>
                <w:noProof/>
                <w:color w:val="000000"/>
                <w:spacing w:val="3"/>
                <w:sz w:val="18"/>
                <w:szCs w:val="18"/>
                <w:lang w:eastAsia="en-GB"/>
              </w:rPr>
              <w:t>5</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‘Controls and import conditions’</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854/2004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Regulation (EC) No 853/2004 </w:t>
            </w:r>
            <w:r>
              <w:rPr>
                <w:rFonts w:ascii="Arial" w:hAnsi="Arial" w:cs="Arial"/>
                <w:noProof/>
                <w:color w:val="000000"/>
                <w:sz w:val="18"/>
                <w:szCs w:val="18"/>
                <w:lang w:eastAsia="en-GB"/>
              </w:rPr>
              <w:br/>
              <w:t xml:space="preserve">REGULATION (EC) No 852/2004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1069/2009 </w:t>
            </w:r>
            <w:r>
              <w:rPr>
                <w:rFonts w:ascii="Arial" w:hAnsi="Arial" w:cs="Arial"/>
                <w:noProof/>
                <w:color w:val="000000"/>
                <w:sz w:val="18"/>
                <w:szCs w:val="18"/>
                <w:lang w:eastAsia="en-GB"/>
              </w:rPr>
              <w:br/>
              <w:t xml:space="preserve">Council Directive 96/23/EC </w:t>
            </w:r>
            <w:r>
              <w:rPr>
                <w:rFonts w:ascii="Arial" w:hAnsi="Arial" w:cs="Arial"/>
                <w:noProof/>
                <w:color w:val="000000"/>
                <w:sz w:val="18"/>
                <w:szCs w:val="18"/>
                <w:lang w:eastAsia="en-GB"/>
              </w:rPr>
              <w:br/>
              <w:t xml:space="preserve">Regulation (EC) No 1774/2002 </w:t>
            </w:r>
            <w:r>
              <w:rPr>
                <w:rFonts w:ascii="Arial" w:hAnsi="Arial" w:cs="Arial"/>
                <w:noProof/>
                <w:color w:val="000000"/>
                <w:sz w:val="18"/>
                <w:szCs w:val="18"/>
                <w:lang w:eastAsia="en-GB"/>
              </w:rPr>
              <w:br/>
              <w:t xml:space="preserve">Council Directive 2004/68/EC </w:t>
            </w:r>
            <w:r>
              <w:rPr>
                <w:rFonts w:ascii="Arial" w:hAnsi="Arial" w:cs="Arial"/>
                <w:noProof/>
                <w:color w:val="000000"/>
                <w:sz w:val="18"/>
                <w:szCs w:val="18"/>
                <w:lang w:eastAsia="en-GB"/>
              </w:rPr>
              <w:br/>
              <w:t xml:space="preserve">Council Directive 97/78/EC </w:t>
            </w:r>
            <w:r>
              <w:rPr>
                <w:rFonts w:ascii="Arial" w:hAnsi="Arial" w:cs="Arial"/>
                <w:noProof/>
                <w:color w:val="000000"/>
                <w:sz w:val="18"/>
                <w:szCs w:val="18"/>
                <w:lang w:eastAsia="en-GB"/>
              </w:rPr>
              <w:br/>
              <w:t xml:space="preserve">Council Directive 2009/156/EC </w:t>
            </w:r>
            <w:r>
              <w:rPr>
                <w:rFonts w:ascii="Arial" w:hAnsi="Arial" w:cs="Arial"/>
                <w:noProof/>
                <w:color w:val="000000"/>
                <w:sz w:val="18"/>
                <w:szCs w:val="18"/>
                <w:lang w:eastAsia="en-GB"/>
              </w:rPr>
              <w:br/>
              <w:t xml:space="preserve">Council Directive 92/65/EEC </w:t>
            </w:r>
            <w:r>
              <w:rPr>
                <w:rFonts w:ascii="Arial" w:hAnsi="Arial" w:cs="Arial"/>
                <w:noProof/>
                <w:color w:val="000000"/>
                <w:sz w:val="18"/>
                <w:szCs w:val="18"/>
                <w:lang w:eastAsia="en-GB"/>
              </w:rPr>
              <w:br/>
              <w:t xml:space="preserve">Council Directive 90/429/EEC </w:t>
            </w:r>
            <w:r>
              <w:rPr>
                <w:rFonts w:ascii="Arial" w:hAnsi="Arial" w:cs="Arial"/>
                <w:noProof/>
                <w:color w:val="000000"/>
                <w:sz w:val="18"/>
                <w:szCs w:val="18"/>
                <w:lang w:eastAsia="en-GB"/>
              </w:rPr>
              <w:br/>
              <w:t xml:space="preserve">Council Directive 2009/158/EC </w:t>
            </w:r>
            <w:r>
              <w:rPr>
                <w:rFonts w:ascii="Arial" w:hAnsi="Arial" w:cs="Arial"/>
                <w:noProof/>
                <w:color w:val="000000"/>
                <w:sz w:val="18"/>
                <w:szCs w:val="18"/>
                <w:lang w:eastAsia="en-GB"/>
              </w:rPr>
              <w:br/>
              <w:t xml:space="preserve">Council Directive 2002/99/EC </w:t>
            </w:r>
            <w:r>
              <w:rPr>
                <w:rFonts w:ascii="Arial" w:hAnsi="Arial" w:cs="Arial"/>
                <w:noProof/>
                <w:color w:val="000000"/>
                <w:sz w:val="18"/>
                <w:szCs w:val="18"/>
                <w:lang w:eastAsia="en-GB"/>
              </w:rPr>
              <w:br/>
              <w:t xml:space="preserve">Council Directive 89/556/EEC </w:t>
            </w:r>
            <w:r>
              <w:rPr>
                <w:rFonts w:ascii="Arial" w:hAnsi="Arial" w:cs="Arial"/>
                <w:noProof/>
                <w:color w:val="000000"/>
                <w:sz w:val="18"/>
                <w:szCs w:val="18"/>
                <w:lang w:eastAsia="en-GB"/>
              </w:rPr>
              <w:br/>
              <w:t xml:space="preserve">Council Directive 88/407/EEC </w:t>
            </w:r>
            <w:r>
              <w:rPr>
                <w:rFonts w:ascii="Arial" w:hAnsi="Arial" w:cs="Arial"/>
                <w:noProof/>
                <w:color w:val="000000"/>
                <w:sz w:val="18"/>
                <w:szCs w:val="18"/>
                <w:lang w:eastAsia="en-GB"/>
              </w:rPr>
              <w:br/>
              <w:t xml:space="preserve">Regulation (EC) No 998/2003 </w:t>
            </w:r>
            <w:r>
              <w:rPr>
                <w:rFonts w:ascii="Arial" w:hAnsi="Arial" w:cs="Arial"/>
                <w:noProof/>
                <w:color w:val="000000"/>
                <w:sz w:val="18"/>
                <w:szCs w:val="18"/>
                <w:lang w:eastAsia="en-GB"/>
              </w:rPr>
              <w:br/>
              <w:t xml:space="preserve">97/132/EC: Council Decision </w:t>
            </w:r>
            <w:r>
              <w:rPr>
                <w:rFonts w:ascii="Arial" w:hAnsi="Arial" w:cs="Arial"/>
                <w:noProof/>
                <w:color w:val="000000"/>
                <w:sz w:val="18"/>
                <w:szCs w:val="18"/>
                <w:lang w:eastAsia="en-GB"/>
              </w:rPr>
              <w:br/>
              <w:t xml:space="preserve">Council Directive 91/496/EEC </w:t>
            </w:r>
            <w:r>
              <w:rPr>
                <w:rFonts w:ascii="Arial" w:hAnsi="Arial" w:cs="Arial"/>
                <w:noProof/>
                <w:color w:val="000000"/>
                <w:sz w:val="18"/>
                <w:szCs w:val="18"/>
                <w:lang w:eastAsia="en-GB"/>
              </w:rPr>
              <w:br/>
              <w:t xml:space="preserve">Council Decision 2000/258/EC </w:t>
            </w:r>
            <w:r>
              <w:rPr>
                <w:rFonts w:ascii="Arial" w:hAnsi="Arial" w:cs="Arial"/>
                <w:noProof/>
                <w:color w:val="000000"/>
                <w:sz w:val="18"/>
                <w:szCs w:val="18"/>
                <w:lang w:eastAsia="en-GB"/>
              </w:rPr>
              <w:br/>
              <w:t xml:space="preserve">Council Directive 92/118/EEC </w:t>
            </w:r>
            <w:r>
              <w:rPr>
                <w:rFonts w:ascii="Arial" w:hAnsi="Arial" w:cs="Arial"/>
                <w:noProof/>
                <w:color w:val="000000"/>
                <w:sz w:val="18"/>
                <w:szCs w:val="18"/>
                <w:lang w:eastAsia="en-GB"/>
              </w:rPr>
              <w:br/>
              <w:t xml:space="preserve">Council Directive 2006/88/EC </w:t>
            </w:r>
            <w:r>
              <w:rPr>
                <w:rFonts w:ascii="Arial" w:hAnsi="Arial" w:cs="Arial"/>
                <w:noProof/>
                <w:color w:val="000000"/>
                <w:sz w:val="18"/>
                <w:szCs w:val="18"/>
                <w:lang w:eastAsia="en-GB"/>
              </w:rPr>
              <w:br/>
              <w:t xml:space="preserve">Regulation (EU) No 576/2013 </w:t>
            </w:r>
            <w:r>
              <w:rPr>
                <w:rFonts w:ascii="Arial" w:hAnsi="Arial" w:cs="Arial"/>
                <w:noProof/>
                <w:color w:val="000000"/>
                <w:sz w:val="18"/>
                <w:szCs w:val="18"/>
                <w:lang w:eastAsia="en-GB"/>
              </w:rPr>
              <w:br/>
              <w:t xml:space="preserve">Council Decision 1999/201/EC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15</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66</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73</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2711"/>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C2040</w:t>
            </w:r>
            <w:r>
              <w:rPr>
                <w:rFonts w:ascii="Arial" w:hAnsi="Arial" w:cs="Arial"/>
                <w:noProof/>
                <w:color w:val="000000"/>
                <w:spacing w:val="3"/>
                <w:sz w:val="18"/>
                <w:szCs w:val="18"/>
                <w:lang w:eastAsia="en-GB"/>
              </w:rPr>
              <w:t>6</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‘General food law’</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1924/2006 </w:t>
            </w:r>
            <w:r>
              <w:rPr>
                <w:rFonts w:ascii="Arial" w:hAnsi="Arial" w:cs="Arial"/>
                <w:noProof/>
                <w:color w:val="000000"/>
                <w:sz w:val="18"/>
                <w:szCs w:val="18"/>
                <w:lang w:eastAsia="en-GB"/>
              </w:rPr>
              <w:br/>
              <w:t xml:space="preserve">Directive 2000/13/EC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Regulation (EC) No 258/97 </w:t>
            </w:r>
            <w:r>
              <w:rPr>
                <w:rFonts w:ascii="Arial" w:hAnsi="Arial" w:cs="Arial"/>
                <w:noProof/>
                <w:color w:val="000000"/>
                <w:sz w:val="18"/>
                <w:szCs w:val="18"/>
                <w:lang w:eastAsia="en-GB"/>
              </w:rPr>
              <w:br/>
              <w:t xml:space="preserve">Directive 2009/39/EC </w:t>
            </w:r>
            <w:r>
              <w:rPr>
                <w:rFonts w:ascii="Arial" w:hAnsi="Arial" w:cs="Arial"/>
                <w:noProof/>
                <w:color w:val="000000"/>
                <w:sz w:val="18"/>
                <w:szCs w:val="18"/>
                <w:lang w:eastAsia="en-GB"/>
              </w:rPr>
              <w:br/>
              <w:t xml:space="preserve">Regulation (EC) No 1925/2006 </w:t>
            </w:r>
            <w:r>
              <w:rPr>
                <w:rFonts w:ascii="Arial" w:hAnsi="Arial" w:cs="Arial"/>
                <w:noProof/>
                <w:color w:val="000000"/>
                <w:sz w:val="18"/>
                <w:szCs w:val="18"/>
                <w:lang w:eastAsia="en-GB"/>
              </w:rPr>
              <w:br/>
              <w:t xml:space="preserve">Directive 2002/46/EC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Directive 2009/54/EC </w:t>
            </w:r>
            <w:r>
              <w:rPr>
                <w:rFonts w:ascii="Arial" w:hAnsi="Arial" w:cs="Arial"/>
                <w:noProof/>
                <w:color w:val="000000"/>
                <w:sz w:val="18"/>
                <w:szCs w:val="18"/>
                <w:lang w:eastAsia="en-GB"/>
              </w:rPr>
              <w:br/>
              <w:t xml:space="preserve">Directive 1999/4/EC </w:t>
            </w:r>
            <w:r>
              <w:rPr>
                <w:rFonts w:ascii="Arial" w:hAnsi="Arial" w:cs="Arial"/>
                <w:noProof/>
                <w:color w:val="000000"/>
                <w:sz w:val="18"/>
                <w:szCs w:val="18"/>
                <w:lang w:eastAsia="en-GB"/>
              </w:rPr>
              <w:br/>
              <w:t xml:space="preserve">Directive 2000/36/EC </w:t>
            </w:r>
            <w:r>
              <w:rPr>
                <w:rFonts w:ascii="Arial" w:hAnsi="Arial" w:cs="Arial"/>
                <w:noProof/>
                <w:color w:val="000000"/>
                <w:sz w:val="18"/>
                <w:szCs w:val="18"/>
                <w:lang w:eastAsia="en-GB"/>
              </w:rPr>
              <w:br/>
              <w:t xml:space="preserve">Regulation (EC) No 2065/2003 </w:t>
            </w:r>
            <w:r>
              <w:rPr>
                <w:rFonts w:ascii="Arial" w:hAnsi="Arial" w:cs="Arial"/>
                <w:noProof/>
                <w:color w:val="000000"/>
                <w:sz w:val="18"/>
                <w:szCs w:val="18"/>
                <w:lang w:eastAsia="en-GB"/>
              </w:rPr>
              <w:br/>
              <w:t xml:space="preserve">Council Directive 90/496/EEC </w:t>
            </w:r>
            <w:r>
              <w:rPr>
                <w:rFonts w:ascii="Arial" w:hAnsi="Arial" w:cs="Arial"/>
                <w:noProof/>
                <w:color w:val="000000"/>
                <w:sz w:val="18"/>
                <w:szCs w:val="18"/>
                <w:lang w:eastAsia="en-GB"/>
              </w:rPr>
              <w:br/>
              <w:t xml:space="preserve">Regulation (EU) No 1169/2011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r>
      <w:tr>
        <w:trPr>
          <w:trHeight w:val="90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C2040</w:t>
            </w:r>
            <w:r>
              <w:rPr>
                <w:rFonts w:ascii="Arial" w:hAnsi="Arial" w:cs="Arial"/>
                <w:noProof/>
                <w:color w:val="000000"/>
                <w:spacing w:val="3"/>
                <w:sz w:val="18"/>
                <w:szCs w:val="18"/>
                <w:lang w:eastAsia="en-GB"/>
              </w:rPr>
              <w:t>7</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‘Phytopharmaceuticals – Legislation’</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178/2002 </w:t>
            </w:r>
            <w:r>
              <w:rPr>
                <w:rFonts w:ascii="Arial" w:hAnsi="Arial" w:cs="Arial"/>
                <w:noProof/>
                <w:color w:val="000000"/>
                <w:sz w:val="18"/>
                <w:szCs w:val="18"/>
                <w:lang w:eastAsia="en-GB"/>
              </w:rPr>
              <w:br/>
              <w:t xml:space="preserve">Regulation (EC) No 1107/2009 </w:t>
            </w:r>
            <w:r>
              <w:rPr>
                <w:rFonts w:ascii="Arial" w:hAnsi="Arial" w:cs="Arial"/>
                <w:noProof/>
                <w:color w:val="000000"/>
                <w:sz w:val="18"/>
                <w:szCs w:val="18"/>
                <w:lang w:eastAsia="en-GB"/>
              </w:rPr>
              <w:br/>
              <w:t xml:space="preserve">Council Directive 91/414/EEC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32</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33</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r>
      <w:tr>
        <w:trPr>
          <w:trHeight w:val="3311"/>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C2040</w:t>
            </w:r>
            <w:r>
              <w:rPr>
                <w:rFonts w:ascii="Arial" w:hAnsi="Arial" w:cs="Arial"/>
                <w:noProof/>
                <w:color w:val="000000"/>
                <w:spacing w:val="3"/>
                <w:sz w:val="18"/>
                <w:szCs w:val="18"/>
                <w:lang w:eastAsia="en-GB"/>
              </w:rPr>
              <w:t>8</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‘Novel Food and Toxicological safety of the food chain’</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1935/2004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1333/2008 </w:t>
            </w:r>
            <w:r>
              <w:rPr>
                <w:rFonts w:ascii="Arial" w:hAnsi="Arial" w:cs="Arial"/>
                <w:noProof/>
                <w:color w:val="000000"/>
                <w:sz w:val="18"/>
                <w:szCs w:val="18"/>
                <w:lang w:eastAsia="en-GB"/>
              </w:rPr>
              <w:br/>
              <w:t xml:space="preserve">Regulation (EC) No 882/2004 </w:t>
            </w:r>
            <w:r>
              <w:rPr>
                <w:rFonts w:ascii="Arial" w:hAnsi="Arial" w:cs="Arial"/>
                <w:noProof/>
                <w:color w:val="000000"/>
                <w:sz w:val="18"/>
                <w:szCs w:val="18"/>
                <w:lang w:eastAsia="en-GB"/>
              </w:rPr>
              <w:br/>
              <w:t xml:space="preserve">Council Regulation (EEC) No 315/93 </w:t>
            </w:r>
            <w:r>
              <w:rPr>
                <w:rFonts w:ascii="Arial" w:hAnsi="Arial" w:cs="Arial"/>
                <w:noProof/>
                <w:color w:val="000000"/>
                <w:sz w:val="18"/>
                <w:szCs w:val="18"/>
                <w:lang w:eastAsia="en-GB"/>
              </w:rPr>
              <w:br/>
              <w:t xml:space="preserve">Regulation (EC) No 1331/2008 </w:t>
            </w:r>
            <w:r>
              <w:rPr>
                <w:rFonts w:ascii="Arial" w:hAnsi="Arial" w:cs="Arial"/>
                <w:noProof/>
                <w:color w:val="000000"/>
                <w:sz w:val="18"/>
                <w:szCs w:val="18"/>
                <w:lang w:eastAsia="en-GB"/>
              </w:rPr>
              <w:br/>
              <w:t xml:space="preserve">Directive 2009/32/EC </w:t>
            </w:r>
            <w:r>
              <w:rPr>
                <w:rFonts w:ascii="Arial" w:hAnsi="Arial" w:cs="Arial"/>
                <w:noProof/>
                <w:color w:val="000000"/>
                <w:sz w:val="18"/>
                <w:szCs w:val="18"/>
                <w:lang w:eastAsia="en-GB"/>
              </w:rPr>
              <w:br/>
              <w:t xml:space="preserve">Directive 1999/2/EC </w:t>
            </w:r>
            <w:r>
              <w:rPr>
                <w:rFonts w:ascii="Arial" w:hAnsi="Arial" w:cs="Arial"/>
                <w:noProof/>
                <w:color w:val="000000"/>
                <w:sz w:val="18"/>
                <w:szCs w:val="18"/>
                <w:lang w:eastAsia="en-GB"/>
              </w:rPr>
              <w:br/>
              <w:t xml:space="preserve">Council Directive 96/23/EC </w:t>
            </w:r>
            <w:r>
              <w:rPr>
                <w:rFonts w:ascii="Arial" w:hAnsi="Arial" w:cs="Arial"/>
                <w:noProof/>
                <w:color w:val="000000"/>
                <w:sz w:val="18"/>
                <w:szCs w:val="18"/>
                <w:lang w:eastAsia="en-GB"/>
              </w:rPr>
              <w:br/>
              <w:t xml:space="preserve">Regulation (EC) No 1332/2008 </w:t>
            </w:r>
            <w:r>
              <w:rPr>
                <w:rFonts w:ascii="Arial" w:hAnsi="Arial" w:cs="Arial"/>
                <w:noProof/>
                <w:color w:val="000000"/>
                <w:sz w:val="18"/>
                <w:szCs w:val="18"/>
                <w:lang w:eastAsia="en-GB"/>
              </w:rPr>
              <w:br/>
              <w:t xml:space="preserve">Regulation (EC) No 1334/2008 </w:t>
            </w:r>
            <w:r>
              <w:rPr>
                <w:rFonts w:ascii="Arial" w:hAnsi="Arial" w:cs="Arial"/>
                <w:noProof/>
                <w:color w:val="000000"/>
                <w:sz w:val="18"/>
                <w:szCs w:val="18"/>
                <w:lang w:eastAsia="en-GB"/>
              </w:rPr>
              <w:br/>
              <w:t xml:space="preserve">Regulation (EC) No 852/2004 </w:t>
            </w:r>
            <w:r>
              <w:rPr>
                <w:rFonts w:ascii="Arial" w:hAnsi="Arial" w:cs="Arial"/>
                <w:noProof/>
                <w:color w:val="000000"/>
                <w:sz w:val="18"/>
                <w:szCs w:val="18"/>
                <w:lang w:eastAsia="en-GB"/>
              </w:rPr>
              <w:br/>
              <w:t xml:space="preserve">Regulation (EC) No 2065/2003 </w:t>
            </w:r>
            <w:r>
              <w:rPr>
                <w:rFonts w:ascii="Arial" w:hAnsi="Arial" w:cs="Arial"/>
                <w:noProof/>
                <w:color w:val="000000"/>
                <w:sz w:val="18"/>
                <w:szCs w:val="18"/>
                <w:lang w:eastAsia="en-GB"/>
              </w:rPr>
              <w:br/>
              <w:t xml:space="preserve">Regulation (EC) No 258/97 </w:t>
            </w:r>
            <w:r>
              <w:rPr>
                <w:rFonts w:ascii="Arial" w:hAnsi="Arial" w:cs="Arial"/>
                <w:noProof/>
                <w:color w:val="000000"/>
                <w:sz w:val="18"/>
                <w:szCs w:val="18"/>
                <w:lang w:eastAsia="en-GB"/>
              </w:rPr>
              <w:br/>
              <w:t xml:space="preserve">Regulation (EC) No 470/2009 </w:t>
            </w:r>
            <w:r>
              <w:rPr>
                <w:rFonts w:ascii="Arial" w:hAnsi="Arial" w:cs="Arial"/>
                <w:noProof/>
                <w:color w:val="000000"/>
                <w:sz w:val="18"/>
                <w:szCs w:val="18"/>
                <w:lang w:eastAsia="en-GB"/>
              </w:rPr>
              <w:br/>
              <w:t xml:space="preserve">Regulation (EU) 2015/2283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38</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19</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r>
      <w:tr>
        <w:trPr>
          <w:trHeight w:val="90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C2040</w:t>
            </w:r>
            <w:r>
              <w:rPr>
                <w:rFonts w:ascii="Arial" w:hAnsi="Arial" w:cs="Arial"/>
                <w:noProof/>
                <w:color w:val="000000"/>
                <w:spacing w:val="3"/>
                <w:sz w:val="18"/>
                <w:szCs w:val="18"/>
                <w:lang w:eastAsia="en-GB"/>
              </w:rPr>
              <w:t>9</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on Genetically modified food and feed and environmental risk</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(EC) No 1829/2003 </w:t>
            </w:r>
            <w:r>
              <w:rPr>
                <w:rFonts w:ascii="Arial" w:hAnsi="Arial" w:cs="Arial"/>
                <w:noProof/>
                <w:color w:val="000000"/>
                <w:sz w:val="18"/>
                <w:szCs w:val="18"/>
                <w:lang w:eastAsia="en-GB"/>
              </w:rPr>
              <w:br/>
              <w:t xml:space="preserve">Regulation (EC) No 178/2002 </w:t>
            </w:r>
            <w:r>
              <w:rPr>
                <w:rFonts w:ascii="Arial" w:hAnsi="Arial" w:cs="Arial"/>
                <w:noProof/>
                <w:color w:val="000000"/>
                <w:sz w:val="18"/>
                <w:szCs w:val="18"/>
                <w:lang w:eastAsia="en-GB"/>
              </w:rPr>
              <w:br/>
              <w:t xml:space="preserve">Regulation (EC) No 882/2004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18</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18</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29</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C2041</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‘Plant Health’</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652/2014 </w:t>
            </w:r>
            <w:r>
              <w:rPr>
                <w:rFonts w:ascii="Arial" w:hAnsi="Arial" w:cs="Arial"/>
                <w:noProof/>
                <w:color w:val="000000"/>
                <w:sz w:val="18"/>
                <w:szCs w:val="18"/>
                <w:lang w:eastAsia="en-GB"/>
              </w:rPr>
              <w:br/>
              <w:t xml:space="preserve">2002/309/EC, Euratom: Decision </w:t>
            </w:r>
            <w:r>
              <w:rPr>
                <w:rFonts w:ascii="Arial" w:hAnsi="Arial" w:cs="Arial"/>
                <w:noProof/>
                <w:color w:val="000000"/>
                <w:sz w:val="18"/>
                <w:szCs w:val="18"/>
                <w:lang w:eastAsia="en-GB"/>
              </w:rPr>
              <w:br/>
              <w:t xml:space="preserve">Regulation (EU) No 228/2013 </w:t>
            </w:r>
            <w:r>
              <w:rPr>
                <w:rFonts w:ascii="Arial" w:hAnsi="Arial" w:cs="Arial"/>
                <w:noProof/>
                <w:color w:val="000000"/>
                <w:sz w:val="18"/>
                <w:szCs w:val="18"/>
                <w:lang w:eastAsia="en-GB"/>
              </w:rPr>
              <w:br/>
              <w:t xml:space="preserve">Council Directive 2000/29/EC </w:t>
            </w:r>
            <w:r>
              <w:rPr>
                <w:rFonts w:ascii="Arial" w:hAnsi="Arial" w:cs="Arial"/>
                <w:noProof/>
                <w:color w:val="000000"/>
                <w:sz w:val="18"/>
                <w:szCs w:val="18"/>
                <w:lang w:eastAsia="en-GB"/>
              </w:rPr>
              <w:br/>
              <w:t xml:space="preserve">Regulation (EU) 2016/2031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14</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C2041</w:t>
            </w:r>
            <w:r>
              <w:rPr>
                <w:rFonts w:ascii="Arial" w:hAnsi="Arial" w:cs="Arial"/>
                <w:noProof/>
                <w:color w:val="000000"/>
                <w:spacing w:val="3"/>
                <w:sz w:val="18"/>
                <w:szCs w:val="18"/>
                <w:lang w:eastAsia="en-GB"/>
              </w:rPr>
              <w:t>1</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‘Propagating Material of Ornamental Plants’</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98/56/EC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C2041</w:t>
            </w:r>
            <w:r>
              <w:rPr>
                <w:rFonts w:ascii="Arial" w:hAnsi="Arial" w:cs="Arial"/>
                <w:noProof/>
                <w:color w:val="000000"/>
                <w:spacing w:val="3"/>
                <w:sz w:val="18"/>
                <w:szCs w:val="18"/>
                <w:lang w:eastAsia="en-GB"/>
              </w:rPr>
              <w:t>2</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‘Propagating Material and Plants of Fruit Genera and Species’</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92/34/EEC </w:t>
            </w:r>
            <w:r>
              <w:rPr>
                <w:rFonts w:ascii="Arial" w:hAnsi="Arial" w:cs="Arial"/>
                <w:noProof/>
                <w:color w:val="000000"/>
                <w:sz w:val="18"/>
                <w:szCs w:val="18"/>
                <w:lang w:eastAsia="en-GB"/>
              </w:rPr>
              <w:br/>
              <w:t xml:space="preserve">Council Directive 2008/90/EC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95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C2041</w:t>
            </w:r>
            <w:r>
              <w:rPr>
                <w:rFonts w:ascii="Arial" w:hAnsi="Arial" w:cs="Arial"/>
                <w:noProof/>
                <w:color w:val="000000"/>
                <w:spacing w:val="3"/>
                <w:sz w:val="18"/>
                <w:szCs w:val="18"/>
                <w:lang w:eastAsia="en-GB"/>
              </w:rPr>
              <w:t>3</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‘Seeds and Propagating Material for Agriculture and Horticulture’</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2002/57/EC </w:t>
            </w:r>
            <w:r>
              <w:rPr>
                <w:rFonts w:ascii="Arial" w:hAnsi="Arial" w:cs="Arial"/>
                <w:noProof/>
                <w:color w:val="000000"/>
                <w:sz w:val="18"/>
                <w:szCs w:val="18"/>
                <w:lang w:eastAsia="en-GB"/>
              </w:rPr>
              <w:br/>
              <w:t xml:space="preserve">Council Directive 66/402/EEC </w:t>
            </w:r>
            <w:r>
              <w:rPr>
                <w:rFonts w:ascii="Arial" w:hAnsi="Arial" w:cs="Arial"/>
                <w:noProof/>
                <w:color w:val="000000"/>
                <w:sz w:val="18"/>
                <w:szCs w:val="18"/>
                <w:lang w:eastAsia="en-GB"/>
              </w:rPr>
              <w:br/>
              <w:t xml:space="preserve">Council Directive 2002/56/EC </w:t>
            </w:r>
            <w:r>
              <w:rPr>
                <w:rFonts w:ascii="Arial" w:hAnsi="Arial" w:cs="Arial"/>
                <w:noProof/>
                <w:color w:val="000000"/>
                <w:sz w:val="18"/>
                <w:szCs w:val="18"/>
                <w:lang w:eastAsia="en-GB"/>
              </w:rPr>
              <w:br/>
              <w:t xml:space="preserve">Council Directive 2002/53/EC </w:t>
            </w:r>
            <w:r>
              <w:rPr>
                <w:rFonts w:ascii="Arial" w:hAnsi="Arial" w:cs="Arial"/>
                <w:noProof/>
                <w:color w:val="000000"/>
                <w:sz w:val="18"/>
                <w:szCs w:val="18"/>
                <w:lang w:eastAsia="en-GB"/>
              </w:rPr>
              <w:br/>
              <w:t xml:space="preserve">Council Directive 2002/55/EC </w:t>
            </w:r>
            <w:r>
              <w:rPr>
                <w:rFonts w:ascii="Arial" w:hAnsi="Arial" w:cs="Arial"/>
                <w:noProof/>
                <w:color w:val="000000"/>
                <w:sz w:val="18"/>
                <w:szCs w:val="18"/>
                <w:lang w:eastAsia="en-GB"/>
              </w:rPr>
              <w:br/>
              <w:t xml:space="preserve">Council Directive 2008/72/EC </w:t>
            </w:r>
            <w:r>
              <w:rPr>
                <w:rFonts w:ascii="Arial" w:hAnsi="Arial" w:cs="Arial"/>
                <w:noProof/>
                <w:color w:val="000000"/>
                <w:sz w:val="18"/>
                <w:szCs w:val="18"/>
                <w:lang w:eastAsia="en-GB"/>
              </w:rPr>
              <w:br/>
              <w:t xml:space="preserve">Council Directive 66/401/EEC </w:t>
            </w:r>
            <w:r>
              <w:rPr>
                <w:rFonts w:ascii="Arial" w:hAnsi="Arial" w:cs="Arial"/>
                <w:noProof/>
                <w:color w:val="000000"/>
                <w:sz w:val="18"/>
                <w:szCs w:val="18"/>
                <w:lang w:eastAsia="en-GB"/>
              </w:rPr>
              <w:br/>
              <w:t xml:space="preserve">Council Directive 2002/54/EC </w:t>
            </w:r>
            <w:r>
              <w:rPr>
                <w:rFonts w:ascii="Arial" w:hAnsi="Arial" w:cs="Arial"/>
                <w:noProof/>
                <w:color w:val="000000"/>
                <w:sz w:val="18"/>
                <w:szCs w:val="18"/>
                <w:lang w:eastAsia="en-GB"/>
              </w:rPr>
              <w:br/>
              <w:t xml:space="preserve">2002/309/EC, Euratom: Decision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7</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C2041</w:t>
            </w:r>
            <w:r>
              <w:rPr>
                <w:rFonts w:ascii="Arial" w:hAnsi="Arial" w:cs="Arial"/>
                <w:noProof/>
                <w:color w:val="000000"/>
                <w:spacing w:val="3"/>
                <w:sz w:val="18"/>
                <w:szCs w:val="18"/>
                <w:lang w:eastAsia="en-GB"/>
              </w:rPr>
              <w:t>4</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‘Forest Reproductive Material’</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1999/105/EC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r>
      <w:tr>
        <w:trPr>
          <w:trHeight w:val="48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C2041</w:t>
            </w:r>
            <w:r>
              <w:rPr>
                <w:rFonts w:ascii="Arial" w:hAnsi="Arial" w:cs="Arial"/>
                <w:noProof/>
                <w:color w:val="000000"/>
                <w:spacing w:val="3"/>
                <w:sz w:val="18"/>
                <w:szCs w:val="18"/>
                <w:lang w:eastAsia="en-GB"/>
              </w:rPr>
              <w:t>5</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Plants, Animals, Food and Feed - section Vine</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C2050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Zootechnics</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77/504/EEC </w:t>
            </w:r>
            <w:r>
              <w:rPr>
                <w:rFonts w:ascii="Arial" w:hAnsi="Arial" w:cs="Arial"/>
                <w:noProof/>
                <w:color w:val="000000"/>
                <w:sz w:val="18"/>
                <w:szCs w:val="18"/>
                <w:lang w:eastAsia="en-GB"/>
              </w:rPr>
              <w:br/>
              <w:t xml:space="preserve">Council Directive 94/28/EC </w:t>
            </w:r>
            <w:r>
              <w:rPr>
                <w:rFonts w:ascii="Arial" w:hAnsi="Arial" w:cs="Arial"/>
                <w:noProof/>
                <w:color w:val="000000"/>
                <w:sz w:val="18"/>
                <w:szCs w:val="18"/>
                <w:lang w:eastAsia="en-GB"/>
              </w:rPr>
              <w:br/>
              <w:t xml:space="preserve">Council Directive 90/427/EEC </w:t>
            </w:r>
            <w:r>
              <w:rPr>
                <w:rFonts w:ascii="Arial" w:hAnsi="Arial" w:cs="Arial"/>
                <w:noProof/>
                <w:color w:val="000000"/>
                <w:sz w:val="18"/>
                <w:szCs w:val="18"/>
                <w:lang w:eastAsia="en-GB"/>
              </w:rPr>
              <w:br/>
              <w:t xml:space="preserve">Council Directive 2009/156/EC </w:t>
            </w:r>
            <w:r>
              <w:rPr>
                <w:rFonts w:ascii="Arial" w:hAnsi="Arial" w:cs="Arial"/>
                <w:noProof/>
                <w:color w:val="000000"/>
                <w:sz w:val="18"/>
                <w:szCs w:val="18"/>
                <w:lang w:eastAsia="en-GB"/>
              </w:rPr>
              <w:br/>
              <w:t xml:space="preserve">Regulation (EU) 2016/1012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C2610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Tissues and Cells Committee</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2004/23/EC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C4020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cross-border healthcare</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2011/24/EU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C4060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organ transplantation</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2010/53/EU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C4230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serious cross-border threats to health</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Decision No 1082/2013/EU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C4660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of the third Programme of Community action in the field of health (2014-2020) </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282/2014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0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C4750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for the adaptation to technical progress and implementation of the directive on the contained use of genetically modified micro-organisms </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2009/41/EC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32" w:type="pct"/>
            <w:tcBorders>
              <w:top w:val="nil"/>
              <w:left w:val="single" w:sz="4" w:space="0" w:color="auto"/>
              <w:bottom w:val="single" w:sz="4" w:space="0" w:color="auto"/>
              <w:right w:val="single" w:sz="4" w:space="0" w:color="auto"/>
            </w:tcBorders>
            <w:shd w:val="clear" w:color="FFFFFF" w:fill="FFFFFF"/>
            <w:noWrap/>
            <w:tcFitText/>
            <w:vAlign w:val="center"/>
            <w:hideMark/>
          </w:tcPr>
          <w:p>
            <w:pPr>
              <w:spacing w:before="0" w:after="0"/>
              <w:jc w:val="left"/>
              <w:rPr>
                <w:rFonts w:ascii="Arial" w:hAnsi="Arial" w:cs="Arial"/>
                <w:noProof/>
                <w:color w:val="000000"/>
                <w:w w:val="98"/>
                <w:sz w:val="18"/>
                <w:szCs w:val="18"/>
                <w:lang w:eastAsia="en-GB"/>
              </w:rPr>
            </w:pPr>
            <w:r>
              <w:rPr>
                <w:rFonts w:ascii="Arial" w:hAnsi="Arial" w:cs="Arial"/>
                <w:noProof/>
                <w:color w:val="000000"/>
                <w:spacing w:val="27"/>
                <w:sz w:val="18"/>
                <w:szCs w:val="18"/>
                <w:lang w:eastAsia="en-GB"/>
              </w:rPr>
              <w:t>C4790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Tobacco Products Committee</w:t>
            </w:r>
          </w:p>
        </w:tc>
        <w:tc>
          <w:tcPr>
            <w:tcW w:w="924"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Directive 2014/40/EU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32" w:type="pct"/>
            <w:tcBorders>
              <w:top w:val="nil"/>
              <w:left w:val="single" w:sz="4" w:space="0" w:color="auto"/>
              <w:bottom w:val="single" w:sz="4" w:space="0" w:color="auto"/>
              <w:right w:val="single" w:sz="4" w:space="0" w:color="auto"/>
            </w:tcBorders>
            <w:shd w:val="clear" w:color="auto" w:fill="auto"/>
            <w:noWrap/>
            <w:tcFitText/>
            <w:vAlign w:val="center"/>
          </w:tcPr>
          <w:p>
            <w:pPr>
              <w:spacing w:before="0" w:after="0"/>
              <w:jc w:val="left"/>
              <w:rPr>
                <w:rFonts w:ascii="Arial" w:hAnsi="Arial" w:cs="Arial"/>
                <w:noProof/>
                <w:color w:val="000000"/>
                <w:w w:val="99"/>
                <w:sz w:val="18"/>
                <w:szCs w:val="18"/>
                <w:lang w:eastAsia="en-GB"/>
              </w:rPr>
            </w:pPr>
            <w:r>
              <w:rPr>
                <w:rFonts w:ascii="Arial" w:hAnsi="Arial" w:cs="Arial"/>
                <w:noProof/>
                <w:color w:val="000000"/>
                <w:spacing w:val="27"/>
                <w:sz w:val="18"/>
                <w:szCs w:val="18"/>
                <w:lang w:eastAsia="en-GB"/>
              </w:rPr>
              <w:t>C4980</w:t>
            </w:r>
            <w:r>
              <w:rPr>
                <w:rFonts w:ascii="Arial" w:hAnsi="Arial" w:cs="Arial"/>
                <w:noProof/>
                <w:color w:val="000000"/>
                <w:spacing w:val="3"/>
                <w:sz w:val="18"/>
                <w:szCs w:val="18"/>
                <w:lang w:eastAsia="en-GB"/>
              </w:rPr>
              <w:t>0</w:t>
            </w:r>
          </w:p>
        </w:tc>
        <w:tc>
          <w:tcPr>
            <w:tcW w:w="1419"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Medical Devices</w:t>
            </w:r>
          </w:p>
        </w:tc>
        <w:tc>
          <w:tcPr>
            <w:tcW w:w="924"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2017/746</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2017/745</w:t>
            </w:r>
          </w:p>
        </w:tc>
        <w:tc>
          <w:tcPr>
            <w:tcW w:w="416"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73"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3"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4"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2"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32" w:type="pct"/>
            <w:tcBorders>
              <w:top w:val="nil"/>
              <w:left w:val="single" w:sz="4" w:space="0" w:color="auto"/>
              <w:bottom w:val="single" w:sz="4" w:space="0" w:color="auto"/>
              <w:right w:val="single" w:sz="4" w:space="0" w:color="auto"/>
            </w:tcBorders>
            <w:shd w:val="clear" w:color="FFFFFF" w:fill="FFFFCC"/>
            <w:noWrap/>
            <w:tcFitText/>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419"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924"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73"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107</w:t>
            </w:r>
          </w:p>
        </w:tc>
        <w:tc>
          <w:tcPr>
            <w:tcW w:w="173"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476</w:t>
            </w:r>
          </w:p>
        </w:tc>
        <w:tc>
          <w:tcPr>
            <w:tcW w:w="173"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745</w:t>
            </w:r>
          </w:p>
        </w:tc>
        <w:tc>
          <w:tcPr>
            <w:tcW w:w="17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17</w:t>
            </w:r>
          </w:p>
        </w:tc>
        <w:tc>
          <w:tcPr>
            <w:tcW w:w="17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22</w:t>
            </w:r>
          </w:p>
        </w:tc>
        <w:tc>
          <w:tcPr>
            <w:tcW w:w="17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7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21</w:t>
            </w:r>
          </w:p>
        </w:tc>
        <w:tc>
          <w:tcPr>
            <w:tcW w:w="174"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733</w:t>
            </w:r>
          </w:p>
        </w:tc>
        <w:tc>
          <w:tcPr>
            <w:tcW w:w="172"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41</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40"/>
        </w:numPr>
        <w:spacing w:before="0" w:after="0"/>
        <w:rPr>
          <w:noProof/>
        </w:rPr>
      </w:pPr>
      <w:r>
        <w:rPr>
          <w:noProof/>
        </w:rPr>
        <w:t>C00300 Committee on the approximation of the laws of the Member States relating to medical devices – transferred from DG GROW</w:t>
      </w:r>
    </w:p>
    <w:p>
      <w:pPr>
        <w:pStyle w:val="ListDash"/>
        <w:numPr>
          <w:ilvl w:val="0"/>
          <w:numId w:val="40"/>
        </w:numPr>
        <w:spacing w:before="0" w:after="0"/>
        <w:rPr>
          <w:noProof/>
        </w:rPr>
      </w:pPr>
      <w:r>
        <w:rPr>
          <w:noProof/>
        </w:rPr>
        <w:t>C49800 Committee on Medical Devices – transferred from DG GROW</w:t>
      </w:r>
    </w:p>
    <w:p>
      <w:pPr>
        <w:spacing w:before="0" w:after="0"/>
        <w:rPr>
          <w:b/>
          <w:noProof/>
        </w:rPr>
      </w:pPr>
      <w:r>
        <w:rPr>
          <w:b/>
          <w:noProof/>
          <w:u w:val="single"/>
        </w:rPr>
        <w:t>Abolished (or transferred) committee(s)</w:t>
      </w:r>
      <w:r>
        <w:rPr>
          <w:b/>
          <w:noProof/>
        </w:rPr>
        <w:t>:</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40"/>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spacing w:before="0" w:after="0"/>
        <w:rPr>
          <w:b/>
          <w:noProof/>
          <w:u w:val="single"/>
        </w:rPr>
      </w:pPr>
    </w:p>
    <w:tbl>
      <w:tblPr>
        <w:tblStyle w:val="TableGrid"/>
        <w:tblW w:w="13788" w:type="dxa"/>
        <w:tblInd w:w="720" w:type="dxa"/>
        <w:tblLook w:val="04A0" w:firstRow="1" w:lastRow="0" w:firstColumn="1" w:lastColumn="0" w:noHBand="0" w:noVBand="1"/>
      </w:tblPr>
      <w:tblGrid>
        <w:gridCol w:w="1719"/>
        <w:gridCol w:w="8469"/>
        <w:gridCol w:w="3600"/>
      </w:tblGrid>
      <w:tr>
        <w:tc>
          <w:tcPr>
            <w:tcW w:w="13788" w:type="dxa"/>
            <w:gridSpan w:val="3"/>
          </w:tcPr>
          <w:p>
            <w:pPr>
              <w:pStyle w:val="ListParagraph"/>
              <w:numPr>
                <w:ilvl w:val="0"/>
                <w:numId w:val="36"/>
              </w:numPr>
              <w:spacing w:before="0" w:after="0"/>
              <w:rPr>
                <w:rFonts w:ascii="Arial" w:hAnsi="Arial" w:cs="Arial"/>
                <w:noProof/>
                <w:color w:val="000000"/>
                <w:sz w:val="20"/>
                <w:szCs w:val="20"/>
                <w:u w:val="single"/>
                <w:lang w:eastAsia="en-GB"/>
              </w:rPr>
            </w:pPr>
            <w:r>
              <w:rPr>
                <w:rFonts w:ascii="Arial" w:hAnsi="Arial" w:cs="Arial"/>
                <w:b/>
                <w:noProof/>
                <w:color w:val="000000"/>
                <w:sz w:val="20"/>
                <w:szCs w:val="20"/>
                <w:u w:val="single"/>
                <w:lang w:eastAsia="en-GB"/>
              </w:rPr>
              <w:t>C20409 - Standing Committee on Plants, Animals, Food and Feed - Section on Genetically modified food and feed and environmental risk</w:t>
            </w:r>
          </w:p>
        </w:tc>
      </w:tr>
      <w:tr>
        <w:trPr>
          <w:trHeight w:val="1115"/>
        </w:trPr>
        <w:tc>
          <w:tcPr>
            <w:tcW w:w="1719" w:type="dxa"/>
          </w:tcPr>
          <w:p>
            <w:pPr>
              <w:spacing w:before="0" w:after="0"/>
              <w:ind w:right="-180"/>
              <w:jc w:val="left"/>
              <w:rPr>
                <w:b/>
                <w:noProof/>
                <w:sz w:val="20"/>
                <w:szCs w:val="20"/>
              </w:rPr>
            </w:pPr>
            <w:r>
              <w:rPr>
                <w:b/>
                <w:noProof/>
                <w:sz w:val="20"/>
                <w:szCs w:val="20"/>
              </w:rPr>
              <w:t>AC 14/01/19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 xml:space="preserve">Commission Implementing Decision (EU) 2019/1301 of 26 July 2019 amending Implementing Decision 2013/327/EU as regards the renewal of the authorisation to place on the market feed containing or consisting of genetically modified oilseed rapes Ms8, Rf3 and Ms8 × Rf3 pursuant to Regulation (EC) No 1829/2003 of the European Parliament and of the Council </w:t>
            </w:r>
          </w:p>
        </w:tc>
        <w:tc>
          <w:tcPr>
            <w:tcW w:w="3600" w:type="dxa"/>
          </w:tcPr>
          <w:p>
            <w:pPr>
              <w:spacing w:before="0" w:after="0"/>
              <w:ind w:left="720"/>
              <w:rPr>
                <w:noProof/>
                <w:sz w:val="20"/>
                <w:szCs w:val="20"/>
              </w:rPr>
            </w:pPr>
            <w:r>
              <w:rPr>
                <w:noProof/>
                <w:sz w:val="20"/>
                <w:szCs w:val="20"/>
              </w:rPr>
              <w:t>SANTE/10465/2018</w:t>
            </w:r>
          </w:p>
          <w:p>
            <w:pPr>
              <w:spacing w:before="0" w:after="0"/>
              <w:ind w:left="720"/>
              <w:rPr>
                <w:noProof/>
                <w:sz w:val="20"/>
                <w:szCs w:val="20"/>
              </w:rPr>
            </w:pPr>
            <w:hyperlink r:id="rId30" w:history="1">
              <w:r>
                <w:rPr>
                  <w:rStyle w:val="Hyperlink"/>
                  <w:noProof/>
                  <w:color w:val="auto"/>
                  <w:sz w:val="20"/>
                  <w:szCs w:val="20"/>
                  <w:u w:val="none"/>
                </w:rPr>
                <w:t>Adopted on 26 July 2019</w:t>
              </w:r>
            </w:hyperlink>
          </w:p>
          <w:p>
            <w:pPr>
              <w:spacing w:before="0" w:after="0"/>
              <w:ind w:left="720"/>
              <w:rPr>
                <w:noProof/>
                <w:sz w:val="20"/>
                <w:szCs w:val="20"/>
              </w:rPr>
            </w:pPr>
          </w:p>
        </w:tc>
      </w:tr>
      <w:tr>
        <w:tc>
          <w:tcPr>
            <w:tcW w:w="1719" w:type="dxa"/>
          </w:tcPr>
          <w:p>
            <w:pPr>
              <w:spacing w:before="0" w:after="0"/>
              <w:ind w:right="-180"/>
              <w:jc w:val="left"/>
              <w:rPr>
                <w:b/>
                <w:noProof/>
                <w:sz w:val="20"/>
                <w:szCs w:val="20"/>
              </w:rPr>
            </w:pPr>
            <w:r>
              <w:rPr>
                <w:b/>
                <w:noProof/>
                <w:sz w:val="20"/>
                <w:szCs w:val="20"/>
              </w:rPr>
              <w:t>AC 14/01/19</w:t>
            </w:r>
          </w:p>
          <w:p>
            <w:pPr>
              <w:spacing w:before="0" w:after="0"/>
              <w:ind w:right="-180"/>
              <w:jc w:val="left"/>
              <w:rPr>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2019/1303 of 26 July 2019 authorising the placing on the market of products containing, consisting of or produced from genetically modified maize 5307 (SYN-Ø53Ø7-1), pursuant to Regulation (EC) No 1829/2003 of the European Parliament and of the Council on genetically modified food and feed</w:t>
            </w:r>
          </w:p>
        </w:tc>
        <w:tc>
          <w:tcPr>
            <w:tcW w:w="3600" w:type="dxa"/>
          </w:tcPr>
          <w:p>
            <w:pPr>
              <w:spacing w:before="0" w:after="0"/>
              <w:ind w:left="720"/>
              <w:rPr>
                <w:noProof/>
                <w:sz w:val="20"/>
                <w:szCs w:val="20"/>
                <w:lang w:eastAsia="en-GB"/>
              </w:rPr>
            </w:pPr>
            <w:r>
              <w:rPr>
                <w:noProof/>
                <w:sz w:val="20"/>
                <w:szCs w:val="20"/>
                <w:lang w:eastAsia="en-GB"/>
              </w:rPr>
              <w:t>SANTE/10721/2018</w:t>
            </w:r>
          </w:p>
          <w:p>
            <w:pPr>
              <w:spacing w:before="0" w:after="0"/>
              <w:ind w:left="720"/>
              <w:rPr>
                <w:noProof/>
                <w:sz w:val="20"/>
                <w:szCs w:val="20"/>
              </w:rPr>
            </w:pPr>
            <w:hyperlink r:id="rId31" w:history="1">
              <w:r>
                <w:rPr>
                  <w:rStyle w:val="Hyperlink"/>
                  <w:noProof/>
                  <w:color w:val="auto"/>
                  <w:sz w:val="20"/>
                  <w:szCs w:val="20"/>
                  <w:u w:val="none"/>
                </w:rPr>
                <w:t>Adopted on 26 July 2019</w:t>
              </w:r>
            </w:hyperlink>
          </w:p>
          <w:p>
            <w:pPr>
              <w:spacing w:before="0" w:after="0"/>
              <w:ind w:left="720"/>
              <w:rPr>
                <w:noProof/>
                <w:sz w:val="20"/>
                <w:szCs w:val="20"/>
              </w:rPr>
            </w:pPr>
          </w:p>
        </w:tc>
      </w:tr>
      <w:tr>
        <w:tc>
          <w:tcPr>
            <w:tcW w:w="1719" w:type="dxa"/>
          </w:tcPr>
          <w:p>
            <w:pPr>
              <w:spacing w:before="0" w:after="0"/>
              <w:ind w:right="-180"/>
              <w:jc w:val="left"/>
              <w:rPr>
                <w:b/>
                <w:noProof/>
                <w:sz w:val="20"/>
                <w:szCs w:val="20"/>
              </w:rPr>
            </w:pPr>
            <w:r>
              <w:rPr>
                <w:b/>
                <w:noProof/>
                <w:sz w:val="20"/>
                <w:szCs w:val="20"/>
              </w:rPr>
              <w:t>AC 14/01/19</w:t>
            </w:r>
          </w:p>
          <w:p>
            <w:pPr>
              <w:spacing w:before="0" w:after="0"/>
              <w:ind w:right="-180"/>
              <w:jc w:val="left"/>
              <w:rPr>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2019/1307 of 26 July 2019 authorising the placing on the market of products containing, consisting of or produced from genetically modified maize MON 87403 (MON-874Ø3-1),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SANTE/11160/2018</w:t>
            </w:r>
          </w:p>
          <w:p>
            <w:pPr>
              <w:spacing w:before="0" w:after="0"/>
              <w:ind w:left="720"/>
              <w:rPr>
                <w:noProof/>
                <w:sz w:val="20"/>
                <w:szCs w:val="20"/>
              </w:rPr>
            </w:pPr>
            <w:hyperlink r:id="rId32" w:history="1">
              <w:r>
                <w:rPr>
                  <w:rStyle w:val="Hyperlink"/>
                  <w:noProof/>
                  <w:color w:val="auto"/>
                  <w:sz w:val="20"/>
                  <w:szCs w:val="20"/>
                  <w:u w:val="none"/>
                </w:rPr>
                <w:t>Adopted on 26 July 2019</w:t>
              </w:r>
            </w:hyperlink>
          </w:p>
        </w:tc>
      </w:tr>
      <w:tr>
        <w:tc>
          <w:tcPr>
            <w:tcW w:w="1719" w:type="dxa"/>
          </w:tcPr>
          <w:p>
            <w:pPr>
              <w:spacing w:before="0" w:after="0"/>
              <w:ind w:right="-180"/>
              <w:jc w:val="left"/>
              <w:rPr>
                <w:b/>
                <w:noProof/>
                <w:sz w:val="20"/>
                <w:szCs w:val="20"/>
              </w:rPr>
            </w:pPr>
            <w:r>
              <w:rPr>
                <w:b/>
                <w:noProof/>
                <w:sz w:val="20"/>
                <w:szCs w:val="20"/>
              </w:rPr>
              <w:t>AC 14/01/19</w:t>
            </w:r>
          </w:p>
          <w:p>
            <w:pPr>
              <w:spacing w:before="0" w:after="0"/>
              <w:ind w:right="-180"/>
              <w:jc w:val="left"/>
              <w:rPr>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 xml:space="preserve">Commission Implementing Decision (EU) 2019/1302 of 26 July 2019 authorising the placing on the market of products containing, consisting of or produced from genetically modified cotton GHB614 × LLCotton25 × MON 15985 pursuant to Regulation (EC) No 1829/2003 of the European Parliament and of the Council (SANTE/10800/2018) </w:t>
            </w:r>
          </w:p>
        </w:tc>
        <w:tc>
          <w:tcPr>
            <w:tcW w:w="3600" w:type="dxa"/>
          </w:tcPr>
          <w:p>
            <w:pPr>
              <w:spacing w:before="0" w:after="0"/>
              <w:ind w:left="720"/>
              <w:rPr>
                <w:noProof/>
                <w:sz w:val="20"/>
                <w:szCs w:val="20"/>
              </w:rPr>
            </w:pPr>
            <w:r>
              <w:rPr>
                <w:noProof/>
                <w:sz w:val="20"/>
                <w:szCs w:val="20"/>
              </w:rPr>
              <w:t>SANTE/10800/2018</w:t>
            </w:r>
          </w:p>
          <w:p>
            <w:pPr>
              <w:spacing w:before="0" w:after="0"/>
              <w:ind w:left="720"/>
              <w:rPr>
                <w:noProof/>
                <w:sz w:val="20"/>
                <w:szCs w:val="20"/>
              </w:rPr>
            </w:pPr>
            <w:hyperlink r:id="rId33" w:history="1">
              <w:r>
                <w:rPr>
                  <w:rStyle w:val="Hyperlink"/>
                  <w:noProof/>
                  <w:color w:val="auto"/>
                  <w:sz w:val="20"/>
                  <w:szCs w:val="20"/>
                  <w:u w:val="none"/>
                </w:rPr>
                <w:t>Adopted on 26 July 2019</w:t>
              </w:r>
            </w:hyperlink>
            <w:r>
              <w:rPr>
                <w:noProof/>
                <w:sz w:val="20"/>
                <w:szCs w:val="20"/>
              </w:rPr>
              <w:t xml:space="preserve"> </w:t>
            </w:r>
          </w:p>
        </w:tc>
      </w:tr>
      <w:tr>
        <w:tc>
          <w:tcPr>
            <w:tcW w:w="1719" w:type="dxa"/>
          </w:tcPr>
          <w:p>
            <w:pPr>
              <w:spacing w:before="0" w:after="0"/>
              <w:ind w:right="-180"/>
              <w:jc w:val="left"/>
              <w:rPr>
                <w:b/>
                <w:noProof/>
                <w:sz w:val="20"/>
                <w:szCs w:val="20"/>
              </w:rPr>
            </w:pPr>
            <w:r>
              <w:rPr>
                <w:b/>
                <w:noProof/>
                <w:sz w:val="20"/>
                <w:szCs w:val="20"/>
              </w:rPr>
              <w:t>AC 22/02/19</w:t>
            </w:r>
          </w:p>
          <w:p>
            <w:pPr>
              <w:spacing w:before="0" w:after="0"/>
              <w:ind w:right="-180"/>
              <w:jc w:val="left"/>
              <w:rPr>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2019/1304 of 26 July 2019 authorising the placing on the market of products containing, consisting of or produced from genetically modified maize 4114 (DP-ØØ4114-3),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SANTE/11353/2018</w:t>
            </w:r>
          </w:p>
          <w:p>
            <w:pPr>
              <w:spacing w:before="0" w:after="0"/>
              <w:ind w:left="720"/>
              <w:rPr>
                <w:noProof/>
                <w:sz w:val="20"/>
                <w:szCs w:val="20"/>
              </w:rPr>
            </w:pPr>
            <w:hyperlink r:id="rId34" w:history="1">
              <w:r>
                <w:rPr>
                  <w:rStyle w:val="Hyperlink"/>
                  <w:noProof/>
                  <w:color w:val="auto"/>
                  <w:sz w:val="20"/>
                  <w:szCs w:val="20"/>
                  <w:u w:val="none"/>
                </w:rPr>
                <w:t>Adopted on 26 July 2019</w:t>
              </w:r>
            </w:hyperlink>
          </w:p>
        </w:tc>
      </w:tr>
      <w:tr>
        <w:tc>
          <w:tcPr>
            <w:tcW w:w="1719" w:type="dxa"/>
          </w:tcPr>
          <w:p>
            <w:pPr>
              <w:spacing w:before="0" w:after="0"/>
              <w:ind w:right="-180"/>
              <w:jc w:val="left"/>
              <w:rPr>
                <w:b/>
                <w:noProof/>
                <w:sz w:val="20"/>
                <w:szCs w:val="20"/>
              </w:rPr>
            </w:pPr>
            <w:r>
              <w:rPr>
                <w:b/>
                <w:noProof/>
                <w:sz w:val="20"/>
                <w:szCs w:val="20"/>
              </w:rPr>
              <w:t>AC 22/02/19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2019/1308 of 26 July 2019 authorising the placing on the market of products containing, consisting of or produced from genetically modified maize MON 87411 (MON-87411-9),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SANTE/11411/2018</w:t>
            </w:r>
          </w:p>
          <w:p>
            <w:pPr>
              <w:spacing w:before="0" w:after="0"/>
              <w:ind w:left="720"/>
              <w:rPr>
                <w:noProof/>
                <w:sz w:val="20"/>
                <w:szCs w:val="20"/>
              </w:rPr>
            </w:pPr>
            <w:hyperlink r:id="rId35" w:history="1">
              <w:r>
                <w:rPr>
                  <w:rStyle w:val="Hyperlink"/>
                  <w:noProof/>
                  <w:color w:val="auto"/>
                  <w:sz w:val="20"/>
                  <w:szCs w:val="20"/>
                  <w:u w:val="none"/>
                </w:rPr>
                <w:t>Adopted on 26 July 2019</w:t>
              </w:r>
            </w:hyperlink>
          </w:p>
        </w:tc>
      </w:tr>
      <w:tr>
        <w:tc>
          <w:tcPr>
            <w:tcW w:w="1719" w:type="dxa"/>
          </w:tcPr>
          <w:p>
            <w:pPr>
              <w:spacing w:before="0" w:after="0"/>
              <w:ind w:right="-180"/>
              <w:jc w:val="left"/>
              <w:rPr>
                <w:b/>
                <w:noProof/>
                <w:sz w:val="20"/>
                <w:szCs w:val="20"/>
              </w:rPr>
            </w:pPr>
            <w:r>
              <w:rPr>
                <w:b/>
                <w:noProof/>
                <w:sz w:val="20"/>
                <w:szCs w:val="20"/>
              </w:rPr>
              <w:t>AC 22/02/19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2019/1305 of 26 July 2019 authorising the placing on the market of products containing, consisting of or produced from genetically modified maize Bt11 × MIR162 × 1507 × GA21 and sub-combinations Bt11 × MIR162 × 1507, MIR162 × 1507 × GA21 and MIR162 × 1507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SANTE/11412/2018</w:t>
            </w:r>
          </w:p>
          <w:p>
            <w:pPr>
              <w:spacing w:before="0" w:after="0"/>
              <w:ind w:left="720"/>
              <w:rPr>
                <w:noProof/>
                <w:sz w:val="20"/>
                <w:szCs w:val="20"/>
              </w:rPr>
            </w:pPr>
            <w:hyperlink r:id="rId36" w:history="1">
              <w:r>
                <w:rPr>
                  <w:rStyle w:val="Hyperlink"/>
                  <w:noProof/>
                  <w:color w:val="auto"/>
                  <w:sz w:val="20"/>
                  <w:szCs w:val="20"/>
                  <w:u w:val="none"/>
                </w:rPr>
                <w:t>Adopted on 26 July 2019</w:t>
              </w:r>
            </w:hyperlink>
          </w:p>
        </w:tc>
      </w:tr>
      <w:tr>
        <w:tc>
          <w:tcPr>
            <w:tcW w:w="1719" w:type="dxa"/>
          </w:tcPr>
          <w:p>
            <w:pPr>
              <w:spacing w:before="0" w:after="0"/>
              <w:ind w:right="-180"/>
              <w:jc w:val="left"/>
              <w:rPr>
                <w:b/>
                <w:noProof/>
                <w:sz w:val="20"/>
                <w:szCs w:val="20"/>
              </w:rPr>
            </w:pPr>
            <w:r>
              <w:rPr>
                <w:b/>
                <w:noProof/>
                <w:sz w:val="20"/>
                <w:szCs w:val="20"/>
              </w:rPr>
              <w:t>AC 11/04/19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Regulation (EU) 2019/989 of 17 June 2019 concerning the non-renewal of approval of the active substance chlorpropham, in accordance with Regulation (EC) No 1107/2009 of the European Parliament and of the Council concerning the placing of plant protection products on the market, and amending the Annex to Commission Implementing Regulation (EU) No 540/2011</w:t>
            </w:r>
          </w:p>
        </w:tc>
        <w:tc>
          <w:tcPr>
            <w:tcW w:w="3600" w:type="dxa"/>
          </w:tcPr>
          <w:p>
            <w:pPr>
              <w:spacing w:before="0" w:after="0"/>
              <w:ind w:left="720"/>
              <w:rPr>
                <w:noProof/>
                <w:sz w:val="20"/>
                <w:szCs w:val="20"/>
              </w:rPr>
            </w:pPr>
            <w:r>
              <w:rPr>
                <w:noProof/>
                <w:sz w:val="20"/>
                <w:szCs w:val="20"/>
              </w:rPr>
              <w:t>SANTE/11965/2017</w:t>
            </w:r>
          </w:p>
          <w:p>
            <w:pPr>
              <w:spacing w:before="0" w:after="0"/>
              <w:ind w:left="720"/>
              <w:rPr>
                <w:noProof/>
                <w:sz w:val="20"/>
                <w:szCs w:val="20"/>
              </w:rPr>
            </w:pPr>
            <w:hyperlink r:id="rId37" w:history="1">
              <w:r>
                <w:rPr>
                  <w:rStyle w:val="Hyperlink"/>
                  <w:noProof/>
                  <w:color w:val="auto"/>
                  <w:sz w:val="20"/>
                  <w:szCs w:val="20"/>
                  <w:u w:val="none"/>
                </w:rPr>
                <w:t>Adopted on 17 June 2019</w:t>
              </w:r>
            </w:hyperlink>
          </w:p>
        </w:tc>
      </w:tr>
      <w:tr>
        <w:tc>
          <w:tcPr>
            <w:tcW w:w="1719" w:type="dxa"/>
          </w:tcPr>
          <w:p>
            <w:pPr>
              <w:spacing w:before="0" w:after="0"/>
              <w:ind w:right="-180"/>
              <w:jc w:val="left"/>
              <w:rPr>
                <w:b/>
                <w:noProof/>
                <w:sz w:val="20"/>
                <w:szCs w:val="20"/>
              </w:rPr>
            </w:pPr>
            <w:r>
              <w:rPr>
                <w:b/>
                <w:noProof/>
                <w:sz w:val="20"/>
                <w:szCs w:val="20"/>
              </w:rPr>
              <w:t>AC 11/04/19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2019/1309 of 26 July 2019 authorising the placing on the market of products containing, consisting of or produced from genetically modified soybean MON 87751 (MON-87751-7),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SANTE/11491/2018</w:t>
            </w:r>
          </w:p>
          <w:p>
            <w:pPr>
              <w:spacing w:before="0" w:after="0"/>
              <w:ind w:left="720"/>
              <w:rPr>
                <w:noProof/>
                <w:sz w:val="20"/>
                <w:szCs w:val="20"/>
              </w:rPr>
            </w:pPr>
            <w:hyperlink r:id="rId38" w:history="1">
              <w:r>
                <w:rPr>
                  <w:rStyle w:val="Hyperlink"/>
                  <w:noProof/>
                  <w:color w:val="auto"/>
                  <w:sz w:val="20"/>
                  <w:szCs w:val="20"/>
                  <w:u w:val="none"/>
                </w:rPr>
                <w:t>Adopted on 26 July 2019</w:t>
              </w:r>
            </w:hyperlink>
            <w:r>
              <w:rPr>
                <w:noProof/>
                <w:sz w:val="20"/>
                <w:szCs w:val="20"/>
              </w:rPr>
              <w:t xml:space="preserve"> </w:t>
            </w:r>
          </w:p>
        </w:tc>
      </w:tr>
      <w:tr>
        <w:tc>
          <w:tcPr>
            <w:tcW w:w="1719" w:type="dxa"/>
          </w:tcPr>
          <w:p>
            <w:pPr>
              <w:spacing w:before="0" w:after="0"/>
              <w:ind w:right="-180"/>
              <w:jc w:val="left"/>
              <w:rPr>
                <w:b/>
                <w:noProof/>
                <w:sz w:val="20"/>
                <w:szCs w:val="20"/>
              </w:rPr>
            </w:pPr>
            <w:r>
              <w:rPr>
                <w:b/>
                <w:noProof/>
                <w:sz w:val="20"/>
                <w:szCs w:val="20"/>
              </w:rPr>
              <w:t>AC 11/04/19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2019/1306 of 26 July 2019 renewing the authorisation for the placing on the market of products containing, consisting of or produced from genetically modified maize 1507 × NK603 (DAS-Ø15Ø7-1 × MON-ØØ6Ø3-6)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SANTE/11575/2018</w:t>
            </w:r>
          </w:p>
          <w:p>
            <w:pPr>
              <w:spacing w:before="0" w:after="0"/>
              <w:ind w:left="720"/>
              <w:rPr>
                <w:noProof/>
                <w:sz w:val="20"/>
                <w:szCs w:val="20"/>
              </w:rPr>
            </w:pPr>
            <w:hyperlink r:id="rId39" w:history="1">
              <w:r>
                <w:rPr>
                  <w:rStyle w:val="Hyperlink"/>
                  <w:noProof/>
                  <w:color w:val="auto"/>
                  <w:sz w:val="20"/>
                  <w:szCs w:val="20"/>
                  <w:u w:val="none"/>
                </w:rPr>
                <w:t>Adopted on 26 July 2019</w:t>
              </w:r>
            </w:hyperlink>
          </w:p>
        </w:tc>
      </w:tr>
      <w:tr>
        <w:tc>
          <w:tcPr>
            <w:tcW w:w="1719" w:type="dxa"/>
          </w:tcPr>
          <w:p>
            <w:pPr>
              <w:spacing w:before="0" w:after="0"/>
              <w:ind w:right="-180"/>
              <w:jc w:val="left"/>
              <w:rPr>
                <w:b/>
                <w:noProof/>
                <w:sz w:val="20"/>
                <w:szCs w:val="20"/>
              </w:rPr>
            </w:pPr>
            <w:r>
              <w:rPr>
                <w:b/>
                <w:noProof/>
                <w:sz w:val="20"/>
                <w:szCs w:val="20"/>
              </w:rPr>
              <w:t>AC 05/06/19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2019/2080 of 28 November 2019 authorising the placing on the market of products containing, consisting of or produced from genetically modified maize MZHG0JG (SYN-ØØØJG-2),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SANTE/10306/2019</w:t>
            </w:r>
          </w:p>
          <w:p>
            <w:pPr>
              <w:spacing w:before="0" w:after="0"/>
              <w:ind w:left="720"/>
              <w:rPr>
                <w:noProof/>
                <w:sz w:val="20"/>
                <w:szCs w:val="20"/>
              </w:rPr>
            </w:pPr>
            <w:hyperlink r:id="rId40" w:history="1">
              <w:r>
                <w:rPr>
                  <w:rStyle w:val="Hyperlink"/>
                  <w:noProof/>
                  <w:color w:val="auto"/>
                  <w:sz w:val="20"/>
                  <w:szCs w:val="20"/>
                  <w:u w:val="none"/>
                </w:rPr>
                <w:t>Adopted on 28 November 2019</w:t>
              </w:r>
            </w:hyperlink>
          </w:p>
        </w:tc>
      </w:tr>
      <w:tr>
        <w:tc>
          <w:tcPr>
            <w:tcW w:w="1719" w:type="dxa"/>
          </w:tcPr>
          <w:p>
            <w:pPr>
              <w:spacing w:before="0" w:after="0"/>
              <w:ind w:right="-180"/>
              <w:jc w:val="left"/>
              <w:rPr>
                <w:b/>
                <w:noProof/>
                <w:sz w:val="20"/>
                <w:szCs w:val="20"/>
              </w:rPr>
            </w:pPr>
            <w:r>
              <w:rPr>
                <w:b/>
                <w:noProof/>
                <w:sz w:val="20"/>
                <w:szCs w:val="20"/>
              </w:rPr>
              <w:t>AC 05/06/19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2019/2082 of 28 November 2019 renewing the authorisation for the placing on the market of products containing, consisting of or produced from genetically modified cotton LLCotton25 (ACS-GHØØ1-3)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SANTE/10368/2019</w:t>
            </w:r>
          </w:p>
          <w:p>
            <w:pPr>
              <w:spacing w:before="0" w:after="0"/>
              <w:ind w:left="720"/>
              <w:rPr>
                <w:noProof/>
                <w:sz w:val="20"/>
                <w:szCs w:val="20"/>
              </w:rPr>
            </w:pPr>
            <w:hyperlink r:id="rId41" w:history="1">
              <w:r>
                <w:rPr>
                  <w:rStyle w:val="Hyperlink"/>
                  <w:noProof/>
                  <w:color w:val="auto"/>
                  <w:sz w:val="20"/>
                  <w:szCs w:val="20"/>
                  <w:u w:val="none"/>
                </w:rPr>
                <w:t>Adopted on 28 November 2019</w:t>
              </w:r>
            </w:hyperlink>
          </w:p>
        </w:tc>
      </w:tr>
      <w:tr>
        <w:tc>
          <w:tcPr>
            <w:tcW w:w="1719" w:type="dxa"/>
          </w:tcPr>
          <w:p>
            <w:pPr>
              <w:spacing w:before="0" w:after="0"/>
              <w:ind w:right="-180"/>
              <w:jc w:val="left"/>
              <w:rPr>
                <w:b/>
                <w:noProof/>
                <w:sz w:val="20"/>
                <w:szCs w:val="20"/>
              </w:rPr>
            </w:pPr>
            <w:r>
              <w:rPr>
                <w:b/>
                <w:noProof/>
                <w:sz w:val="20"/>
                <w:szCs w:val="20"/>
              </w:rPr>
              <w:t>AC 05/06/19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2019/2083 of 28 November 2019 renewing the authorisation for the placing on the market of products containing, consisting of or produced from genetically modified soybean MON 89788 (MON-89788-1)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SANTE/10258/2019</w:t>
            </w:r>
          </w:p>
          <w:p>
            <w:pPr>
              <w:spacing w:before="0" w:after="0"/>
              <w:ind w:left="720"/>
              <w:rPr>
                <w:noProof/>
                <w:sz w:val="20"/>
                <w:szCs w:val="20"/>
              </w:rPr>
            </w:pPr>
            <w:hyperlink r:id="rId42" w:history="1">
              <w:r>
                <w:rPr>
                  <w:rStyle w:val="Hyperlink"/>
                  <w:noProof/>
                  <w:color w:val="auto"/>
                  <w:sz w:val="20"/>
                  <w:szCs w:val="20"/>
                  <w:u w:val="none"/>
                </w:rPr>
                <w:t>Adopted on 28 November 2019</w:t>
              </w:r>
            </w:hyperlink>
          </w:p>
        </w:tc>
      </w:tr>
      <w:tr>
        <w:tc>
          <w:tcPr>
            <w:tcW w:w="1719" w:type="dxa"/>
            <w:vMerge w:val="restart"/>
          </w:tcPr>
          <w:p>
            <w:pPr>
              <w:spacing w:before="0" w:after="0"/>
              <w:ind w:right="-180"/>
              <w:jc w:val="left"/>
              <w:rPr>
                <w:b/>
                <w:noProof/>
                <w:sz w:val="20"/>
                <w:szCs w:val="20"/>
              </w:rPr>
            </w:pPr>
            <w:r>
              <w:rPr>
                <w:b/>
                <w:noProof/>
                <w:sz w:val="20"/>
                <w:szCs w:val="20"/>
              </w:rPr>
              <w:t>AC 12/07/19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2019/2084 of 28 November 2019 renewing the authorisation for the placing on the market of products containing, consisting of or produced from genetically modified soybean A2704-12 (ACS-GMØØ5-3)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SANTE/10778/2019</w:t>
            </w:r>
          </w:p>
          <w:p>
            <w:pPr>
              <w:spacing w:before="0" w:after="0"/>
              <w:ind w:left="720"/>
              <w:rPr>
                <w:noProof/>
                <w:sz w:val="20"/>
                <w:szCs w:val="20"/>
              </w:rPr>
            </w:pPr>
            <w:hyperlink r:id="rId43" w:history="1">
              <w:r>
                <w:rPr>
                  <w:rStyle w:val="Hyperlink"/>
                  <w:noProof/>
                  <w:color w:val="auto"/>
                  <w:sz w:val="20"/>
                  <w:szCs w:val="20"/>
                  <w:u w:val="none"/>
                </w:rPr>
                <w:t>Adopted on 28 November 2019</w:t>
              </w:r>
            </w:hyperlink>
          </w:p>
          <w:p>
            <w:pPr>
              <w:spacing w:before="0" w:after="0"/>
              <w:ind w:left="720"/>
              <w:rPr>
                <w:noProof/>
                <w:sz w:val="20"/>
                <w:szCs w:val="20"/>
              </w:rPr>
            </w:pPr>
          </w:p>
        </w:tc>
      </w:tr>
      <w:tr>
        <w:tc>
          <w:tcPr>
            <w:tcW w:w="1719" w:type="dxa"/>
            <w:vMerge/>
          </w:tcPr>
          <w:p>
            <w:pPr>
              <w:spacing w:before="0" w:after="0"/>
              <w:ind w:right="-180"/>
              <w:jc w:val="left"/>
              <w:rPr>
                <w:b/>
                <w:noProof/>
                <w:sz w:val="20"/>
                <w:szCs w:val="20"/>
              </w:rPr>
            </w:pPr>
          </w:p>
        </w:tc>
        <w:tc>
          <w:tcPr>
            <w:tcW w:w="8469" w:type="dxa"/>
          </w:tcPr>
          <w:p>
            <w:pPr>
              <w:spacing w:before="0" w:after="0"/>
              <w:ind w:left="720"/>
              <w:rPr>
                <w:noProof/>
                <w:sz w:val="20"/>
                <w:szCs w:val="20"/>
              </w:rPr>
            </w:pPr>
            <w:r>
              <w:rPr>
                <w:noProof/>
                <w:sz w:val="20"/>
                <w:szCs w:val="20"/>
              </w:rPr>
              <w:t>Commission Implementing Decision (EU) 2019/2081 of 28 November 2019 renewing the authorisation for the placing on the market of products containing or produced from genetically modified oilseed rape T45 (ACS-BNØØ8-2), resulting from the commercialisation of this oilseed rape in third countries until 2005,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SANTE/10674/2019</w:t>
            </w:r>
          </w:p>
          <w:p>
            <w:pPr>
              <w:spacing w:before="0" w:after="0"/>
              <w:ind w:left="720"/>
              <w:rPr>
                <w:noProof/>
                <w:sz w:val="20"/>
                <w:szCs w:val="20"/>
              </w:rPr>
            </w:pPr>
            <w:hyperlink r:id="rId44" w:history="1">
              <w:r>
                <w:rPr>
                  <w:rStyle w:val="Hyperlink"/>
                  <w:noProof/>
                  <w:color w:val="auto"/>
                  <w:sz w:val="20"/>
                  <w:szCs w:val="20"/>
                  <w:u w:val="none"/>
                </w:rPr>
                <w:t>Adopted on 28 November 2019</w:t>
              </w:r>
            </w:hyperlink>
          </w:p>
          <w:p>
            <w:pPr>
              <w:spacing w:before="0" w:after="0"/>
              <w:ind w:left="720"/>
              <w:rPr>
                <w:noProof/>
                <w:sz w:val="20"/>
                <w:szCs w:val="20"/>
              </w:rPr>
            </w:pPr>
          </w:p>
        </w:tc>
      </w:tr>
      <w:tr>
        <w:tc>
          <w:tcPr>
            <w:tcW w:w="1719" w:type="dxa"/>
            <w:vMerge w:val="restart"/>
          </w:tcPr>
          <w:p>
            <w:pPr>
              <w:spacing w:before="0" w:after="0"/>
              <w:ind w:right="-180"/>
              <w:jc w:val="left"/>
              <w:rPr>
                <w:b/>
                <w:noProof/>
                <w:sz w:val="20"/>
                <w:szCs w:val="20"/>
              </w:rPr>
            </w:pPr>
            <w:r>
              <w:rPr>
                <w:b/>
                <w:noProof/>
                <w:sz w:val="20"/>
                <w:szCs w:val="20"/>
              </w:rPr>
              <w:t>AC 16/09/19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2019/2086 of 28 November 2019 authorising the placing on the market of products containing, consisting of or produced from genetically modified maize MON 89034 × 1507 × MON 88017 × 59122 × DAS-40278-9 and genetically modified maize combining two, three or four of the single events MON 89034, 1507, MON 88017, 59122 and DAS-40278-9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SANTE/10948/2019</w:t>
            </w:r>
          </w:p>
          <w:p>
            <w:pPr>
              <w:spacing w:before="0" w:after="0"/>
              <w:ind w:left="720"/>
              <w:rPr>
                <w:noProof/>
                <w:sz w:val="20"/>
                <w:szCs w:val="20"/>
              </w:rPr>
            </w:pPr>
            <w:hyperlink r:id="rId45" w:history="1">
              <w:r>
                <w:rPr>
                  <w:rStyle w:val="Hyperlink"/>
                  <w:noProof/>
                  <w:color w:val="auto"/>
                  <w:sz w:val="20"/>
                  <w:szCs w:val="20"/>
                  <w:u w:val="none"/>
                </w:rPr>
                <w:t>Adopted on 28 November 2019</w:t>
              </w:r>
            </w:hyperlink>
          </w:p>
        </w:tc>
      </w:tr>
      <w:tr>
        <w:tc>
          <w:tcPr>
            <w:tcW w:w="1719" w:type="dxa"/>
            <w:vMerge/>
          </w:tcPr>
          <w:p>
            <w:pPr>
              <w:spacing w:before="0" w:after="0"/>
              <w:ind w:right="-180"/>
              <w:jc w:val="left"/>
              <w:rPr>
                <w:b/>
                <w:noProof/>
                <w:sz w:val="20"/>
                <w:szCs w:val="20"/>
              </w:rPr>
            </w:pPr>
          </w:p>
        </w:tc>
        <w:tc>
          <w:tcPr>
            <w:tcW w:w="8469" w:type="dxa"/>
          </w:tcPr>
          <w:p>
            <w:pPr>
              <w:spacing w:before="0" w:after="0"/>
              <w:ind w:left="720"/>
              <w:rPr>
                <w:noProof/>
                <w:sz w:val="20"/>
                <w:szCs w:val="20"/>
              </w:rPr>
            </w:pPr>
            <w:r>
              <w:rPr>
                <w:noProof/>
                <w:sz w:val="20"/>
                <w:szCs w:val="20"/>
              </w:rPr>
              <w:t>Commission Implementing Decision (EU) 2019/2085 of 28 November 2019 authorising the placing on the market of products containing, consisting of or produced from genetically modified maize MON 89034 × 1507 × NK603 × DAS-40278-9 and sub-combinations MON 89034 × NK603 × DAS-40278-9, 1507 × NK603 × DAS-40278-9 and NK603 × DAS-40278-9 pursuant to Regulation (EC) No 1829/2003 of the European Parliament and of the Council</w:t>
            </w:r>
          </w:p>
        </w:tc>
        <w:tc>
          <w:tcPr>
            <w:tcW w:w="3600" w:type="dxa"/>
          </w:tcPr>
          <w:p>
            <w:pPr>
              <w:spacing w:before="0" w:after="0"/>
              <w:ind w:left="720"/>
              <w:rPr>
                <w:noProof/>
                <w:sz w:val="20"/>
                <w:szCs w:val="20"/>
              </w:rPr>
            </w:pPr>
            <w:r>
              <w:rPr>
                <w:noProof/>
                <w:sz w:val="20"/>
                <w:szCs w:val="20"/>
              </w:rPr>
              <w:t>SANTE/10862/2019</w:t>
            </w:r>
          </w:p>
          <w:p>
            <w:pPr>
              <w:spacing w:before="0" w:after="0"/>
              <w:ind w:left="720"/>
              <w:rPr>
                <w:noProof/>
                <w:sz w:val="20"/>
                <w:szCs w:val="20"/>
              </w:rPr>
            </w:pPr>
            <w:hyperlink r:id="rId46" w:history="1">
              <w:r>
                <w:rPr>
                  <w:rStyle w:val="Hyperlink"/>
                  <w:noProof/>
                  <w:color w:val="auto"/>
                  <w:sz w:val="20"/>
                  <w:szCs w:val="20"/>
                  <w:u w:val="none"/>
                </w:rPr>
                <w:t>Adopted on 28 November 2019</w:t>
              </w:r>
            </w:hyperlink>
          </w:p>
        </w:tc>
      </w:tr>
      <w:tr>
        <w:tc>
          <w:tcPr>
            <w:tcW w:w="1719" w:type="dxa"/>
          </w:tcPr>
          <w:p>
            <w:pPr>
              <w:spacing w:before="0" w:after="0"/>
              <w:ind w:right="-180"/>
              <w:jc w:val="left"/>
              <w:rPr>
                <w:b/>
                <w:noProof/>
                <w:sz w:val="20"/>
                <w:szCs w:val="20"/>
              </w:rPr>
            </w:pPr>
            <w:r>
              <w:rPr>
                <w:b/>
                <w:noProof/>
                <w:sz w:val="20"/>
                <w:szCs w:val="20"/>
              </w:rPr>
              <w:t>AC 11/10/19</w:t>
            </w:r>
          </w:p>
          <w:p>
            <w:pPr>
              <w:spacing w:before="0" w:after="0"/>
              <w:ind w:right="-180"/>
              <w:jc w:val="left"/>
              <w:rPr>
                <w:b/>
                <w:noProof/>
                <w:sz w:val="20"/>
                <w:szCs w:val="20"/>
              </w:rPr>
            </w:pPr>
            <w:r>
              <w:rPr>
                <w:b/>
                <w:noProof/>
                <w:sz w:val="20"/>
                <w:szCs w:val="20"/>
              </w:rPr>
              <w:t>No opinion</w:t>
            </w:r>
          </w:p>
        </w:tc>
        <w:tc>
          <w:tcPr>
            <w:tcW w:w="8469" w:type="dxa"/>
          </w:tcPr>
          <w:p>
            <w:pPr>
              <w:spacing w:before="0" w:after="0"/>
              <w:ind w:left="720"/>
              <w:rPr>
                <w:noProof/>
                <w:sz w:val="20"/>
                <w:szCs w:val="20"/>
              </w:rPr>
            </w:pPr>
            <w:r>
              <w:rPr>
                <w:noProof/>
                <w:sz w:val="20"/>
                <w:szCs w:val="20"/>
              </w:rPr>
              <w:t>Commission Implementing Decision (EU) 2019/2087 of 28 November 2019 authorising the placing on the market of products containing, consisting of or produced from genetically modified maize Bt11 × MIR162 × MIR604 × 1507 × 5307 × GA21 and genetically modified maize combining two, three, four or five of the single events Bt11, MIR162, MIR604, 1507, 5307 and GA21 pursuant to Regulation (EC) No 1829/2003 of the European Parliament and of the Council</w:t>
            </w:r>
          </w:p>
        </w:tc>
        <w:tc>
          <w:tcPr>
            <w:tcW w:w="3600" w:type="dxa"/>
          </w:tcPr>
          <w:p>
            <w:pPr>
              <w:spacing w:before="0" w:after="0"/>
              <w:ind w:left="720"/>
              <w:rPr>
                <w:rStyle w:val="Hyperlink"/>
                <w:noProof/>
                <w:color w:val="auto"/>
                <w:sz w:val="20"/>
                <w:szCs w:val="20"/>
                <w:u w:val="none"/>
              </w:rPr>
            </w:pPr>
            <w:r>
              <w:rPr>
                <w:rStyle w:val="Hyperlink"/>
                <w:noProof/>
                <w:color w:val="auto"/>
                <w:sz w:val="20"/>
                <w:szCs w:val="20"/>
                <w:u w:val="none"/>
              </w:rPr>
              <w:t>SANTE/11496/2019</w:t>
            </w:r>
          </w:p>
          <w:p>
            <w:pPr>
              <w:spacing w:before="0" w:after="0"/>
              <w:ind w:left="720"/>
              <w:rPr>
                <w:rStyle w:val="Hyperlink"/>
                <w:noProof/>
                <w:color w:val="auto"/>
                <w:sz w:val="20"/>
                <w:szCs w:val="20"/>
                <w:u w:val="none"/>
              </w:rPr>
            </w:pPr>
            <w:hyperlink r:id="rId47" w:history="1">
              <w:r>
                <w:rPr>
                  <w:rStyle w:val="Hyperlink"/>
                  <w:noProof/>
                  <w:color w:val="auto"/>
                  <w:sz w:val="20"/>
                  <w:szCs w:val="20"/>
                  <w:u w:val="none"/>
                </w:rPr>
                <w:t>Adopted on 28 November 2019</w:t>
              </w:r>
            </w:hyperlink>
          </w:p>
        </w:tc>
      </w:tr>
      <w:tr>
        <w:trPr>
          <w:trHeight w:val="1379"/>
        </w:trPr>
        <w:tc>
          <w:tcPr>
            <w:tcW w:w="1719" w:type="dxa"/>
          </w:tcPr>
          <w:p>
            <w:pPr>
              <w:spacing w:before="0" w:after="0"/>
              <w:ind w:right="-180"/>
              <w:jc w:val="left"/>
              <w:rPr>
                <w:b/>
                <w:noProof/>
                <w:sz w:val="20"/>
                <w:szCs w:val="20"/>
              </w:rPr>
            </w:pPr>
            <w:r>
              <w:rPr>
                <w:b/>
                <w:noProof/>
                <w:sz w:val="20"/>
                <w:szCs w:val="20"/>
              </w:rPr>
              <w:t>AC 11/04/2019 (together with GMF)</w:t>
            </w:r>
          </w:p>
          <w:p>
            <w:pPr>
              <w:spacing w:before="0" w:after="0"/>
              <w:ind w:right="-180"/>
              <w:jc w:val="left"/>
              <w:rPr>
                <w:noProof/>
                <w:sz w:val="20"/>
                <w:szCs w:val="20"/>
                <w:lang w:val="en-US"/>
              </w:rPr>
            </w:pPr>
            <w:r>
              <w:rPr>
                <w:b/>
                <w:noProof/>
                <w:sz w:val="20"/>
                <w:szCs w:val="20"/>
              </w:rPr>
              <w:t>No opinion</w:t>
            </w:r>
          </w:p>
        </w:tc>
        <w:tc>
          <w:tcPr>
            <w:tcW w:w="8469" w:type="dxa"/>
          </w:tcPr>
          <w:p>
            <w:pPr>
              <w:pStyle w:val="ListParagraph"/>
              <w:numPr>
                <w:ilvl w:val="0"/>
                <w:numId w:val="36"/>
              </w:numPr>
              <w:spacing w:before="0" w:after="0"/>
              <w:rPr>
                <w:noProof/>
                <w:sz w:val="20"/>
                <w:szCs w:val="20"/>
                <w:lang w:val="en-US"/>
              </w:rPr>
            </w:pPr>
            <w:r>
              <w:rPr>
                <w:noProof/>
                <w:sz w:val="20"/>
                <w:szCs w:val="20"/>
                <w:lang w:val="en-US"/>
              </w:rPr>
              <w:t>COMMISSION IMPLEMENTING REGULATION (EU) …/... of XXX concerning the non-renewal of approval of the active substance chlorpropham, in accordance with Regulation (EC) No 1107/2009 of the European Parliament and of the Council concerning the placing of plant protection products on the market, and amending the Annex to Commission Implementing Regulation (EU) No 540/2011</w:t>
            </w:r>
          </w:p>
        </w:tc>
        <w:tc>
          <w:tcPr>
            <w:tcW w:w="3600" w:type="dxa"/>
          </w:tcPr>
          <w:p>
            <w:pPr>
              <w:spacing w:before="0" w:after="0"/>
              <w:ind w:left="720"/>
              <w:rPr>
                <w:rStyle w:val="Hyperlink"/>
                <w:noProof/>
                <w:color w:val="auto"/>
                <w:sz w:val="20"/>
                <w:szCs w:val="20"/>
                <w:u w:val="none"/>
              </w:rPr>
            </w:pPr>
            <w:r>
              <w:rPr>
                <w:rStyle w:val="Hyperlink"/>
                <w:noProof/>
                <w:color w:val="auto"/>
                <w:sz w:val="20"/>
                <w:szCs w:val="20"/>
                <w:u w:val="none"/>
              </w:rPr>
              <w:t>SANTE/11965/2017</w:t>
            </w:r>
          </w:p>
          <w:p>
            <w:pPr>
              <w:spacing w:before="0" w:after="0"/>
              <w:ind w:left="720"/>
              <w:rPr>
                <w:rStyle w:val="Hyperlink"/>
                <w:noProof/>
                <w:color w:val="auto"/>
                <w:sz w:val="20"/>
                <w:szCs w:val="20"/>
                <w:u w:val="none"/>
              </w:rPr>
            </w:pPr>
            <w:r>
              <w:rPr>
                <w:rStyle w:val="Hyperlink"/>
                <w:noProof/>
                <w:color w:val="auto"/>
                <w:sz w:val="20"/>
                <w:szCs w:val="20"/>
                <w:u w:val="none"/>
              </w:rPr>
              <w:t>Adopted on 17/06/2019</w:t>
            </w:r>
          </w:p>
        </w:tc>
      </w:tr>
      <w:tr>
        <w:trPr>
          <w:trHeight w:val="1187"/>
        </w:trPr>
        <w:tc>
          <w:tcPr>
            <w:tcW w:w="1719" w:type="dxa"/>
          </w:tcPr>
          <w:p>
            <w:pPr>
              <w:spacing w:before="0" w:after="0"/>
              <w:ind w:right="-180"/>
              <w:jc w:val="left"/>
              <w:rPr>
                <w:b/>
                <w:noProof/>
                <w:sz w:val="20"/>
                <w:szCs w:val="20"/>
              </w:rPr>
            </w:pPr>
            <w:r>
              <w:rPr>
                <w:b/>
                <w:noProof/>
                <w:sz w:val="20"/>
                <w:szCs w:val="20"/>
              </w:rPr>
              <w:t>AC 25/11/2019</w:t>
            </w:r>
          </w:p>
          <w:p>
            <w:pPr>
              <w:spacing w:before="0" w:after="0"/>
              <w:ind w:right="-180"/>
              <w:jc w:val="left"/>
              <w:rPr>
                <w:b/>
                <w:noProof/>
                <w:sz w:val="20"/>
                <w:szCs w:val="20"/>
              </w:rPr>
            </w:pPr>
            <w:r>
              <w:rPr>
                <w:b/>
                <w:noProof/>
                <w:sz w:val="20"/>
                <w:szCs w:val="20"/>
              </w:rPr>
              <w:t>No opinion</w:t>
            </w:r>
          </w:p>
        </w:tc>
        <w:tc>
          <w:tcPr>
            <w:tcW w:w="8469" w:type="dxa"/>
          </w:tcPr>
          <w:p>
            <w:pPr>
              <w:pStyle w:val="ListParagraph"/>
              <w:numPr>
                <w:ilvl w:val="0"/>
                <w:numId w:val="36"/>
              </w:numPr>
              <w:spacing w:before="0" w:after="0"/>
              <w:rPr>
                <w:noProof/>
                <w:sz w:val="20"/>
                <w:szCs w:val="20"/>
                <w:lang w:val="en-US"/>
              </w:rPr>
            </w:pPr>
            <w:r>
              <w:rPr>
                <w:noProof/>
                <w:sz w:val="20"/>
                <w:szCs w:val="20"/>
                <w:lang w:val="en-US"/>
              </w:rPr>
              <w:t>COMMISSION IMPLEMENTING DECISION (EU) …/… of XXX prohibiting Romania to repeat granting authorisations under Article 53(1) of Regulation (EC) No 1107/2009 for the plant protection products containing the active substance clothianidin or imidacloprid for use on Brassica napus against Phyllotreta spp. or Psylliodes spp.</w:t>
            </w:r>
          </w:p>
        </w:tc>
        <w:tc>
          <w:tcPr>
            <w:tcW w:w="3600" w:type="dxa"/>
          </w:tcPr>
          <w:p>
            <w:pPr>
              <w:spacing w:before="0" w:after="0"/>
              <w:ind w:left="720"/>
              <w:rPr>
                <w:rStyle w:val="Hyperlink"/>
                <w:noProof/>
                <w:color w:val="auto"/>
                <w:sz w:val="20"/>
                <w:szCs w:val="20"/>
                <w:u w:val="none"/>
              </w:rPr>
            </w:pPr>
            <w:r>
              <w:rPr>
                <w:rStyle w:val="Hyperlink"/>
                <w:noProof/>
                <w:color w:val="auto"/>
                <w:sz w:val="20"/>
                <w:szCs w:val="20"/>
                <w:u w:val="none"/>
              </w:rPr>
              <w:t>SANTE/10382/2019</w:t>
            </w:r>
          </w:p>
          <w:p>
            <w:pPr>
              <w:spacing w:before="0" w:after="0"/>
              <w:ind w:left="720"/>
              <w:rPr>
                <w:rStyle w:val="Hyperlink"/>
                <w:noProof/>
                <w:color w:val="auto"/>
                <w:sz w:val="20"/>
                <w:szCs w:val="20"/>
                <w:u w:val="none"/>
              </w:rPr>
            </w:pPr>
            <w:r>
              <w:rPr>
                <w:rStyle w:val="Hyperlink"/>
                <w:noProof/>
                <w:color w:val="auto"/>
                <w:sz w:val="20"/>
                <w:szCs w:val="20"/>
                <w:u w:val="none"/>
              </w:rPr>
              <w:t>Adopted on 03/02/2020</w:t>
            </w:r>
          </w:p>
        </w:tc>
      </w:tr>
      <w:tr>
        <w:trPr>
          <w:trHeight w:val="1187"/>
        </w:trPr>
        <w:tc>
          <w:tcPr>
            <w:tcW w:w="1719" w:type="dxa"/>
          </w:tcPr>
          <w:p>
            <w:pPr>
              <w:spacing w:before="0" w:after="0"/>
              <w:ind w:right="-180"/>
              <w:jc w:val="left"/>
              <w:rPr>
                <w:b/>
                <w:noProof/>
                <w:sz w:val="20"/>
                <w:szCs w:val="20"/>
              </w:rPr>
            </w:pPr>
            <w:r>
              <w:rPr>
                <w:b/>
                <w:noProof/>
                <w:sz w:val="20"/>
                <w:szCs w:val="20"/>
              </w:rPr>
              <w:t>AC 25/11/2019</w:t>
            </w:r>
          </w:p>
          <w:p>
            <w:pPr>
              <w:spacing w:before="0" w:after="0"/>
              <w:ind w:right="-180"/>
              <w:jc w:val="left"/>
              <w:rPr>
                <w:b/>
                <w:noProof/>
                <w:sz w:val="20"/>
                <w:szCs w:val="20"/>
              </w:rPr>
            </w:pPr>
            <w:r>
              <w:rPr>
                <w:b/>
                <w:noProof/>
                <w:sz w:val="20"/>
                <w:szCs w:val="20"/>
              </w:rPr>
              <w:t>No opinion</w:t>
            </w:r>
          </w:p>
        </w:tc>
        <w:tc>
          <w:tcPr>
            <w:tcW w:w="8469" w:type="dxa"/>
          </w:tcPr>
          <w:p>
            <w:pPr>
              <w:pStyle w:val="ListParagraph"/>
              <w:numPr>
                <w:ilvl w:val="0"/>
                <w:numId w:val="36"/>
              </w:numPr>
              <w:spacing w:before="0" w:after="0"/>
              <w:rPr>
                <w:noProof/>
                <w:sz w:val="20"/>
                <w:szCs w:val="20"/>
                <w:lang w:val="en-US"/>
              </w:rPr>
            </w:pPr>
            <w:r>
              <w:rPr>
                <w:noProof/>
                <w:sz w:val="20"/>
                <w:szCs w:val="20"/>
                <w:lang w:val="en-US"/>
              </w:rPr>
              <w:t>COMMISSION IMPLEMENTING DECISION (EU) …/… of XXX prohibiting Lithuania to repeat granting authorisations under Article 53(1) of Regulation (EC) No 1107/2009 for the plant protection products containing the active substance thiamethoxam for use on spring rape against Phyllotreta spp. and/or Psylliodes spp..</w:t>
            </w:r>
          </w:p>
        </w:tc>
        <w:tc>
          <w:tcPr>
            <w:tcW w:w="3600" w:type="dxa"/>
          </w:tcPr>
          <w:p>
            <w:pPr>
              <w:spacing w:before="0" w:after="0"/>
              <w:ind w:left="720"/>
              <w:rPr>
                <w:rStyle w:val="Hyperlink"/>
                <w:noProof/>
                <w:color w:val="auto"/>
                <w:sz w:val="20"/>
                <w:szCs w:val="20"/>
                <w:u w:val="none"/>
              </w:rPr>
            </w:pPr>
            <w:r>
              <w:rPr>
                <w:rStyle w:val="Hyperlink"/>
                <w:noProof/>
                <w:color w:val="auto"/>
                <w:sz w:val="20"/>
                <w:szCs w:val="20"/>
                <w:u w:val="none"/>
              </w:rPr>
              <w:t>SANTE/10388/2019</w:t>
            </w:r>
          </w:p>
          <w:p>
            <w:pPr>
              <w:spacing w:before="0" w:after="0"/>
              <w:ind w:left="720"/>
              <w:rPr>
                <w:rStyle w:val="Hyperlink"/>
                <w:noProof/>
                <w:color w:val="auto"/>
                <w:sz w:val="20"/>
                <w:szCs w:val="20"/>
                <w:u w:val="none"/>
              </w:rPr>
            </w:pPr>
            <w:r>
              <w:rPr>
                <w:rStyle w:val="Hyperlink"/>
                <w:noProof/>
                <w:color w:val="auto"/>
                <w:sz w:val="20"/>
                <w:szCs w:val="20"/>
                <w:u w:val="none"/>
              </w:rPr>
              <w:t>Adopted on 03/02/2020</w:t>
            </w:r>
          </w:p>
        </w:tc>
      </w:tr>
    </w:tbl>
    <w:p>
      <w:pPr>
        <w:spacing w:before="0" w:after="0"/>
        <w:rPr>
          <w:b/>
          <w:noProof/>
          <w:u w:val="single"/>
        </w:rPr>
      </w:pPr>
    </w:p>
    <w:p>
      <w:pPr>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36"/>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Paragraph"/>
        <w:numPr>
          <w:ilvl w:val="0"/>
          <w:numId w:val="40"/>
        </w:numPr>
        <w:rPr>
          <w:noProof/>
          <w:lang w:eastAsia="de-DE"/>
        </w:rPr>
      </w:pPr>
      <w:r>
        <w:rPr>
          <w:noProof/>
          <w:lang w:eastAsia="de-DE"/>
        </w:rPr>
        <w:t>Resolution on the draft Commission implementing decision amending Implementing Decision 2013/327/EU as regards the renewal of the authorisation to place on the market feed containing or consisting of genetically modified oilseed rapes Ms8, Rf3 and Ms8 × Rf3 (D059688/02-2019/2521(RSP))   </w:t>
      </w:r>
    </w:p>
    <w:p>
      <w:pPr>
        <w:pStyle w:val="ListParagraph"/>
        <w:numPr>
          <w:ilvl w:val="0"/>
          <w:numId w:val="40"/>
        </w:numPr>
        <w:rPr>
          <w:noProof/>
          <w:lang w:eastAsia="de-DE"/>
        </w:rPr>
      </w:pPr>
      <w:r>
        <w:rPr>
          <w:noProof/>
          <w:lang w:eastAsia="de-DE"/>
        </w:rPr>
        <w:t>Resolution on the draft Commission implementing decision authorising the placing on the market of products containing, consisting of or produced from genetically modified maize 5307 (SYN-Ø53Ø7-1) (D059689/02 - 2019/2522(RSP))</w:t>
      </w:r>
    </w:p>
    <w:p>
      <w:pPr>
        <w:pStyle w:val="ListParagraph"/>
        <w:numPr>
          <w:ilvl w:val="0"/>
          <w:numId w:val="40"/>
        </w:numPr>
        <w:rPr>
          <w:noProof/>
          <w:lang w:eastAsia="de-DE"/>
        </w:rPr>
      </w:pPr>
      <w:r>
        <w:rPr>
          <w:noProof/>
          <w:lang w:eastAsia="de-DE"/>
        </w:rPr>
        <w:t xml:space="preserve">Resolution on the draft Commission implementing decision authorising the placing on the market of products containing, consisting of or produced from genetically modified maize MON 87403 (MON-874Ø3-1) (D059691/02 - 2019/2523(RSP))  </w:t>
      </w:r>
    </w:p>
    <w:p>
      <w:pPr>
        <w:pStyle w:val="ListParagraph"/>
        <w:numPr>
          <w:ilvl w:val="0"/>
          <w:numId w:val="40"/>
        </w:numPr>
        <w:rPr>
          <w:noProof/>
          <w:lang w:eastAsia="de-DE"/>
        </w:rPr>
      </w:pPr>
      <w:r>
        <w:rPr>
          <w:noProof/>
          <w:lang w:eastAsia="de-DE"/>
        </w:rPr>
        <w:t>Resolution on the draft Commission implementing decision authorising the placing on the market of products containing, consisting of or produced from genetically modified cotton GHB614 × LLCotton25 × MON 15985  (D059692/02 - 2019/2524(RSP))</w:t>
      </w:r>
    </w:p>
    <w:p>
      <w:pPr>
        <w:pStyle w:val="ListParagraph"/>
        <w:numPr>
          <w:ilvl w:val="0"/>
          <w:numId w:val="40"/>
        </w:numPr>
        <w:rPr>
          <w:noProof/>
          <w:lang w:eastAsia="de-DE"/>
        </w:rPr>
      </w:pPr>
      <w:r>
        <w:rPr>
          <w:noProof/>
          <w:lang w:eastAsia="de-DE"/>
        </w:rPr>
        <w:t>Resolution on draft Commission implementing regulation amending Implementing Regulation (EU) No 540/2011 as regards the extension of the approval periods of the active substances abamectin, Bacillus subtilis (Cohn 1872) Strain QST 713, Bacillus thuringiensis subsp. Aizawai, Bacillus thuringiensis subsp. israeliensis, Bacillus thuringiensis subsp. kurstaki, Beauveria bassiana, benfluralin, clodinafop, clopyralid, Cydia pomonella Granulovirus (CpGV), cyprodinil, dichlorprop</w:t>
      </w:r>
      <w:r>
        <w:rPr>
          <w:noProof/>
          <w:lang w:eastAsia="de-DE"/>
        </w:rPr>
        <w:noBreakHyphen/>
        <w:t>P, epoxiconazole, fenpyroximate, fluazinam, flutolanil, fosetyl, Lecanicillium muscarium, mepanipyrim, mepiquat, Metarhizium anisopliae var. Anisopliae, metconazole, metrafenone, Phlebiopsis gigantea, pirimicarb, Pseudomonas chlororaphis strain: MA 342, pyrimethanil, Pythium oligandrum, rimsulfuron, spinosad, Streptomyces K61, thiacloprid, tolclofos</w:t>
      </w:r>
      <w:r>
        <w:rPr>
          <w:noProof/>
          <w:lang w:eastAsia="de-DE"/>
        </w:rPr>
        <w:noBreakHyphen/>
        <w:t xml:space="preserve">methyl, Trichoderma asperellum, Trichoderma atroviride, Trichoderma gamsii, Trichoderma harzianum, triclopyr, trinexapac, triticonazole, Verticillium albo-atrum and ziram  (D060042/02 - 2019/2541(RSP))  </w:t>
      </w:r>
    </w:p>
    <w:p>
      <w:pPr>
        <w:pStyle w:val="ListParagraph"/>
        <w:numPr>
          <w:ilvl w:val="0"/>
          <w:numId w:val="40"/>
        </w:numPr>
        <w:rPr>
          <w:noProof/>
          <w:lang w:eastAsia="de-DE"/>
        </w:rPr>
      </w:pPr>
      <w:r>
        <w:rPr>
          <w:noProof/>
          <w:lang w:eastAsia="de-DE"/>
        </w:rPr>
        <w:t>Resolution on the draft Commission implementing decision authorising the placing on the market of products containing, consisting of or produced from genetically modified maize 4114 (DP-ØØ4114-3)  (D060242/03 - 2019/2551(RSP))</w:t>
      </w:r>
    </w:p>
    <w:p>
      <w:pPr>
        <w:pStyle w:val="ListParagraph"/>
        <w:numPr>
          <w:ilvl w:val="0"/>
          <w:numId w:val="40"/>
        </w:numPr>
        <w:rPr>
          <w:noProof/>
          <w:lang w:eastAsia="de-DE"/>
        </w:rPr>
      </w:pPr>
      <w:r>
        <w:rPr>
          <w:noProof/>
          <w:lang w:eastAsia="de-DE"/>
        </w:rPr>
        <w:t>Resolution on the draft Commission implementing decision authorising the placing on the market of products containing, consisting of or produced from genetically modified maize MON 87411 (MON-87411-9)  (D060243/03 - 2019/2552(RSP))</w:t>
      </w:r>
    </w:p>
    <w:p>
      <w:pPr>
        <w:pStyle w:val="ListParagraph"/>
        <w:numPr>
          <w:ilvl w:val="0"/>
          <w:numId w:val="40"/>
        </w:numPr>
        <w:rPr>
          <w:noProof/>
          <w:lang w:eastAsia="de-DE"/>
        </w:rPr>
      </w:pPr>
      <w:r>
        <w:rPr>
          <w:noProof/>
          <w:lang w:eastAsia="de-DE"/>
        </w:rPr>
        <w:t xml:space="preserve">Resolution on the draft Commission implementing decision authorising the placing on the market of products containing, consisting of or produced from genetically modified maize Bt11 × MIR162 × 1507 × GA21 and sub-combinations Bt11 × MIR162 × 1507, MIR162 × 1507 × GA21 and MIR162 × 1507  (D060244/03 - 2019/2553(RSP))   </w:t>
      </w:r>
    </w:p>
    <w:p>
      <w:pPr>
        <w:pStyle w:val="ListParagraph"/>
        <w:numPr>
          <w:ilvl w:val="0"/>
          <w:numId w:val="40"/>
        </w:numPr>
        <w:rPr>
          <w:noProof/>
          <w:lang w:eastAsia="de-DE"/>
        </w:rPr>
      </w:pPr>
      <w:r>
        <w:rPr>
          <w:noProof/>
          <w:lang w:eastAsia="de-DE"/>
        </w:rPr>
        <w:t xml:space="preserve">Objection pursuant to Rule 106: placing on the market of products containing, consisting of or produced from genetically modified soybean MON 87751 (MON-87751-7) (D060916 - 2019/2603(RSP)) </w:t>
      </w:r>
    </w:p>
    <w:p>
      <w:pPr>
        <w:pStyle w:val="ListParagraph"/>
        <w:numPr>
          <w:ilvl w:val="0"/>
          <w:numId w:val="40"/>
        </w:numPr>
        <w:rPr>
          <w:noProof/>
          <w:lang w:eastAsia="de-DE"/>
        </w:rPr>
      </w:pPr>
      <w:r>
        <w:rPr>
          <w:noProof/>
          <w:lang w:eastAsia="de-DE"/>
        </w:rPr>
        <w:t xml:space="preserve">Objection pursuant to Rule 106: Authorisation for the placing on the market of products containing, consisting of or produced from genetically modified maize 1507 x NK603 (DAS-Ø15Ø7-1 x MON-ØØ6Ø3-6) (D060917 - 2019/2604(RSP))  </w:t>
      </w:r>
    </w:p>
    <w:p>
      <w:pPr>
        <w:pStyle w:val="ListParagraph"/>
        <w:numPr>
          <w:ilvl w:val="0"/>
          <w:numId w:val="40"/>
        </w:numPr>
        <w:rPr>
          <w:noProof/>
          <w:lang w:eastAsia="de-DE"/>
        </w:rPr>
      </w:pPr>
      <w:r>
        <w:rPr>
          <w:noProof/>
          <w:lang w:eastAsia="de-DE"/>
        </w:rPr>
        <w:t xml:space="preserve">Resolution on Commission Implementing Regulation (EU) 2019/707 of 7 May 2019 amending Implementing Regulation (EU) No 540/2011 as regards the extension of the approval periods of the active substances alpha-cypermethrin, beflubutamid, benalaxyl, benthiavalicarb, bifenazate, boscalid, bromoxynil, captan, cyazofamid, desmedipham, dimethoate, dimethomorph, diuron, ethephon, etoxazole, famoxadone, fenamiphos, flumioxazine, fluoxastrobin, folpet, foramsulfuron, formetanate, metalaxyl-m, methiocarb, metribuzin, milbemectin, Paecilomyces lilacinus strain 251, phenmedipham, phosmet, pirimiphos-methyl, propamocarb, prothioconazole, s-metolachlor and tebuconazole - 2019/2825(RSP)   </w:t>
      </w:r>
    </w:p>
    <w:p>
      <w:pPr>
        <w:pStyle w:val="ListParagraph"/>
        <w:numPr>
          <w:ilvl w:val="0"/>
          <w:numId w:val="40"/>
        </w:numPr>
        <w:rPr>
          <w:noProof/>
          <w:lang w:eastAsia="de-DE"/>
        </w:rPr>
      </w:pPr>
      <w:r>
        <w:rPr>
          <w:noProof/>
          <w:lang w:eastAsia="de-DE"/>
        </w:rPr>
        <w:t xml:space="preserve">Resolution on the draft Commission implementing regulation amending Implementing Regulation (EU) No 540/2011 as regards the extension of the approval periods of the active substances amidosulfuron, beta-cyfluthrin, bifenox, chlorotoluron, clofentezine, clomazone, cypermethrin, daminozide, deltamethrin, dicamba, difenoconazole, diflubenzuron, diflufenican, fenoxaprop-P, fenpropidin, fludioxonil, flufenacet, fosthiazate, indoxacarb, lenacil, MCPA, MCPB, nicosulfuron, picloram, prosulfocarb, pyriproxyfen, thiophanate-methyl, triflusulfuron and tritosulfuron (D062951/02 - 2019/2826(RSP)) </w:t>
      </w:r>
    </w:p>
    <w:p>
      <w:pPr>
        <w:pStyle w:val="ListParagraph"/>
        <w:numPr>
          <w:ilvl w:val="0"/>
          <w:numId w:val="40"/>
        </w:numPr>
        <w:rPr>
          <w:b/>
          <w:noProof/>
          <w:lang w:eastAsia="de-DE"/>
        </w:rPr>
      </w:pPr>
      <w:r>
        <w:rPr>
          <w:noProof/>
          <w:lang w:eastAsia="de-DE"/>
        </w:rPr>
        <w:t xml:space="preserve">Resolution on the draft Commission implementing decision renewing the authorisation for the placing on the market of products containing, consisting of or produced from genetically modified soybean A2704-12 (ACS-GMØØ5-3) pursuant to Regulation (EC) No 1829/2003 of the European Parliament and of the Council (D062417/04 - </w:t>
      </w:r>
      <w:r>
        <w:rPr>
          <w:b/>
          <w:noProof/>
          <w:lang w:eastAsia="de-DE"/>
        </w:rPr>
        <w:t xml:space="preserve">2019/2828(RSP))   </w:t>
      </w:r>
    </w:p>
    <w:p>
      <w:pPr>
        <w:pStyle w:val="ListParagraph"/>
        <w:numPr>
          <w:ilvl w:val="0"/>
          <w:numId w:val="40"/>
        </w:numPr>
        <w:rPr>
          <w:noProof/>
          <w:lang w:eastAsia="de-DE"/>
        </w:rPr>
      </w:pPr>
      <w:r>
        <w:rPr>
          <w:noProof/>
          <w:lang w:eastAsia="de-DE"/>
        </w:rPr>
        <w:t xml:space="preserve">Resolution on the draft Commission implementing decision authorising the placing on the market of products containing, consisting of or produced from genetically modified maize MON 89034 × 1507 × MON 88017 × 59122 × DAS-40278-9 and genetically modified maize combining two, three or four of the single events MON 89034, 1507, MON 88017, 59122 and DAS-40278-9 pursuant to Regulation (EC) No 1829/2003 of the European Parliament and of the Council (D062827/02 - 2019/2829(RSP))   </w:t>
      </w:r>
    </w:p>
    <w:p>
      <w:pPr>
        <w:pStyle w:val="ListParagraph"/>
        <w:numPr>
          <w:ilvl w:val="0"/>
          <w:numId w:val="40"/>
        </w:numPr>
        <w:rPr>
          <w:noProof/>
          <w:lang w:eastAsia="de-DE"/>
        </w:rPr>
      </w:pPr>
      <w:r>
        <w:rPr>
          <w:noProof/>
          <w:lang w:eastAsia="de-DE"/>
        </w:rPr>
        <w:t xml:space="preserve">Resolution on the draft Commission implementing decision authorising the placing on the market of products containing, consisting of or produced from genetically modified maize MZHG0JG (SYN-ØØØJG-2), pursuant to Regulation (EC) No 1829/2003 of the European Parliament and of the Council (D061869/04 - 2019/2830(RSP))  </w:t>
      </w:r>
    </w:p>
    <w:p>
      <w:pPr>
        <w:pStyle w:val="ListParagraph"/>
        <w:numPr>
          <w:ilvl w:val="0"/>
          <w:numId w:val="40"/>
        </w:numPr>
        <w:rPr>
          <w:noProof/>
          <w:lang w:eastAsia="de-DE"/>
        </w:rPr>
      </w:pPr>
      <w:r>
        <w:rPr>
          <w:noProof/>
          <w:lang w:eastAsia="de-DE"/>
        </w:rPr>
        <w:t xml:space="preserve">Resolution on the draft Commission implementing decision renewing the authorisation for the placing on the market of products containing, consisting of or produced from genetically modified cotton LLCotton25 (ACS-GHØØ1-3) pursuant to Regulation (EC) No 1829/2003 of the European Parliament and of the Council (D061870/04 - 2019/2856(RSP))   </w:t>
      </w:r>
    </w:p>
    <w:p>
      <w:pPr>
        <w:pStyle w:val="ListParagraph"/>
        <w:numPr>
          <w:ilvl w:val="0"/>
          <w:numId w:val="40"/>
        </w:numPr>
        <w:rPr>
          <w:noProof/>
          <w:lang w:eastAsia="de-DE"/>
        </w:rPr>
      </w:pPr>
      <w:r>
        <w:rPr>
          <w:noProof/>
          <w:lang w:eastAsia="de-DE"/>
        </w:rPr>
        <w:t xml:space="preserve">Resolution on the draft Commission implementing decision renewing the authorisation for the placing on the market of products containing, consisting of or produced from genetically modified soybean MON 89788 (MON-89788-1) pursuant to Regulation (EC) No 1829/2003 of the European Parliament and of the Council (D061871/04 - 2019/2857(RSP))   </w:t>
      </w:r>
    </w:p>
    <w:p>
      <w:pPr>
        <w:pStyle w:val="ListParagraph"/>
        <w:numPr>
          <w:ilvl w:val="0"/>
          <w:numId w:val="40"/>
        </w:numPr>
        <w:rPr>
          <w:noProof/>
          <w:lang w:eastAsia="de-DE"/>
        </w:rPr>
      </w:pPr>
      <w:r>
        <w:rPr>
          <w:noProof/>
          <w:lang w:eastAsia="de-DE"/>
        </w:rPr>
        <w:t xml:space="preserve">Objection pursuant to Rule 112: renewing the authorisation for the placing on the market of products containing or produced from genetically modified oilseed rape T45 (ACS-BNØØ8-2), resulting from the commercialisation of this oilseed rape in third countries until 2005 2019/2858(RSP)   </w:t>
      </w:r>
    </w:p>
    <w:p>
      <w:pPr>
        <w:pStyle w:val="ListParagraph"/>
        <w:numPr>
          <w:ilvl w:val="0"/>
          <w:numId w:val="40"/>
        </w:numPr>
        <w:rPr>
          <w:noProof/>
          <w:lang w:eastAsia="de-DE"/>
        </w:rPr>
      </w:pPr>
      <w:r>
        <w:rPr>
          <w:noProof/>
          <w:lang w:eastAsia="de-DE"/>
        </w:rPr>
        <w:t xml:space="preserve">Resolution on the draft Commission implementing decision authorising the placing on the market of products containing, consisting of or produced from genetically modified maize MON 89034 × 1507 × NK603 × DAS-40278-9 and sub-combinations MON 89034 × NK603 × DAS-40278-9, 1507 × NK603 × DAS-40278-9 and NK603 × DAS-40278-9, pursuant to Regulation (EC) No 1829/2003 of the European Parliament and of the Council  (D062828/04 - 2019/2859(RSP))   </w:t>
      </w:r>
    </w:p>
    <w:p>
      <w:pPr>
        <w:pStyle w:val="ListParagraph"/>
        <w:numPr>
          <w:ilvl w:val="0"/>
          <w:numId w:val="40"/>
        </w:numPr>
        <w:rPr>
          <w:noProof/>
          <w:lang w:eastAsia="de-DE"/>
        </w:rPr>
      </w:pPr>
      <w:r>
        <w:rPr>
          <w:noProof/>
          <w:lang w:eastAsia="de-DE"/>
        </w:rPr>
        <w:t xml:space="preserve">Resolution on the draft Commission implementing decision authorising the placing on the market of products containing, consisting of or produced from genetically modified maize Bt11 × MIR162 × MIR604 × 1507 × 5307 × GA21 and genetically modified maize combining two, three, four or five of the single events Bt11, MIR162, MIR604, 1507, 5307 and GA21 pursuant to Regulation (EC) No 1829/2003 of the European Parliament and of the Council  (D063846/02 - 2019/2860(RSP))   </w:t>
      </w:r>
    </w:p>
    <w:p>
      <w:pPr>
        <w:pStyle w:val="ListParagraph"/>
        <w:numPr>
          <w:ilvl w:val="0"/>
          <w:numId w:val="40"/>
        </w:numPr>
        <w:rPr>
          <w:noProof/>
          <w:lang w:eastAsia="de-DE"/>
        </w:rPr>
      </w:pPr>
      <w:r>
        <w:rPr>
          <w:noProof/>
          <w:lang w:eastAsia="de-DE"/>
        </w:rPr>
        <w:t xml:space="preserve">Resolution on the draft Commission implementing regulation amending Implementing Regulation (EU) No 540/2011 as regards the extension of the approval periods of the active substances benfluralin, dimoxystrobin, fluazinam, flutolanil, mancozeb, mecoprop-P, mepiquat, metiram, oxamyl and pyraclostrobin  (D064213/02 - 2019/2925(RSP))  </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36"/>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36"/>
        </w:numPr>
        <w:spacing w:before="0" w:after="0"/>
        <w:rPr>
          <w:noProof/>
        </w:rPr>
      </w:pPr>
      <w:r>
        <w:rPr>
          <w:noProof/>
        </w:rPr>
        <w:t>none</w:t>
      </w:r>
    </w:p>
    <w:p>
      <w:pPr>
        <w:pStyle w:val="ListDash"/>
        <w:ind w:left="720"/>
        <w:rPr>
          <w:noProof/>
        </w:rPr>
      </w:pPr>
    </w:p>
    <w:p>
      <w:pPr>
        <w:pStyle w:val="ManualHeading1"/>
        <w:rPr>
          <w:noProof/>
        </w:rPr>
      </w:pPr>
      <w:bookmarkStart w:id="68" w:name="_Toc61958561"/>
      <w:bookmarkStart w:id="69" w:name="_Toc62746251"/>
      <w:bookmarkStart w:id="70" w:name="_Toc310414152"/>
      <w:r>
        <w:rPr>
          <w:noProof/>
        </w:rPr>
        <w:t>Secretariat-General (SG)</w:t>
      </w:r>
      <w:bookmarkEnd w:id="68"/>
      <w:bookmarkEnd w:id="69"/>
    </w:p>
    <w:tbl>
      <w:tblPr>
        <w:tblW w:w="5000" w:type="pct"/>
        <w:tblLayout w:type="fixed"/>
        <w:tblLook w:val="04A0" w:firstRow="1" w:lastRow="0" w:firstColumn="1" w:lastColumn="0" w:noHBand="0" w:noVBand="1"/>
      </w:tblPr>
      <w:tblGrid>
        <w:gridCol w:w="948"/>
        <w:gridCol w:w="3763"/>
        <w:gridCol w:w="3028"/>
        <w:gridCol w:w="1242"/>
        <w:gridCol w:w="539"/>
        <w:gridCol w:w="539"/>
        <w:gridCol w:w="539"/>
        <w:gridCol w:w="539"/>
        <w:gridCol w:w="539"/>
        <w:gridCol w:w="539"/>
        <w:gridCol w:w="539"/>
        <w:gridCol w:w="539"/>
        <w:gridCol w:w="539"/>
        <w:gridCol w:w="539"/>
        <w:gridCol w:w="524"/>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26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1016"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1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7"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C39300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Citizens’ Initiative Committee</w:t>
            </w:r>
          </w:p>
        </w:tc>
        <w:tc>
          <w:tcPr>
            <w:tcW w:w="101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211/2011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9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C39800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Appeal Committee</w:t>
            </w:r>
          </w:p>
        </w:tc>
        <w:tc>
          <w:tcPr>
            <w:tcW w:w="101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182/2011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8</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19</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19</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18</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C47800</w:t>
            </w:r>
          </w:p>
        </w:tc>
        <w:tc>
          <w:tcPr>
            <w:tcW w:w="1263"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statute and funding of European political parties and European political foundations</w:t>
            </w:r>
          </w:p>
        </w:tc>
        <w:tc>
          <w:tcPr>
            <w:tcW w:w="101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Euratom) No 1141/2014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371"/>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C51500</w:t>
            </w:r>
          </w:p>
        </w:tc>
        <w:tc>
          <w:tcPr>
            <w:tcW w:w="1263"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European citizens’ initiative Committee</w:t>
            </w:r>
          </w:p>
        </w:tc>
        <w:tc>
          <w:tcPr>
            <w:tcW w:w="1016"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Regulation (EU) 2019/788</w:t>
            </w:r>
          </w:p>
        </w:tc>
        <w:tc>
          <w:tcPr>
            <w:tcW w:w="417"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Regulatory</w:t>
            </w:r>
          </w:p>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7"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263"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1016"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1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9</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19</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19</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18</w:t>
            </w:r>
          </w:p>
        </w:tc>
        <w:tc>
          <w:tcPr>
            <w:tcW w:w="17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rPr>
          <w:i/>
          <w:noProof/>
          <w:sz w:val="18"/>
          <w:szCs w:val="18"/>
        </w:rPr>
      </w:pPr>
      <w:bookmarkStart w:id="71" w:name="_Toc310414140"/>
      <w:r>
        <w:rPr>
          <w:i/>
          <w:noProof/>
          <w:sz w:val="18"/>
          <w:szCs w:val="18"/>
        </w:rPr>
        <w:t>* Information on the work of the appeal committee is provided under the detailed information on the relevant Commission department (Information for Mobility and Transport and Health and Food Safety) that referred an implementing act to the appeal committee.</w:t>
      </w:r>
    </w:p>
    <w:p>
      <w:pPr>
        <w:rPr>
          <w:i/>
          <w:noProof/>
          <w:sz w:val="18"/>
          <w:szCs w:val="18"/>
        </w:rPr>
      </w:pPr>
    </w:p>
    <w:p>
      <w:pPr>
        <w:rPr>
          <w:i/>
          <w:noProof/>
          <w:sz w:val="18"/>
          <w:szCs w:val="18"/>
        </w:rPr>
      </w:pPr>
    </w:p>
    <w:p>
      <w:pPr>
        <w:pStyle w:val="ManualHeading1"/>
        <w:rPr>
          <w:noProof/>
        </w:rPr>
      </w:pPr>
      <w:bookmarkStart w:id="72" w:name="_Toc310414153"/>
      <w:bookmarkStart w:id="73" w:name="_Toc61958562"/>
      <w:bookmarkStart w:id="74" w:name="_Toc62746252"/>
      <w:bookmarkEnd w:id="70"/>
      <w:bookmarkEnd w:id="71"/>
      <w:r>
        <w:rPr>
          <w:noProof/>
        </w:rPr>
        <w:t>Taxation and Customs Union (TAXUD)</w:t>
      </w:r>
      <w:bookmarkEnd w:id="72"/>
      <w:bookmarkEnd w:id="73"/>
      <w:bookmarkEnd w:id="74"/>
    </w:p>
    <w:tbl>
      <w:tblPr>
        <w:tblW w:w="5000" w:type="pct"/>
        <w:tblLook w:val="04A0" w:firstRow="1" w:lastRow="0" w:firstColumn="1" w:lastColumn="0" w:noHBand="0" w:noVBand="1"/>
      </w:tblPr>
      <w:tblGrid>
        <w:gridCol w:w="948"/>
        <w:gridCol w:w="4207"/>
        <w:gridCol w:w="2581"/>
        <w:gridCol w:w="1239"/>
        <w:gridCol w:w="539"/>
        <w:gridCol w:w="539"/>
        <w:gridCol w:w="539"/>
        <w:gridCol w:w="539"/>
        <w:gridCol w:w="539"/>
        <w:gridCol w:w="539"/>
        <w:gridCol w:w="539"/>
        <w:gridCol w:w="539"/>
        <w:gridCol w:w="539"/>
        <w:gridCol w:w="539"/>
        <w:gridCol w:w="530"/>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412"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866"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16"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181"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178"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C17500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Committee on Drug Precursors </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111/2005 </w:t>
            </w:r>
            <w:r>
              <w:rPr>
                <w:rFonts w:ascii="Arial" w:hAnsi="Arial" w:cs="Arial"/>
                <w:noProof/>
                <w:color w:val="000000"/>
                <w:sz w:val="18"/>
                <w:szCs w:val="18"/>
                <w:lang w:eastAsia="en-GB"/>
              </w:rPr>
              <w:br/>
              <w:t xml:space="preserve">Regulation (EC) No 273/2004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Regulatory w/scrutiny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C17600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Mutual Assistance on Recovery of Claims (Assistance)</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2008/55/EC </w:t>
            </w:r>
            <w:r>
              <w:rPr>
                <w:rFonts w:ascii="Arial" w:hAnsi="Arial" w:cs="Arial"/>
                <w:noProof/>
                <w:color w:val="000000"/>
                <w:sz w:val="18"/>
                <w:szCs w:val="18"/>
                <w:lang w:eastAsia="en-GB"/>
              </w:rPr>
              <w:br/>
              <w:t xml:space="preserve">Council Directive 2010/24/EU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C17700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Economic Outward Processing Arrangements for Textiles</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3036/94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C18000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Movement of Air or Sea Passengers' Baggage (Principles)</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3925/91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515"/>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85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C18101</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Enforcement of Intellectual Property Rights</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608/2013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719"/>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C18102</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Special Procedures</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575"/>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C18103</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Value</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03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C18105</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Duty Relief</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Council Regulation (EC) No 1186/2009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03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C18106</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Tariff and Statistical Nomenclature</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2658/87 </w:t>
            </w:r>
            <w:r>
              <w:rPr>
                <w:rFonts w:ascii="Arial" w:hAnsi="Arial" w:cs="Arial"/>
                <w:noProof/>
                <w:color w:val="000000"/>
                <w:sz w:val="18"/>
                <w:szCs w:val="18"/>
                <w:lang w:eastAsia="en-GB"/>
              </w:rPr>
              <w:br/>
              <w:t xml:space="preserve">Council Regulation (EEC) No 2913/92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8</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46</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7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C18107</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Tariff Measures</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719"/>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C18109</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General Customs Legislation</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95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C18111</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Origin</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Council Decision (2001/822/EC) </w:t>
            </w:r>
            <w:r>
              <w:rPr>
                <w:rFonts w:ascii="Arial" w:hAnsi="Arial" w:cs="Arial"/>
                <w:noProof/>
                <w:color w:val="000000"/>
                <w:sz w:val="18"/>
                <w:szCs w:val="18"/>
                <w:lang w:eastAsia="en-GB"/>
              </w:rPr>
              <w:br/>
              <w:t xml:space="preserve">2009/832/EC: Council Decision </w:t>
            </w:r>
            <w:r>
              <w:rPr>
                <w:rFonts w:ascii="Arial" w:hAnsi="Arial" w:cs="Arial"/>
                <w:noProof/>
                <w:color w:val="000000"/>
                <w:sz w:val="18"/>
                <w:szCs w:val="18"/>
                <w:lang w:eastAsia="en-GB"/>
              </w:rPr>
              <w:br/>
              <w:t xml:space="preserve">Commission Regulation (EEC) No 2454/93 </w:t>
            </w:r>
            <w:r>
              <w:rPr>
                <w:rFonts w:ascii="Arial" w:hAnsi="Arial" w:cs="Arial"/>
                <w:noProof/>
                <w:color w:val="000000"/>
                <w:sz w:val="18"/>
                <w:szCs w:val="18"/>
                <w:lang w:eastAsia="en-GB"/>
              </w:rPr>
              <w:br/>
              <w:t xml:space="preserve">Council Decision 2013/755/EU </w:t>
            </w:r>
            <w:r>
              <w:rPr>
                <w:rFonts w:ascii="Arial" w:hAnsi="Arial" w:cs="Arial"/>
                <w:noProof/>
                <w:color w:val="000000"/>
                <w:sz w:val="18"/>
                <w:szCs w:val="18"/>
                <w:lang w:eastAsia="en-GB"/>
              </w:rPr>
              <w:br/>
              <w:t xml:space="preserve">Council Regulation (EC) No 1528/2007 </w:t>
            </w:r>
            <w:r>
              <w:rPr>
                <w:rFonts w:ascii="Arial" w:hAnsi="Arial" w:cs="Arial"/>
                <w:noProof/>
                <w:color w:val="000000"/>
                <w:sz w:val="18"/>
                <w:szCs w:val="18"/>
                <w:lang w:eastAsia="en-GB"/>
              </w:rPr>
              <w:br/>
              <w:t xml:space="preserve">Regulation (EU) No 952/2013 </w:t>
            </w:r>
            <w:r>
              <w:rPr>
                <w:rFonts w:ascii="Arial" w:hAnsi="Arial" w:cs="Arial"/>
                <w:noProof/>
                <w:color w:val="000000"/>
                <w:sz w:val="18"/>
                <w:szCs w:val="18"/>
                <w:lang w:eastAsia="en-GB"/>
              </w:rPr>
              <w:br/>
              <w:t xml:space="preserve">Regulation (EU) 2016/1076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73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C18112</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Debt and Guarantees</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719"/>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C18113</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Data Integration and Harmonisation</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5</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707"/>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C18114</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Status and Transit</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947"/>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C18115</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Customs Controls and Risk Management</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2</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7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C18116</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Code Committee - Import and Export Formalities</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(EEC) No 2913/92 </w:t>
            </w:r>
            <w:r>
              <w:rPr>
                <w:rFonts w:ascii="Arial" w:hAnsi="Arial" w:cs="Arial"/>
                <w:noProof/>
                <w:color w:val="000000"/>
                <w:sz w:val="18"/>
                <w:szCs w:val="18"/>
                <w:lang w:eastAsia="en-GB"/>
              </w:rPr>
              <w:br/>
              <w:t xml:space="preserve">Regulation (EU) No 952/2013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C18200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Standing Committee on Administrative Cooperation</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(EU) No 904/2010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C38900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Export and Return of Cultural Goods</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116/2009 </w:t>
            </w:r>
            <w:r>
              <w:rPr>
                <w:rFonts w:ascii="Arial" w:hAnsi="Arial" w:cs="Arial"/>
                <w:noProof/>
                <w:color w:val="000000"/>
                <w:sz w:val="18"/>
                <w:szCs w:val="18"/>
                <w:lang w:eastAsia="en-GB"/>
              </w:rPr>
              <w:br/>
              <w:t xml:space="preserve">Council Directive 93/7/EEC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C39000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Excise Duty</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2008/118/EC </w:t>
            </w:r>
            <w:r>
              <w:rPr>
                <w:rFonts w:ascii="Arial" w:hAnsi="Arial" w:cs="Arial"/>
                <w:noProof/>
                <w:color w:val="000000"/>
                <w:sz w:val="18"/>
                <w:szCs w:val="18"/>
                <w:lang w:eastAsia="en-GB"/>
              </w:rPr>
              <w:br/>
              <w:t xml:space="preserve">Council Regulation (EU) No 389/2012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center"/>
              <w:rPr>
                <w:rFonts w:ascii="Arial" w:hAnsi="Arial" w:cs="Arial"/>
                <w:noProof/>
                <w:color w:val="000000"/>
                <w:sz w:val="18"/>
                <w:szCs w:val="18"/>
                <w:lang w:eastAsia="en-GB"/>
              </w:rPr>
            </w:pPr>
            <w:r>
              <w:rPr>
                <w:rFonts w:ascii="Arial" w:hAnsi="Arial" w:cs="Arial"/>
                <w:noProof/>
                <w:color w:val="000000"/>
                <w:sz w:val="18"/>
                <w:szCs w:val="18"/>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3</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C40300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Administrative Cooperation for Taxation</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2011/16/EU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center"/>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C44400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Fiscalis 2020 Committee</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1286/2013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C44500</w:t>
            </w:r>
          </w:p>
        </w:tc>
        <w:tc>
          <w:tcPr>
            <w:tcW w:w="1412"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Customs 2020 Committee</w:t>
            </w:r>
          </w:p>
        </w:tc>
        <w:tc>
          <w:tcPr>
            <w:tcW w:w="866"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No 1294/2013 </w:t>
            </w:r>
          </w:p>
        </w:tc>
        <w:tc>
          <w:tcPr>
            <w:tcW w:w="416"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178"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C50300</w:t>
            </w:r>
          </w:p>
        </w:tc>
        <w:tc>
          <w:tcPr>
            <w:tcW w:w="1412"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Committee on Dispute resolution</w:t>
            </w:r>
          </w:p>
        </w:tc>
        <w:tc>
          <w:tcPr>
            <w:tcW w:w="866"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Directive (EU) 2017/1852 </w:t>
            </w:r>
          </w:p>
        </w:tc>
        <w:tc>
          <w:tcPr>
            <w:tcW w:w="416"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178"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C50900</w:t>
            </w:r>
          </w:p>
        </w:tc>
        <w:tc>
          <w:tcPr>
            <w:tcW w:w="1412"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Cash Controls Committee</w:t>
            </w:r>
          </w:p>
        </w:tc>
        <w:tc>
          <w:tcPr>
            <w:tcW w:w="866"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Regulation (EU) 2018/1672 </w:t>
            </w:r>
          </w:p>
        </w:tc>
        <w:tc>
          <w:tcPr>
            <w:tcW w:w="416"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Examination</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1</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81"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178"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412"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866"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16"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37</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18</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59</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181"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58</w:t>
            </w:r>
          </w:p>
        </w:tc>
        <w:tc>
          <w:tcPr>
            <w:tcW w:w="178"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0" w:after="0"/>
        <w:rPr>
          <w:b/>
          <w:noProof/>
          <w:u w:val="single"/>
        </w:rPr>
      </w:pPr>
      <w:bookmarkStart w:id="75" w:name="_Toc310414154"/>
    </w:p>
    <w:p>
      <w:pPr>
        <w:spacing w:before="0" w:after="0"/>
        <w:rPr>
          <w:b/>
          <w:noProof/>
        </w:rPr>
      </w:pPr>
      <w:r>
        <w:rPr>
          <w:b/>
          <w:noProof/>
          <w:u w:val="single"/>
        </w:rPr>
        <w:t>Newly created (or transferred) committee(s)</w:t>
      </w:r>
      <w:r>
        <w:rPr>
          <w:b/>
          <w:noProof/>
        </w:rPr>
        <w:t>:</w:t>
      </w:r>
    </w:p>
    <w:p>
      <w:pPr>
        <w:pStyle w:val="ListDash"/>
        <w:numPr>
          <w:ilvl w:val="0"/>
          <w:numId w:val="31"/>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31"/>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31"/>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31"/>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1"/>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31"/>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31"/>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31"/>
        </w:numPr>
        <w:spacing w:before="0" w:after="0"/>
        <w:rPr>
          <w:noProof/>
        </w:rPr>
      </w:pPr>
      <w:r>
        <w:rPr>
          <w:noProof/>
        </w:rPr>
        <w:t>none</w:t>
      </w:r>
    </w:p>
    <w:p>
      <w:pPr>
        <w:pStyle w:val="ListDash"/>
        <w:spacing w:before="0" w:after="0"/>
        <w:ind w:left="720"/>
        <w:rPr>
          <w:noProof/>
        </w:rPr>
      </w:pPr>
    </w:p>
    <w:p>
      <w:pPr>
        <w:pStyle w:val="ManualHeading1"/>
        <w:rPr>
          <w:noProof/>
        </w:rPr>
      </w:pPr>
      <w:bookmarkStart w:id="76" w:name="_Toc61958563"/>
      <w:bookmarkStart w:id="77" w:name="_Toc62746253"/>
      <w:r>
        <w:rPr>
          <w:noProof/>
        </w:rPr>
        <w:t>Trade (TRADE)</w:t>
      </w:r>
      <w:bookmarkEnd w:id="75"/>
      <w:bookmarkEnd w:id="76"/>
      <w:bookmarkEnd w:id="77"/>
    </w:p>
    <w:tbl>
      <w:tblPr>
        <w:tblW w:w="5000" w:type="pct"/>
        <w:tblLook w:val="04A0" w:firstRow="1" w:lastRow="0" w:firstColumn="1" w:lastColumn="0" w:noHBand="0" w:noVBand="1"/>
      </w:tblPr>
      <w:tblGrid>
        <w:gridCol w:w="915"/>
        <w:gridCol w:w="4064"/>
        <w:gridCol w:w="2658"/>
        <w:gridCol w:w="1210"/>
        <w:gridCol w:w="565"/>
        <w:gridCol w:w="565"/>
        <w:gridCol w:w="565"/>
        <w:gridCol w:w="565"/>
        <w:gridCol w:w="565"/>
        <w:gridCol w:w="565"/>
        <w:gridCol w:w="565"/>
        <w:gridCol w:w="565"/>
        <w:gridCol w:w="565"/>
        <w:gridCol w:w="526"/>
        <w:gridCol w:w="437"/>
      </w:tblGrid>
      <w:tr>
        <w:trPr>
          <w:trHeight w:val="2001"/>
          <w:tblHeader/>
        </w:trPr>
        <w:tc>
          <w:tcPr>
            <w:tcW w:w="318" w:type="pct"/>
            <w:tcBorders>
              <w:top w:val="single" w:sz="4" w:space="0" w:color="auto"/>
              <w:left w:val="single" w:sz="4" w:space="0" w:color="auto"/>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Code</w:t>
            </w:r>
          </w:p>
        </w:tc>
        <w:tc>
          <w:tcPr>
            <w:tcW w:w="1375"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Title</w:t>
            </w:r>
          </w:p>
        </w:tc>
        <w:tc>
          <w:tcPr>
            <w:tcW w:w="903"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Basic Legal Act</w:t>
            </w:r>
          </w:p>
        </w:tc>
        <w:tc>
          <w:tcPr>
            <w:tcW w:w="417" w:type="pct"/>
            <w:tcBorders>
              <w:top w:val="single" w:sz="4" w:space="0" w:color="auto"/>
              <w:left w:val="nil"/>
              <w:bottom w:val="single" w:sz="4" w:space="0" w:color="auto"/>
              <w:right w:val="single" w:sz="4" w:space="0" w:color="auto"/>
            </w:tcBorders>
            <w:shd w:val="clear" w:color="FFFFFF" w:fill="33CCCC"/>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Committee Procedure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Meetings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Written procedures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opinions</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Measures referred to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Positive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Negative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No opinion by appeal committee</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Implementing acts adopted</w:t>
            </w:r>
          </w:p>
        </w:tc>
        <w:tc>
          <w:tcPr>
            <w:tcW w:w="200" w:type="pct"/>
            <w:tcBorders>
              <w:top w:val="single" w:sz="4" w:space="0" w:color="auto"/>
              <w:left w:val="nil"/>
              <w:bottom w:val="single" w:sz="4" w:space="0" w:color="auto"/>
              <w:right w:val="single" w:sz="4" w:space="0" w:color="auto"/>
            </w:tcBorders>
            <w:shd w:val="clear" w:color="FFFFFF" w:fill="33CCCC"/>
            <w:textDirection w:val="btLr"/>
            <w:vAlign w:val="center"/>
            <w:hideMark/>
          </w:tcPr>
          <w:p>
            <w:pPr>
              <w:spacing w:before="0" w:after="0"/>
              <w:jc w:val="center"/>
              <w:rPr>
                <w:rFonts w:ascii="Gulim" w:eastAsia="Gulim" w:hAnsi="Arial" w:cs="Arial"/>
                <w:b/>
                <w:bCs/>
                <w:noProof/>
                <w:color w:val="FFFFFF"/>
                <w:sz w:val="16"/>
                <w:szCs w:val="16"/>
                <w:lang w:eastAsia="en-GB"/>
              </w:rPr>
            </w:pPr>
            <w:r>
              <w:rPr>
                <w:rFonts w:ascii="Gulim" w:eastAsia="Gulim" w:hAnsi="Arial" w:cs="Arial" w:hint="eastAsia"/>
                <w:b/>
                <w:bCs/>
                <w:noProof/>
                <w:color w:val="FFFFFF"/>
                <w:sz w:val="16"/>
                <w:szCs w:val="16"/>
                <w:lang w:eastAsia="en-GB"/>
              </w:rPr>
              <w:t>RPS measures adopted</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C22200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 Committee on the implementation of activities relating to the Community market access strategy</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98/552/EC: Council Decision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C22600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common rules for imports of textile products from certain third countries (autonomous regime)</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517/94 </w:t>
            </w:r>
            <w:r>
              <w:rPr>
                <w:rFonts w:ascii="Arial" w:hAnsi="Arial" w:cs="Arial"/>
                <w:noProof/>
                <w:color w:val="000000"/>
                <w:sz w:val="18"/>
                <w:szCs w:val="18"/>
                <w:lang w:eastAsia="en-GB"/>
              </w:rPr>
              <w:br/>
              <w:t xml:space="preserve">Regulation (EU) 2015/936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815"/>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C22700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the exercise of the Union's rights under international trade rules</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3286/94 </w:t>
            </w:r>
            <w:r>
              <w:rPr>
                <w:rFonts w:ascii="Arial" w:hAnsi="Arial" w:cs="Arial"/>
                <w:noProof/>
                <w:color w:val="000000"/>
                <w:sz w:val="18"/>
                <w:szCs w:val="18"/>
                <w:lang w:eastAsia="en-GB"/>
              </w:rPr>
              <w:br/>
              <w:t xml:space="preserve">Regulation (EU) No 654/2014 </w:t>
            </w:r>
            <w:r>
              <w:rPr>
                <w:rFonts w:ascii="Arial" w:hAnsi="Arial" w:cs="Arial"/>
                <w:noProof/>
                <w:color w:val="000000"/>
                <w:sz w:val="18"/>
                <w:szCs w:val="18"/>
                <w:lang w:eastAsia="en-GB"/>
              </w:rPr>
              <w:br/>
              <w:t xml:space="preserve">Regulation (EU) 2015/1843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695"/>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C22800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harmonisation of the provisions concerning export credit insurance for transactions with medium and long-term cover</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Directive 98/29/EC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11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C22900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Generalised Preferences  Committee</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980/2005 </w:t>
            </w:r>
            <w:r>
              <w:rPr>
                <w:rFonts w:ascii="Arial" w:hAnsi="Arial" w:cs="Arial"/>
                <w:noProof/>
                <w:color w:val="000000"/>
                <w:sz w:val="18"/>
                <w:szCs w:val="18"/>
                <w:lang w:eastAsia="en-GB"/>
              </w:rPr>
              <w:br/>
              <w:t xml:space="preserve">Council Regulation (EC) No 732/2008 </w:t>
            </w:r>
            <w:r>
              <w:rPr>
                <w:rFonts w:ascii="Arial" w:hAnsi="Arial" w:cs="Arial"/>
                <w:noProof/>
                <w:color w:val="000000"/>
                <w:sz w:val="18"/>
                <w:szCs w:val="18"/>
                <w:lang w:eastAsia="en-GB"/>
              </w:rPr>
              <w:br/>
              <w:t xml:space="preserve">Regulation (EU) No 978/2012 </w:t>
            </w:r>
            <w:r>
              <w:rPr>
                <w:rFonts w:ascii="Arial" w:hAnsi="Arial" w:cs="Arial"/>
                <w:noProof/>
                <w:color w:val="000000"/>
                <w:sz w:val="18"/>
                <w:szCs w:val="18"/>
                <w:lang w:eastAsia="en-GB"/>
              </w:rPr>
              <w:br/>
              <w:t xml:space="preserve">Regulation (EU) No 512/2011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C23000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fr-BE" w:eastAsia="en-GB"/>
              </w:rPr>
            </w:pPr>
            <w:r>
              <w:rPr>
                <w:rFonts w:ascii="Arial" w:hAnsi="Arial" w:cs="Arial"/>
                <w:noProof/>
                <w:color w:val="000000"/>
                <w:sz w:val="18"/>
                <w:szCs w:val="18"/>
                <w:lang w:val="fr-BE" w:eastAsia="en-GB"/>
              </w:rPr>
              <w:t>Management Committee on quantitative import or export quotas</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520/94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C23400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Access to Medicines</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953/2003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C23500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trade retaliation</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673/2005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C40700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Wood Committee</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val="es-ES" w:eastAsia="en-GB"/>
              </w:rPr>
            </w:pPr>
            <w:r>
              <w:rPr>
                <w:rFonts w:ascii="Arial" w:hAnsi="Arial" w:cs="Arial"/>
                <w:noProof/>
                <w:color w:val="000000"/>
                <w:sz w:val="18"/>
                <w:szCs w:val="18"/>
                <w:lang w:val="es-ES" w:eastAsia="en-GB"/>
              </w:rPr>
              <w:t xml:space="preserve">Regulation (EU) No 1217/2012 </w:t>
            </w:r>
            <w:r>
              <w:rPr>
                <w:rFonts w:ascii="Arial" w:hAnsi="Arial" w:cs="Arial"/>
                <w:noProof/>
                <w:color w:val="000000"/>
                <w:sz w:val="18"/>
                <w:szCs w:val="18"/>
                <w:lang w:val="es-ES" w:eastAsia="en-GB"/>
              </w:rPr>
              <w:br/>
              <w:t xml:space="preserve">Council Decision 2012/105/EU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C41400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for Investment Agreements</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nº 1219/2012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14</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14</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15</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127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C44100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Trade Defence Instruments Committee</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1225/2009 </w:t>
            </w:r>
            <w:r>
              <w:rPr>
                <w:rFonts w:ascii="Arial" w:hAnsi="Arial" w:cs="Arial"/>
                <w:noProof/>
                <w:color w:val="000000"/>
                <w:sz w:val="18"/>
                <w:szCs w:val="18"/>
                <w:lang w:eastAsia="en-GB"/>
              </w:rPr>
              <w:br/>
              <w:t xml:space="preserve">Council Regulation (EC) No 597/2009 </w:t>
            </w:r>
            <w:r>
              <w:rPr>
                <w:rFonts w:ascii="Arial" w:hAnsi="Arial" w:cs="Arial"/>
                <w:noProof/>
                <w:color w:val="000000"/>
                <w:sz w:val="18"/>
                <w:szCs w:val="18"/>
                <w:lang w:eastAsia="en-GB"/>
              </w:rPr>
              <w:br/>
              <w:t xml:space="preserve">Council Regulation (EC) No 452/2003 </w:t>
            </w:r>
            <w:r>
              <w:rPr>
                <w:rFonts w:ascii="Arial" w:hAnsi="Arial" w:cs="Arial"/>
                <w:noProof/>
                <w:color w:val="000000"/>
                <w:sz w:val="18"/>
                <w:szCs w:val="18"/>
                <w:lang w:eastAsia="en-GB"/>
              </w:rPr>
              <w:br/>
              <w:t xml:space="preserve">Council Regulation (EC) No 1515/2001 </w:t>
            </w:r>
            <w:r>
              <w:rPr>
                <w:rFonts w:ascii="Arial" w:hAnsi="Arial" w:cs="Arial"/>
                <w:noProof/>
                <w:color w:val="000000"/>
                <w:sz w:val="18"/>
                <w:szCs w:val="18"/>
                <w:lang w:eastAsia="en-GB"/>
              </w:rPr>
              <w:br/>
              <w:t xml:space="preserve">Council Regulation (EC) No 385/96 </w:t>
            </w:r>
            <w:r>
              <w:rPr>
                <w:rFonts w:ascii="Arial" w:hAnsi="Arial" w:cs="Arial"/>
                <w:noProof/>
                <w:color w:val="000000"/>
                <w:sz w:val="18"/>
                <w:szCs w:val="18"/>
                <w:lang w:eastAsia="en-GB"/>
              </w:rPr>
              <w:br/>
              <w:t xml:space="preserve">Regulation (EU) 2015/476 </w:t>
            </w:r>
            <w:r>
              <w:rPr>
                <w:rFonts w:ascii="Arial" w:hAnsi="Arial" w:cs="Arial"/>
                <w:noProof/>
                <w:color w:val="000000"/>
                <w:sz w:val="18"/>
                <w:szCs w:val="18"/>
                <w:lang w:eastAsia="en-GB"/>
              </w:rPr>
              <w:br/>
              <w:t xml:space="preserve">Regulation (EU) 2016/1036 </w:t>
            </w:r>
            <w:r>
              <w:rPr>
                <w:rFonts w:ascii="Arial" w:hAnsi="Arial" w:cs="Arial"/>
                <w:noProof/>
                <w:color w:val="000000"/>
                <w:sz w:val="18"/>
                <w:szCs w:val="18"/>
                <w:lang w:eastAsia="en-GB"/>
              </w:rPr>
              <w:br/>
              <w:t xml:space="preserve">Regulation (EU) 2016/1037 </w:t>
            </w:r>
            <w:r>
              <w:rPr>
                <w:rFonts w:ascii="Arial" w:hAnsi="Arial" w:cs="Arial"/>
                <w:noProof/>
                <w:color w:val="000000"/>
                <w:sz w:val="18"/>
                <w:szCs w:val="18"/>
                <w:lang w:eastAsia="en-GB"/>
              </w:rPr>
              <w:br/>
              <w:t xml:space="preserve">Regulation (EU) 2015/477 </w:t>
            </w:r>
            <w:r>
              <w:rPr>
                <w:rFonts w:ascii="Arial" w:hAnsi="Arial" w:cs="Arial"/>
                <w:noProof/>
                <w:color w:val="000000"/>
                <w:sz w:val="18"/>
                <w:szCs w:val="18"/>
                <w:lang w:eastAsia="en-GB"/>
              </w:rPr>
              <w:br/>
              <w:t xml:space="preserve">Regulation (EU) 2016/1035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11</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13</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38</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9</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46</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31"/>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C45200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Safeguards and Common Rules for Exports</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Council Regulation (EC) No 1061/2009 </w:t>
            </w:r>
            <w:r>
              <w:rPr>
                <w:rFonts w:ascii="Arial" w:hAnsi="Arial" w:cs="Arial"/>
                <w:noProof/>
                <w:color w:val="000000"/>
                <w:sz w:val="18"/>
                <w:szCs w:val="18"/>
                <w:lang w:eastAsia="en-GB"/>
              </w:rPr>
              <w:br/>
              <w:t xml:space="preserve">Council Regulation (EC) No 625/2009 </w:t>
            </w:r>
            <w:r>
              <w:rPr>
                <w:rFonts w:ascii="Arial" w:hAnsi="Arial" w:cs="Arial"/>
                <w:noProof/>
                <w:color w:val="000000"/>
                <w:sz w:val="18"/>
                <w:szCs w:val="18"/>
                <w:lang w:eastAsia="en-GB"/>
              </w:rPr>
              <w:br/>
              <w:t xml:space="preserve">Council Regulation (EC) No 260/2009 </w:t>
            </w:r>
            <w:r>
              <w:rPr>
                <w:rFonts w:ascii="Arial" w:hAnsi="Arial" w:cs="Arial"/>
                <w:noProof/>
                <w:color w:val="000000"/>
                <w:sz w:val="18"/>
                <w:szCs w:val="18"/>
                <w:lang w:eastAsia="en-GB"/>
              </w:rPr>
              <w:br/>
              <w:t xml:space="preserve">Council Regulation (EC) No 594/2008 </w:t>
            </w:r>
            <w:r>
              <w:rPr>
                <w:rFonts w:ascii="Arial" w:hAnsi="Arial" w:cs="Arial"/>
                <w:noProof/>
                <w:color w:val="000000"/>
                <w:sz w:val="18"/>
                <w:szCs w:val="18"/>
                <w:lang w:eastAsia="en-GB"/>
              </w:rPr>
              <w:br/>
              <w:t xml:space="preserve">Council Regulation (EC) No 55/2008 </w:t>
            </w:r>
            <w:r>
              <w:rPr>
                <w:rFonts w:ascii="Arial" w:hAnsi="Arial" w:cs="Arial"/>
                <w:noProof/>
                <w:color w:val="000000"/>
                <w:sz w:val="18"/>
                <w:szCs w:val="18"/>
                <w:lang w:eastAsia="en-GB"/>
              </w:rPr>
              <w:br/>
              <w:t xml:space="preserve">Council Regulation (EC) No 140/2008 </w:t>
            </w:r>
            <w:r>
              <w:rPr>
                <w:rFonts w:ascii="Arial" w:hAnsi="Arial" w:cs="Arial"/>
                <w:noProof/>
                <w:color w:val="000000"/>
                <w:sz w:val="18"/>
                <w:szCs w:val="18"/>
                <w:lang w:eastAsia="en-GB"/>
              </w:rPr>
              <w:br/>
              <w:t xml:space="preserve">Council Regulation (EC) No 1528/2007 </w:t>
            </w:r>
            <w:r>
              <w:rPr>
                <w:rFonts w:ascii="Arial" w:hAnsi="Arial" w:cs="Arial"/>
                <w:noProof/>
                <w:color w:val="000000"/>
                <w:sz w:val="18"/>
                <w:szCs w:val="18"/>
                <w:lang w:eastAsia="en-GB"/>
              </w:rPr>
              <w:br/>
              <w:t xml:space="preserve">Council Regulation (EC) No 1616/2006 </w:t>
            </w:r>
            <w:r>
              <w:rPr>
                <w:rFonts w:ascii="Arial" w:hAnsi="Arial" w:cs="Arial"/>
                <w:noProof/>
                <w:color w:val="000000"/>
                <w:sz w:val="18"/>
                <w:szCs w:val="18"/>
                <w:lang w:eastAsia="en-GB"/>
              </w:rPr>
              <w:br/>
              <w:t xml:space="preserve">Regulation (EEC) No 1692/73 </w:t>
            </w:r>
            <w:r>
              <w:rPr>
                <w:rFonts w:ascii="Arial" w:hAnsi="Arial" w:cs="Arial"/>
                <w:noProof/>
                <w:color w:val="000000"/>
                <w:sz w:val="18"/>
                <w:szCs w:val="18"/>
                <w:lang w:eastAsia="en-GB"/>
              </w:rPr>
              <w:br/>
              <w:t xml:space="preserve">Regulation (EEC) No 2843/72 </w:t>
            </w:r>
            <w:r>
              <w:rPr>
                <w:rFonts w:ascii="Arial" w:hAnsi="Arial" w:cs="Arial"/>
                <w:noProof/>
                <w:color w:val="000000"/>
                <w:sz w:val="18"/>
                <w:szCs w:val="18"/>
                <w:lang w:eastAsia="en-GB"/>
              </w:rPr>
              <w:br/>
              <w:t xml:space="preserve">Regulation (EEC) No 2841/72 </w:t>
            </w:r>
            <w:r>
              <w:rPr>
                <w:rFonts w:ascii="Arial" w:hAnsi="Arial" w:cs="Arial"/>
                <w:noProof/>
                <w:color w:val="000000"/>
                <w:sz w:val="18"/>
                <w:szCs w:val="18"/>
                <w:lang w:eastAsia="en-GB"/>
              </w:rPr>
              <w:br/>
              <w:t xml:space="preserve">Regulation (EU) No 19/2013 </w:t>
            </w:r>
            <w:r>
              <w:rPr>
                <w:rFonts w:ascii="Arial" w:hAnsi="Arial" w:cs="Arial"/>
                <w:noProof/>
                <w:color w:val="000000"/>
                <w:sz w:val="18"/>
                <w:szCs w:val="18"/>
                <w:lang w:eastAsia="en-GB"/>
              </w:rPr>
              <w:br/>
              <w:t xml:space="preserve">Regulation (EU) No 20/2013 </w:t>
            </w:r>
            <w:r>
              <w:rPr>
                <w:rFonts w:ascii="Arial" w:hAnsi="Arial" w:cs="Arial"/>
                <w:noProof/>
                <w:color w:val="000000"/>
                <w:sz w:val="18"/>
                <w:szCs w:val="18"/>
                <w:lang w:eastAsia="en-GB"/>
              </w:rPr>
              <w:br/>
              <w:t xml:space="preserve">Regulation (EU) No 511/2011 </w:t>
            </w:r>
            <w:r>
              <w:rPr>
                <w:rFonts w:ascii="Arial" w:hAnsi="Arial" w:cs="Arial"/>
                <w:noProof/>
                <w:color w:val="000000"/>
                <w:sz w:val="18"/>
                <w:szCs w:val="18"/>
                <w:lang w:eastAsia="en-GB"/>
              </w:rPr>
              <w:br/>
              <w:t xml:space="preserve">Regulation (EU) 2015/752 </w:t>
            </w:r>
            <w:r>
              <w:rPr>
                <w:rFonts w:ascii="Arial" w:hAnsi="Arial" w:cs="Arial"/>
                <w:noProof/>
                <w:color w:val="000000"/>
                <w:sz w:val="18"/>
                <w:szCs w:val="18"/>
                <w:lang w:eastAsia="en-GB"/>
              </w:rPr>
              <w:br/>
              <w:t xml:space="preserve">Regulation (EU) 2015/755 </w:t>
            </w:r>
            <w:r>
              <w:rPr>
                <w:rFonts w:ascii="Arial" w:hAnsi="Arial" w:cs="Arial"/>
                <w:noProof/>
                <w:color w:val="000000"/>
                <w:sz w:val="18"/>
                <w:szCs w:val="18"/>
                <w:lang w:eastAsia="en-GB"/>
              </w:rPr>
              <w:br/>
              <w:t xml:space="preserve">Regulation (EU) 2015/479 </w:t>
            </w:r>
            <w:r>
              <w:rPr>
                <w:rFonts w:ascii="Arial" w:hAnsi="Arial" w:cs="Arial"/>
                <w:noProof/>
                <w:color w:val="000000"/>
                <w:sz w:val="18"/>
                <w:szCs w:val="18"/>
                <w:lang w:eastAsia="en-GB"/>
              </w:rPr>
              <w:br/>
              <w:t xml:space="preserve">Regulation (EU) 2016 </w:t>
            </w:r>
            <w:r>
              <w:rPr>
                <w:rFonts w:ascii="Arial" w:hAnsi="Arial" w:cs="Arial"/>
                <w:noProof/>
                <w:color w:val="000000"/>
                <w:sz w:val="18"/>
                <w:szCs w:val="18"/>
                <w:lang w:eastAsia="en-GB"/>
              </w:rPr>
              <w:br/>
              <w:t xml:space="preserve">Regulation (EU) 2015/1145 </w:t>
            </w:r>
            <w:r>
              <w:rPr>
                <w:rFonts w:ascii="Arial" w:hAnsi="Arial" w:cs="Arial"/>
                <w:noProof/>
                <w:color w:val="000000"/>
                <w:sz w:val="18"/>
                <w:szCs w:val="18"/>
                <w:lang w:eastAsia="en-GB"/>
              </w:rPr>
              <w:br/>
              <w:t xml:space="preserve">Regulation (EU) 2015/475 </w:t>
            </w:r>
            <w:r>
              <w:rPr>
                <w:rFonts w:ascii="Arial" w:hAnsi="Arial" w:cs="Arial"/>
                <w:noProof/>
                <w:color w:val="000000"/>
                <w:sz w:val="18"/>
                <w:szCs w:val="18"/>
                <w:lang w:eastAsia="en-GB"/>
              </w:rPr>
              <w:br/>
              <w:t xml:space="preserve">Regulation (EU) 2015/938 </w:t>
            </w:r>
            <w:r>
              <w:rPr>
                <w:rFonts w:ascii="Arial" w:hAnsi="Arial" w:cs="Arial"/>
                <w:noProof/>
                <w:color w:val="000000"/>
                <w:sz w:val="18"/>
                <w:szCs w:val="18"/>
                <w:lang w:eastAsia="en-GB"/>
              </w:rPr>
              <w:br/>
              <w:t xml:space="preserve">Regulation (EU) 2015/939 </w:t>
            </w:r>
            <w:r>
              <w:rPr>
                <w:rFonts w:ascii="Arial" w:hAnsi="Arial" w:cs="Arial"/>
                <w:noProof/>
                <w:color w:val="000000"/>
                <w:sz w:val="18"/>
                <w:szCs w:val="18"/>
                <w:lang w:eastAsia="en-GB"/>
              </w:rPr>
              <w:br/>
              <w:t xml:space="preserve">Regulation (EU) 2015/940 </w:t>
            </w:r>
            <w:r>
              <w:rPr>
                <w:rFonts w:ascii="Arial" w:hAnsi="Arial" w:cs="Arial"/>
                <w:noProof/>
                <w:color w:val="000000"/>
                <w:sz w:val="18"/>
                <w:szCs w:val="18"/>
                <w:lang w:eastAsia="en-GB"/>
              </w:rPr>
              <w:br/>
              <w:t xml:space="preserve">Regulation (EU) 2015/478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Examination</w:t>
            </w:r>
            <w:r>
              <w:rPr>
                <w:rFonts w:ascii="Arial" w:hAnsi="Arial" w:cs="Arial"/>
                <w:noProof/>
                <w:color w:val="000000"/>
                <w:sz w:val="18"/>
                <w:szCs w:val="18"/>
                <w:lang w:eastAsia="en-GB"/>
              </w:rPr>
              <w:b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2</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6</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lang w:eastAsia="en-GB"/>
              </w:rPr>
              <w:t>4</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80"/>
        </w:trPr>
        <w:tc>
          <w:tcPr>
            <w:tcW w:w="318" w:type="pct"/>
            <w:tcBorders>
              <w:top w:val="nil"/>
              <w:left w:val="single" w:sz="4" w:space="0" w:color="auto"/>
              <w:bottom w:val="single" w:sz="4" w:space="0" w:color="auto"/>
              <w:right w:val="single" w:sz="4" w:space="0" w:color="auto"/>
            </w:tcBorders>
            <w:shd w:val="clear" w:color="FFFFFF" w:fill="FFFFFF"/>
            <w:noWrap/>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C50000</w:t>
            </w:r>
          </w:p>
        </w:tc>
        <w:tc>
          <w:tcPr>
            <w:tcW w:w="1375"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Committee on responsible sourcing of tin, tantalum, tungsten and gold (3TG)</w:t>
            </w:r>
          </w:p>
        </w:tc>
        <w:tc>
          <w:tcPr>
            <w:tcW w:w="903" w:type="pct"/>
            <w:tcBorders>
              <w:top w:val="single" w:sz="4" w:space="0" w:color="auto"/>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 xml:space="preserve">Regulation (EU) 2017/821 </w:t>
            </w:r>
          </w:p>
        </w:tc>
        <w:tc>
          <w:tcPr>
            <w:tcW w:w="417" w:type="pct"/>
            <w:tcBorders>
              <w:top w:val="nil"/>
              <w:left w:val="nil"/>
              <w:bottom w:val="single" w:sz="4" w:space="0" w:color="auto"/>
              <w:right w:val="single" w:sz="4" w:space="0" w:color="auto"/>
            </w:tcBorders>
            <w:shd w:val="clear" w:color="FFFFFF" w:fill="FFFFFF"/>
            <w:vAlign w:val="center"/>
            <w:hideMark/>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lang w:eastAsia="en-GB"/>
              </w:rPr>
              <w:t>Advisory</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hideMark/>
          </w:tcPr>
          <w:p>
            <w:pPr>
              <w:spacing w:before="0" w:after="0"/>
              <w:jc w:val="right"/>
              <w:rPr>
                <w:rFonts w:ascii="Arial" w:hAnsi="Arial" w:cs="Arial"/>
                <w:noProof/>
                <w:color w:val="000000"/>
                <w:sz w:val="18"/>
                <w:szCs w:val="18"/>
                <w:lang w:eastAsia="en-GB"/>
              </w:rPr>
            </w:pPr>
            <w:r>
              <w:rPr>
                <w:rFonts w:ascii="Arial" w:hAnsi="Arial" w:cs="Arial"/>
                <w:noProof/>
                <w:color w:val="000000"/>
                <w:sz w:val="18"/>
                <w:szCs w:val="18"/>
              </w:rPr>
              <w:t>0</w:t>
            </w:r>
          </w:p>
        </w:tc>
      </w:tr>
      <w:tr>
        <w:trPr>
          <w:trHeight w:val="467"/>
        </w:trPr>
        <w:tc>
          <w:tcPr>
            <w:tcW w:w="318" w:type="pct"/>
            <w:tcBorders>
              <w:top w:val="nil"/>
              <w:left w:val="single" w:sz="4" w:space="0" w:color="auto"/>
              <w:bottom w:val="single" w:sz="4" w:space="0" w:color="auto"/>
              <w:right w:val="single" w:sz="4" w:space="0" w:color="auto"/>
            </w:tcBorders>
            <w:shd w:val="clear" w:color="FFFFFF" w:fill="FFFFFF"/>
            <w:noWrap/>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C50100</w:t>
            </w:r>
          </w:p>
        </w:tc>
        <w:tc>
          <w:tcPr>
            <w:tcW w:w="1375"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Western Balkans Implementation Committee</w:t>
            </w:r>
          </w:p>
        </w:tc>
        <w:tc>
          <w:tcPr>
            <w:tcW w:w="903" w:type="pct"/>
            <w:tcBorders>
              <w:top w:val="single" w:sz="4" w:space="0" w:color="auto"/>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 xml:space="preserve">Council Regulation (EC) No 1215/2009 </w:t>
            </w:r>
          </w:p>
        </w:tc>
        <w:tc>
          <w:tcPr>
            <w:tcW w:w="417" w:type="pct"/>
            <w:tcBorders>
              <w:top w:val="nil"/>
              <w:left w:val="nil"/>
              <w:bottom w:val="single" w:sz="4" w:space="0" w:color="auto"/>
              <w:right w:val="single" w:sz="4" w:space="0" w:color="auto"/>
            </w:tcBorders>
            <w:shd w:val="clear" w:color="FFFFFF" w:fill="FFFFFF"/>
            <w:vAlign w:val="center"/>
          </w:tcPr>
          <w:p>
            <w:pPr>
              <w:spacing w:before="0" w:after="0"/>
              <w:jc w:val="left"/>
              <w:rPr>
                <w:rFonts w:ascii="Arial" w:hAnsi="Arial" w:cs="Arial"/>
                <w:noProof/>
                <w:color w:val="000000"/>
                <w:sz w:val="18"/>
                <w:szCs w:val="18"/>
                <w:lang w:eastAsia="en-GB"/>
              </w:rPr>
            </w:pPr>
            <w:r>
              <w:rPr>
                <w:rFonts w:ascii="Arial" w:hAnsi="Arial" w:cs="Arial"/>
                <w:noProof/>
                <w:color w:val="000000"/>
                <w:sz w:val="18"/>
                <w:szCs w:val="18"/>
              </w:rPr>
              <w:t>Advisory</w:t>
            </w:r>
            <w:r>
              <w:rPr>
                <w:rFonts w:ascii="Arial" w:hAnsi="Arial" w:cs="Arial"/>
                <w:noProof/>
                <w:color w:val="000000"/>
                <w:sz w:val="18"/>
                <w:szCs w:val="18"/>
              </w:rPr>
              <w:br/>
              <w:t>Examination</w:t>
            </w:r>
            <w:r>
              <w:rPr>
                <w:rFonts w:ascii="Arial" w:hAnsi="Arial" w:cs="Arial"/>
                <w:noProof/>
                <w:color w:val="000000"/>
                <w:sz w:val="18"/>
                <w:szCs w:val="18"/>
              </w:rPr>
              <w:br/>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c>
          <w:tcPr>
            <w:tcW w:w="200" w:type="pct"/>
            <w:tcBorders>
              <w:top w:val="nil"/>
              <w:left w:val="nil"/>
              <w:bottom w:val="single" w:sz="4" w:space="0" w:color="auto"/>
              <w:right w:val="single" w:sz="4" w:space="0" w:color="auto"/>
            </w:tcBorders>
            <w:shd w:val="clear" w:color="FFFFFF" w:fill="FFFFFF"/>
            <w:noWrap/>
            <w:vAlign w:val="center"/>
          </w:tcPr>
          <w:p>
            <w:pPr>
              <w:spacing w:before="0" w:after="0"/>
              <w:jc w:val="right"/>
              <w:rPr>
                <w:rFonts w:ascii="Arial" w:hAnsi="Arial" w:cs="Arial"/>
                <w:noProof/>
                <w:color w:val="000000"/>
                <w:sz w:val="18"/>
                <w:szCs w:val="18"/>
              </w:rPr>
            </w:pPr>
            <w:r>
              <w:rPr>
                <w:rFonts w:ascii="Arial" w:hAnsi="Arial" w:cs="Arial"/>
                <w:noProof/>
                <w:color w:val="000000"/>
                <w:sz w:val="18"/>
                <w:szCs w:val="18"/>
              </w:rPr>
              <w:t>0</w:t>
            </w:r>
          </w:p>
        </w:tc>
      </w:tr>
      <w:tr>
        <w:trPr>
          <w:trHeight w:val="270"/>
        </w:trPr>
        <w:tc>
          <w:tcPr>
            <w:tcW w:w="318" w:type="pct"/>
            <w:tcBorders>
              <w:top w:val="nil"/>
              <w:left w:val="single" w:sz="4" w:space="0" w:color="auto"/>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1375" w:type="pct"/>
            <w:tcBorders>
              <w:top w:val="nil"/>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Total</w:t>
            </w:r>
          </w:p>
        </w:tc>
        <w:tc>
          <w:tcPr>
            <w:tcW w:w="903" w:type="pct"/>
            <w:tcBorders>
              <w:top w:val="single" w:sz="4" w:space="0" w:color="auto"/>
              <w:left w:val="nil"/>
              <w:bottom w:val="single" w:sz="4" w:space="0" w:color="auto"/>
              <w:right w:val="single" w:sz="4" w:space="0" w:color="auto"/>
            </w:tcBorders>
            <w:shd w:val="clear" w:color="FFFFFF" w:fill="FFFFCC"/>
            <w:noWrap/>
            <w:vAlign w:val="center"/>
            <w:hideMark/>
          </w:tcPr>
          <w:p>
            <w:pPr>
              <w:spacing w:before="0" w:after="0"/>
              <w:jc w:val="center"/>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417"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 </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25</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32</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lang w:eastAsia="en-GB"/>
              </w:rPr>
              <w:t>59</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9</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68</w:t>
            </w:r>
          </w:p>
        </w:tc>
        <w:tc>
          <w:tcPr>
            <w:tcW w:w="200" w:type="pct"/>
            <w:tcBorders>
              <w:top w:val="nil"/>
              <w:left w:val="nil"/>
              <w:bottom w:val="single" w:sz="4" w:space="0" w:color="auto"/>
              <w:right w:val="single" w:sz="4" w:space="0" w:color="auto"/>
            </w:tcBorders>
            <w:shd w:val="clear" w:color="FFFFFF" w:fill="FFFFCC"/>
            <w:noWrap/>
            <w:vAlign w:val="center"/>
            <w:hideMark/>
          </w:tcPr>
          <w:p>
            <w:pPr>
              <w:spacing w:before="0" w:after="0"/>
              <w:jc w:val="right"/>
              <w:rPr>
                <w:rFonts w:ascii="Arial" w:hAnsi="Arial" w:cs="Arial"/>
                <w:b/>
                <w:bCs/>
                <w:noProof/>
                <w:color w:val="000000"/>
                <w:sz w:val="18"/>
                <w:szCs w:val="18"/>
                <w:lang w:eastAsia="en-GB"/>
              </w:rPr>
            </w:pPr>
            <w:r>
              <w:rPr>
                <w:rFonts w:ascii="Arial" w:hAnsi="Arial" w:cs="Arial"/>
                <w:b/>
                <w:bCs/>
                <w:noProof/>
                <w:color w:val="000000"/>
                <w:sz w:val="18"/>
                <w:szCs w:val="18"/>
              </w:rPr>
              <w:t>0</w:t>
            </w:r>
          </w:p>
        </w:tc>
      </w:tr>
    </w:tbl>
    <w:p>
      <w:pPr>
        <w:spacing w:before="0" w:after="0"/>
        <w:rPr>
          <w:b/>
          <w:noProof/>
          <w:u w:val="single"/>
        </w:rPr>
      </w:pPr>
    </w:p>
    <w:p>
      <w:pPr>
        <w:spacing w:before="0" w:after="0"/>
        <w:rPr>
          <w:b/>
          <w:noProof/>
        </w:rPr>
      </w:pPr>
      <w:r>
        <w:rPr>
          <w:b/>
          <w:noProof/>
          <w:u w:val="single"/>
        </w:rPr>
        <w:t>Newly created (or transferred) committee(s)</w:t>
      </w:r>
      <w:r>
        <w:rPr>
          <w:b/>
          <w:noProof/>
        </w:rPr>
        <w:t>:</w:t>
      </w:r>
    </w:p>
    <w:p>
      <w:pPr>
        <w:pStyle w:val="ListDash"/>
        <w:numPr>
          <w:ilvl w:val="0"/>
          <w:numId w:val="31"/>
        </w:numPr>
        <w:spacing w:before="0" w:after="0"/>
        <w:rPr>
          <w:noProof/>
        </w:rPr>
      </w:pPr>
      <w:r>
        <w:rPr>
          <w:noProof/>
        </w:rPr>
        <w:t>none</w:t>
      </w:r>
    </w:p>
    <w:p>
      <w:pPr>
        <w:spacing w:before="0" w:after="0"/>
        <w:rPr>
          <w:b/>
          <w:noProof/>
        </w:rPr>
      </w:pPr>
      <w:r>
        <w:rPr>
          <w:b/>
          <w:noProof/>
          <w:u w:val="single"/>
        </w:rPr>
        <w:t>Abolished (or transferred) committee(s)</w:t>
      </w:r>
      <w:r>
        <w:rPr>
          <w:b/>
          <w:noProof/>
        </w:rPr>
        <w:t>:</w:t>
      </w:r>
    </w:p>
    <w:p>
      <w:pPr>
        <w:pStyle w:val="ListDash"/>
        <w:numPr>
          <w:ilvl w:val="0"/>
          <w:numId w:val="31"/>
        </w:numPr>
        <w:spacing w:before="0" w:after="0"/>
        <w:rPr>
          <w:noProof/>
        </w:rPr>
      </w:pPr>
      <w:r>
        <w:rPr>
          <w:noProof/>
        </w:rPr>
        <w:t>none</w:t>
      </w:r>
    </w:p>
    <w:p>
      <w:pPr>
        <w:spacing w:before="0" w:after="0"/>
        <w:rPr>
          <w:b/>
          <w:noProof/>
          <w:u w:val="single"/>
        </w:rPr>
      </w:pPr>
      <w:r>
        <w:rPr>
          <w:b/>
          <w:noProof/>
          <w:u w:val="single"/>
        </w:rPr>
        <w:t>New procedures attributed to existing committee:</w:t>
      </w:r>
    </w:p>
    <w:p>
      <w:pPr>
        <w:pStyle w:val="ListDash"/>
        <w:numPr>
          <w:ilvl w:val="0"/>
          <w:numId w:val="31"/>
        </w:numPr>
        <w:spacing w:before="0" w:after="0"/>
        <w:rPr>
          <w:noProof/>
        </w:rPr>
      </w:pPr>
      <w:r>
        <w:rPr>
          <w:noProof/>
        </w:rPr>
        <w:t>none</w:t>
      </w:r>
    </w:p>
    <w:p>
      <w:pPr>
        <w:spacing w:before="0" w:after="0"/>
        <w:rPr>
          <w:b/>
          <w:noProof/>
          <w:u w:val="single"/>
        </w:rPr>
      </w:pPr>
      <w:r>
        <w:rPr>
          <w:b/>
          <w:noProof/>
          <w:u w:val="single"/>
        </w:rPr>
        <w:t>Cases referred to the appeal committee, specification of the outcome of the appeal committee vote:</w:t>
      </w:r>
    </w:p>
    <w:p>
      <w:pPr>
        <w:pStyle w:val="ListDash"/>
        <w:numPr>
          <w:ilvl w:val="0"/>
          <w:numId w:val="31"/>
        </w:numPr>
        <w:spacing w:before="0" w:after="0"/>
        <w:rPr>
          <w:noProof/>
        </w:rPr>
      </w:pPr>
      <w:r>
        <w:rPr>
          <w:noProof/>
        </w:rPr>
        <w:t>none</w:t>
      </w:r>
    </w:p>
    <w:p>
      <w:pPr>
        <w:pStyle w:val="ListDash"/>
        <w:spacing w:before="0" w:after="0"/>
        <w:rPr>
          <w:noProof/>
          <w:sz w:val="16"/>
          <w:szCs w:val="16"/>
        </w:rPr>
      </w:pPr>
      <w:r>
        <w:rPr>
          <w:b/>
          <w:noProof/>
          <w:u w:val="single"/>
        </w:rPr>
        <w:t>Cases referred to the Council*, specification of outcome of Council meeting and date/reference of adoption:</w:t>
      </w:r>
      <w:r>
        <w:rPr>
          <w:noProof/>
        </w:rPr>
        <w:t xml:space="preserve"> </w:t>
      </w:r>
      <w:r>
        <w:rPr>
          <w:noProof/>
          <w:sz w:val="16"/>
          <w:szCs w:val="16"/>
        </w:rPr>
        <w:t>(* Due to unfavourable or absence of opinion (under Regulatory procedure with scrutiny)</w:t>
      </w:r>
    </w:p>
    <w:p>
      <w:pPr>
        <w:pStyle w:val="ListDash"/>
        <w:numPr>
          <w:ilvl w:val="0"/>
          <w:numId w:val="31"/>
        </w:numPr>
        <w:spacing w:before="0" w:after="0"/>
        <w:rPr>
          <w:noProof/>
        </w:rPr>
      </w:pPr>
      <w:r>
        <w:rPr>
          <w:noProof/>
        </w:rPr>
        <w:t>none</w:t>
      </w:r>
    </w:p>
    <w:p>
      <w:pPr>
        <w:spacing w:before="0" w:after="0"/>
        <w:rPr>
          <w:b/>
          <w:noProof/>
          <w:color w:val="000000"/>
          <w:u w:val="single"/>
        </w:rPr>
      </w:pPr>
      <w:r>
        <w:rPr>
          <w:b/>
          <w:noProof/>
          <w:color w:val="000000"/>
          <w:u w:val="single"/>
        </w:rPr>
        <w:t>Oppositions by EP to the adoption of measures under RPS:</w:t>
      </w:r>
    </w:p>
    <w:p>
      <w:pPr>
        <w:pStyle w:val="ListDash"/>
        <w:numPr>
          <w:ilvl w:val="0"/>
          <w:numId w:val="31"/>
        </w:numPr>
        <w:spacing w:before="0" w:after="0"/>
        <w:rPr>
          <w:noProof/>
        </w:rPr>
      </w:pPr>
      <w:r>
        <w:rPr>
          <w:noProof/>
        </w:rPr>
        <w:t>none</w:t>
      </w:r>
    </w:p>
    <w:p>
      <w:pPr>
        <w:spacing w:before="0" w:after="0"/>
        <w:rPr>
          <w:b/>
          <w:noProof/>
          <w:color w:val="000000"/>
          <w:u w:val="single"/>
        </w:rPr>
      </w:pPr>
      <w:r>
        <w:rPr>
          <w:b/>
          <w:noProof/>
          <w:color w:val="000000"/>
          <w:u w:val="single"/>
        </w:rPr>
        <w:t xml:space="preserve">Resolutions by EP (art. 11) to draft implementing acts </w:t>
      </w:r>
    </w:p>
    <w:p>
      <w:pPr>
        <w:pStyle w:val="ListDash"/>
        <w:numPr>
          <w:ilvl w:val="0"/>
          <w:numId w:val="40"/>
        </w:numPr>
        <w:spacing w:before="0" w:after="0"/>
        <w:rPr>
          <w:noProof/>
        </w:rPr>
      </w:pPr>
      <w:r>
        <w:rPr>
          <w:noProof/>
        </w:rPr>
        <w:t>none</w:t>
      </w:r>
    </w:p>
    <w:p>
      <w:pPr>
        <w:spacing w:before="0" w:after="0"/>
        <w:rPr>
          <w:b/>
          <w:noProof/>
          <w:color w:val="000000"/>
          <w:u w:val="single"/>
        </w:rPr>
      </w:pPr>
      <w:r>
        <w:rPr>
          <w:b/>
          <w:noProof/>
          <w:color w:val="000000"/>
          <w:u w:val="single"/>
        </w:rPr>
        <w:t>Oppositions by Council to the adoption of measures under RPS:</w:t>
      </w:r>
    </w:p>
    <w:p>
      <w:pPr>
        <w:pStyle w:val="ListDash"/>
        <w:numPr>
          <w:ilvl w:val="0"/>
          <w:numId w:val="31"/>
        </w:numPr>
        <w:spacing w:before="0" w:after="0"/>
        <w:rPr>
          <w:noProof/>
        </w:rPr>
      </w:pPr>
      <w:r>
        <w:rPr>
          <w:noProof/>
        </w:rPr>
        <w:t>none</w:t>
      </w:r>
    </w:p>
    <w:p>
      <w:pPr>
        <w:spacing w:before="0" w:after="0"/>
        <w:rPr>
          <w:b/>
          <w:noProof/>
          <w:u w:val="single"/>
        </w:rPr>
      </w:pPr>
      <w:r>
        <w:rPr>
          <w:b/>
          <w:noProof/>
          <w:u w:val="single"/>
        </w:rPr>
        <w:t>Case Law or other cases of particular interest:</w:t>
      </w:r>
    </w:p>
    <w:p>
      <w:pPr>
        <w:pStyle w:val="ListDash"/>
        <w:numPr>
          <w:ilvl w:val="0"/>
          <w:numId w:val="31"/>
        </w:numPr>
        <w:spacing w:before="0" w:after="0"/>
        <w:rPr>
          <w:noProof/>
        </w:rPr>
      </w:pPr>
      <w:r>
        <w:rPr>
          <w:noProof/>
        </w:rPr>
        <w:t>none</w:t>
      </w:r>
    </w:p>
    <w:sectPr>
      <w:headerReference w:type="even" r:id="rId48"/>
      <w:headerReference w:type="default" r:id="rId49"/>
      <w:footerReference w:type="even" r:id="rId50"/>
      <w:footerReference w:type="default" r:id="rId51"/>
      <w:headerReference w:type="first" r:id="rId52"/>
      <w:footerReference w:type="first" r:id="rId53"/>
      <w:pgSz w:w="16839" w:h="11907"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0"/>
      <w:jc w:val="center"/>
      <w:rPr>
        <w:szCs w:val="24"/>
        <w:lang w:val="es-ES"/>
      </w:rPr>
    </w:pPr>
    <w:r>
      <w:fldChar w:fldCharType="begin"/>
    </w:r>
    <w:r>
      <w:rPr>
        <w:lang w:val="es-ES"/>
      </w:rPr>
      <w:instrText xml:space="preserve"> PAGE  \* MERGEFORMAT </w:instrText>
    </w:r>
    <w:r>
      <w:fldChar w:fldCharType="separate"/>
    </w:r>
    <w:r>
      <w:rPr>
        <w:noProof/>
        <w:lang w:val="es-ES"/>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ab/>
    </w:r>
    <w:r>
      <w:fldChar w:fldCharType="begin"/>
    </w:r>
    <w:r>
      <w:rPr>
        <w:lang w:val="es-ES"/>
      </w:rPr>
      <w:instrText xml:space="preserve"> PAGE  \* MERGEFORMAT </w:instrText>
    </w:r>
    <w:r>
      <w:fldChar w:fldCharType="separate"/>
    </w:r>
    <w:r>
      <w:rPr>
        <w:noProof/>
        <w:lang w:val="es-ES"/>
      </w:rPr>
      <w:t>1</w:t>
    </w:r>
    <w:r>
      <w:fldChar w:fldCharType="end"/>
    </w:r>
    <w:r>
      <w:rPr>
        <w:rFonts w:ascii="Arial" w:hAnsi="Arial" w:cs="Arial"/>
        <w:b/>
        <w:sz w:val="4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0"/>
      <w:jc w:val="center"/>
      <w:rPr>
        <w:szCs w:val="24"/>
        <w:lang w:val="es-ES"/>
      </w:rPr>
    </w:pPr>
    <w:r>
      <w:fldChar w:fldCharType="begin"/>
    </w:r>
    <w:r>
      <w:rPr>
        <w:lang w:val="es-ES"/>
      </w:rPr>
      <w:instrText xml:space="preserve"> PAGE  \* MERGEFORMAT </w:instrText>
    </w:r>
    <w:r>
      <w:fldChar w:fldCharType="separate"/>
    </w:r>
    <w:r>
      <w:rPr>
        <w:noProof/>
        <w:lang w:val="es-ES"/>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This is the situation if no majority is obtained for either a </w:t>
      </w:r>
      <w:r>
        <w:rPr>
          <w:i/>
        </w:rPr>
        <w:t xml:space="preserve">positive </w:t>
      </w:r>
      <w:r>
        <w:t xml:space="preserve">or a </w:t>
      </w:r>
      <w:r>
        <w:rPr>
          <w:i/>
        </w:rPr>
        <w:t>negative opinion</w:t>
      </w:r>
      <w:r>
        <w:t>.</w:t>
      </w:r>
    </w:p>
  </w:footnote>
  <w:footnote w:id="2">
    <w:p>
      <w:pPr>
        <w:pStyle w:val="FootnoteText"/>
      </w:pPr>
      <w:r>
        <w:rPr>
          <w:rStyle w:val="FootnoteReference"/>
        </w:rPr>
        <w:footnoteRef/>
      </w:r>
      <w:r>
        <w:t xml:space="preserve"> </w:t>
      </w:r>
      <w:r>
        <w:tab/>
        <w:t>Taxation, financial services, the protection of the health or safety of humans, animals or plants, or definitive multilateral safeguard measures.</w:t>
      </w:r>
    </w:p>
  </w:footnote>
  <w:footnote w:id="3">
    <w:p>
      <w:pPr>
        <w:pStyle w:val="FootnoteText"/>
      </w:pPr>
      <w:r>
        <w:rPr>
          <w:rStyle w:val="FootnoteReference"/>
        </w:rPr>
        <w:footnoteRef/>
      </w:r>
      <w:r>
        <w:t xml:space="preserve"> </w:t>
      </w:r>
      <w:r>
        <w:rPr>
          <w:color w:val="0000FF"/>
        </w:rPr>
        <w:t>Committee C46400  transferred from DG HOME after Commission reorganisation in December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0C506"/>
    <w:lvl w:ilvl="0">
      <w:start w:val="1"/>
      <w:numFmt w:val="decimal"/>
      <w:pStyle w:val="ListNumber5"/>
      <w:lvlText w:val="%1."/>
      <w:lvlJc w:val="left"/>
      <w:pPr>
        <w:tabs>
          <w:tab w:val="num" w:pos="1492"/>
        </w:tabs>
        <w:ind w:left="1492" w:hanging="360"/>
      </w:pPr>
      <w:rPr>
        <w:rFonts w:cs="Times New Roman"/>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CC3E25"/>
    <w:multiLevelType w:val="hybridMultilevel"/>
    <w:tmpl w:val="D4F8C826"/>
    <w:lvl w:ilvl="0" w:tplc="C35C2AB8">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7E937F1"/>
    <w:multiLevelType w:val="hybridMultilevel"/>
    <w:tmpl w:val="C61E0E9C"/>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F41EB2"/>
    <w:multiLevelType w:val="hybridMultilevel"/>
    <w:tmpl w:val="BA0009D2"/>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A7634C"/>
    <w:multiLevelType w:val="hybridMultilevel"/>
    <w:tmpl w:val="3B1E408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CC21072"/>
    <w:multiLevelType w:val="hybridMultilevel"/>
    <w:tmpl w:val="6E345330"/>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9">
    <w:nsid w:val="131B287E"/>
    <w:multiLevelType w:val="hybridMultilevel"/>
    <w:tmpl w:val="92B6D282"/>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D74539"/>
    <w:multiLevelType w:val="hybridMultilevel"/>
    <w:tmpl w:val="1182F89E"/>
    <w:lvl w:ilvl="0" w:tplc="281AC9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90278F"/>
    <w:multiLevelType w:val="singleLevel"/>
    <w:tmpl w:val="0FE08974"/>
    <w:name w:val="Heading"/>
    <w:lvl w:ilvl="0">
      <w:start w:val="1"/>
      <w:numFmt w:val="bullet"/>
      <w:lvlRestart w:val="0"/>
      <w:pStyle w:val="Tiret3"/>
      <w:lvlText w:val="–"/>
      <w:lvlJc w:val="left"/>
      <w:pPr>
        <w:tabs>
          <w:tab w:val="num" w:pos="2551"/>
        </w:tabs>
        <w:ind w:left="2551" w:hanging="567"/>
      </w:pPr>
    </w:lvl>
  </w:abstractNum>
  <w:abstractNum w:abstractNumId="16">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7">
    <w:nsid w:val="40315490"/>
    <w:multiLevelType w:val="singleLevel"/>
    <w:tmpl w:val="0EC4EBA8"/>
    <w:lvl w:ilvl="0">
      <w:numFmt w:val="bullet"/>
      <w:lvlText w:val="-"/>
      <w:lvlJc w:val="left"/>
      <w:pPr>
        <w:ind w:left="720" w:hanging="360"/>
      </w:pPr>
      <w:rPr>
        <w:rFonts w:ascii="Times New Roman" w:eastAsia="Times New Roman" w:hAnsi="Times New Roman" w:cs="Times New Roman" w:hint="default"/>
        <w:b/>
      </w:rPr>
    </w:lvl>
  </w:abstractNum>
  <w:abstractNum w:abstractNumId="18">
    <w:nsid w:val="48842C30"/>
    <w:multiLevelType w:val="singleLevel"/>
    <w:tmpl w:val="4FA60B90"/>
    <w:name w:val="0,113613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D515C31"/>
    <w:multiLevelType w:val="hybridMultilevel"/>
    <w:tmpl w:val="CA80278E"/>
    <w:lvl w:ilvl="0" w:tplc="92B82F1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2">
    <w:nsid w:val="596D67A1"/>
    <w:multiLevelType w:val="singleLevel"/>
    <w:tmpl w:val="9AC8831A"/>
    <w:name w:val="Default"/>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9AA27A5"/>
    <w:multiLevelType w:val="hybridMultilevel"/>
    <w:tmpl w:val="63D41766"/>
    <w:lvl w:ilvl="0" w:tplc="0EC4EBA8">
      <w:numFmt w:val="bullet"/>
      <w:lvlText w:val="-"/>
      <w:lvlJc w:val="left"/>
      <w:pPr>
        <w:ind w:left="1003" w:hanging="360"/>
      </w:pPr>
      <w:rPr>
        <w:rFonts w:ascii="Times New Roman" w:eastAsia="Times New Roman" w:hAnsi="Times New Roman" w:cs="Times New Roman"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621335BB"/>
    <w:multiLevelType w:val="hybridMultilevel"/>
    <w:tmpl w:val="D04C8058"/>
    <w:lvl w:ilvl="0" w:tplc="0EC4EB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970F71"/>
    <w:multiLevelType w:val="singleLevel"/>
    <w:tmpl w:val="5AFA8C72"/>
    <w:name w:val="Bullet 1"/>
    <w:lvl w:ilvl="0">
      <w:start w:val="1"/>
      <w:numFmt w:val="bullet"/>
      <w:lvlRestart w:val="0"/>
      <w:pStyle w:val="Tiret2"/>
      <w:lvlText w:val="–"/>
      <w:lvlJc w:val="left"/>
      <w:pPr>
        <w:tabs>
          <w:tab w:val="num" w:pos="1984"/>
        </w:tabs>
        <w:ind w:left="1984" w:hanging="567"/>
      </w:pPr>
    </w:lvl>
  </w:abstractNum>
  <w:abstractNum w:abstractNumId="29">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0">
    <w:nsid w:val="65291F67"/>
    <w:multiLevelType w:val="hybridMultilevel"/>
    <w:tmpl w:val="DACA1062"/>
    <w:lvl w:ilvl="0" w:tplc="0EC4EB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995580"/>
    <w:multiLevelType w:val="singleLevel"/>
    <w:tmpl w:val="75CC7CBA"/>
    <w:lvl w:ilvl="0">
      <w:start w:val="1"/>
      <w:numFmt w:val="decimal"/>
      <w:lvlRestart w:val="0"/>
      <w:pStyle w:val="Considrant"/>
      <w:lvlText w:val="(%1)"/>
      <w:lvlJc w:val="left"/>
      <w:pPr>
        <w:tabs>
          <w:tab w:val="num" w:pos="709"/>
        </w:tabs>
        <w:ind w:left="709" w:hanging="709"/>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BF85C88"/>
    <w:multiLevelType w:val="hybridMultilevel"/>
    <w:tmpl w:val="104C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5">
    <w:nsid w:val="711167E2"/>
    <w:multiLevelType w:val="multilevel"/>
    <w:tmpl w:val="C3843A7A"/>
    <w:name w:val="List Bullet"/>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241BD"/>
    <w:multiLevelType w:val="singleLevel"/>
    <w:tmpl w:val="53C4DF32"/>
    <w:name w:val="Tiret 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nsid w:val="7D8820A0"/>
    <w:multiLevelType w:val="singleLevel"/>
    <w:tmpl w:val="54F6C7B4"/>
    <w:name w:val="0,4367443"/>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0"/>
  </w:num>
  <w:num w:numId="2">
    <w:abstractNumId w:val="12"/>
  </w:num>
  <w:num w:numId="3">
    <w:abstractNumId w:val="26"/>
  </w:num>
  <w:num w:numId="4">
    <w:abstractNumId w:val="24"/>
  </w:num>
  <w:num w:numId="5">
    <w:abstractNumId w:val="18"/>
  </w:num>
  <w:num w:numId="6">
    <w:abstractNumId w:val="31"/>
  </w:num>
  <w:num w:numId="7">
    <w:abstractNumId w:val="36"/>
  </w:num>
  <w:num w:numId="8">
    <w:abstractNumId w:val="35"/>
  </w:num>
  <w:num w:numId="9">
    <w:abstractNumId w:val="39"/>
  </w:num>
  <w:num w:numId="10">
    <w:abstractNumId w:val="14"/>
  </w:num>
  <w:num w:numId="11">
    <w:abstractNumId w:val="13"/>
  </w:num>
  <w:num w:numId="12">
    <w:abstractNumId w:val="28"/>
  </w:num>
  <w:num w:numId="13">
    <w:abstractNumId w:val="15"/>
  </w:num>
  <w:num w:numId="14">
    <w:abstractNumId w:val="21"/>
  </w:num>
  <w:num w:numId="15">
    <w:abstractNumId w:val="0"/>
  </w:num>
  <w:num w:numId="16">
    <w:abstractNumId w:val="25"/>
  </w:num>
  <w:num w:numId="17">
    <w:abstractNumId w:val="38"/>
  </w:num>
  <w:num w:numId="18">
    <w:abstractNumId w:val="11"/>
  </w:num>
  <w:num w:numId="19">
    <w:abstractNumId w:val="3"/>
  </w:num>
  <w:num w:numId="20">
    <w:abstractNumId w:val="1"/>
  </w:num>
  <w:num w:numId="21">
    <w:abstractNumId w:val="34"/>
  </w:num>
  <w:num w:numId="22">
    <w:abstractNumId w:val="32"/>
  </w:num>
  <w:num w:numId="23">
    <w:abstractNumId w:val="8"/>
  </w:num>
  <w:num w:numId="24">
    <w:abstractNumId w:val="16"/>
  </w:num>
  <w:num w:numId="25">
    <w:abstractNumId w:val="41"/>
  </w:num>
  <w:num w:numId="26">
    <w:abstractNumId w:val="17"/>
  </w:num>
  <w:num w:numId="27">
    <w:abstractNumId w:val="29"/>
  </w:num>
  <w:num w:numId="28">
    <w:abstractNumId w:val="22"/>
  </w:num>
  <w:num w:numId="29">
    <w:abstractNumId w:val="37"/>
  </w:num>
  <w:num w:numId="30">
    <w:abstractNumId w:val="40"/>
  </w:num>
  <w:num w:numId="31">
    <w:abstractNumId w:val="7"/>
  </w:num>
  <w:num w:numId="32">
    <w:abstractNumId w:val="27"/>
  </w:num>
  <w:num w:numId="33">
    <w:abstractNumId w:val="23"/>
  </w:num>
  <w:num w:numId="34">
    <w:abstractNumId w:val="2"/>
  </w:num>
  <w:num w:numId="35">
    <w:abstractNumId w:val="5"/>
  </w:num>
  <w:num w:numId="36">
    <w:abstractNumId w:val="30"/>
  </w:num>
  <w:num w:numId="37">
    <w:abstractNumId w:val="6"/>
  </w:num>
  <w:num w:numId="38">
    <w:abstractNumId w:val="19"/>
  </w:num>
  <w:num w:numId="39">
    <w:abstractNumId w:val="17"/>
  </w:num>
  <w:num w:numId="40">
    <w:abstractNumId w:val="10"/>
  </w:num>
  <w:num w:numId="41">
    <w:abstractNumId w:val="9"/>
  </w:num>
  <w:num w:numId="42">
    <w:abstractNumId w:val="33"/>
  </w:num>
  <w:num w:numId="43">
    <w:abstractNumId w:val="4"/>
  </w:num>
  <w:num w:numId="44">
    <w:abstractNumId w:val="10"/>
  </w:num>
  <w:num w:numId="4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C7DE818-238B-44BF-9C9C-94E763825C17"/>
    <w:docVar w:name="LW_COVERPAGE_TYPE" w:val="1"/>
    <w:docVar w:name="LW_CROSSREFERENCE" w:val="{COM(2021) 69 final}"/>
    <w:docVar w:name="LW_DATE.ADOPT.CP_ISODATE" w:val="&lt;EMPTY&gt;"/>
    <w:docVar w:name="LW_DocType" w:val="NORMAL"/>
    <w:docVar w:name="LW_EMISSION" w:val="19.2.2021"/>
    <w:docVar w:name="LW_EMISSION_ISODATE" w:val="2021-02-19"/>
    <w:docVar w:name="LW_EMISSION_LOCATION" w:val="BRX"/>
    <w:docVar w:name="LW_EMISSION_PREFIX" w:val="Brussels, "/>
    <w:docVar w:name="LW_EMISSION_SUFFIX" w:val=" "/>
    <w:docVar w:name="LW_ID_DOCTYPE_NONLW" w:val="CP-025"/>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on the working of committees during 2019"/>
    <w:docVar w:name="LW_PART_NBR" w:val="1"/>
    <w:docVar w:name="LW_PART_NBR_TOTAL" w:val="1"/>
    <w:docVar w:name="LW_REF.II.NEW.CP" w:val="&lt;UNUSED&gt;"/>
    <w:docVar w:name="LW_REF.II.NEW.CP_NUMBER" w:val="&lt;UNUSED&gt;"/>
    <w:docVar w:name="LW_REF.II.NEW.CP_YEAR" w:val="2021"/>
    <w:docVar w:name="LW_REF.INST.NEW" w:val="SWD"/>
    <w:docVar w:name="LW_REF.INST.NEW_ADOPTED" w:val="final"/>
    <w:docVar w:name="LW_REF.INST.NEW_TEXT" w:val="(2021) 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7"/>
      </w:numPr>
      <w:spacing w:before="360"/>
      <w:outlineLvl w:val="0"/>
    </w:pPr>
    <w:rPr>
      <w:b/>
      <w:bCs/>
      <w:smallCaps/>
      <w:szCs w:val="32"/>
    </w:rPr>
  </w:style>
  <w:style w:type="paragraph" w:styleId="Heading2">
    <w:name w:val="heading 2"/>
    <w:basedOn w:val="Normal"/>
    <w:next w:val="Normal"/>
    <w:qFormat/>
    <w:pPr>
      <w:keepNext/>
      <w:numPr>
        <w:ilvl w:val="1"/>
        <w:numId w:val="7"/>
      </w:numPr>
      <w:outlineLvl w:val="1"/>
    </w:pPr>
    <w:rPr>
      <w:b/>
      <w:bCs/>
      <w:iCs/>
      <w:szCs w:val="28"/>
    </w:rPr>
  </w:style>
  <w:style w:type="paragraph" w:styleId="Heading3">
    <w:name w:val="heading 3"/>
    <w:basedOn w:val="Normal"/>
    <w:next w:val="Normal"/>
    <w:qFormat/>
    <w:pPr>
      <w:keepNext/>
      <w:numPr>
        <w:ilvl w:val="2"/>
        <w:numId w:val="7"/>
      </w:numPr>
      <w:outlineLvl w:val="2"/>
    </w:pPr>
    <w:rPr>
      <w:bCs/>
      <w:i/>
      <w:szCs w:val="26"/>
    </w:rPr>
  </w:style>
  <w:style w:type="paragraph" w:styleId="Heading4">
    <w:name w:val="heading 4"/>
    <w:basedOn w:val="Normal"/>
    <w:next w:val="Normal"/>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semiHidden/>
    <w:rPr>
      <w:shd w:val="clear" w:color="auto" w:fill="auto"/>
      <w:vertAlign w:val="superscript"/>
    </w:rPr>
  </w:style>
  <w:style w:type="paragraph" w:styleId="FootnoteText">
    <w:name w:val="footnote text"/>
    <w:basedOn w:val="Normal"/>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21"/>
      </w:numPr>
    </w:pPr>
    <w:rPr>
      <w:lang w:eastAsia="de-DE"/>
    </w:rPr>
  </w:style>
  <w:style w:type="paragraph" w:styleId="ListBullet2">
    <w:name w:val="List Bullet 2"/>
    <w:basedOn w:val="Normal"/>
    <w:pPr>
      <w:numPr>
        <w:numId w:val="23"/>
      </w:numPr>
    </w:pPr>
    <w:rPr>
      <w:lang w:eastAsia="de-DE"/>
    </w:rPr>
  </w:style>
  <w:style w:type="paragraph" w:styleId="ListBullet3">
    <w:name w:val="List Bullet 3"/>
    <w:basedOn w:val="Normal"/>
    <w:pPr>
      <w:numPr>
        <w:numId w:val="24"/>
      </w:numPr>
    </w:pPr>
    <w:rPr>
      <w:lang w:eastAsia="de-DE"/>
    </w:rPr>
  </w:style>
  <w:style w:type="paragraph" w:styleId="ListBullet4">
    <w:name w:val="List Bullet 4"/>
    <w:basedOn w:val="Normal"/>
    <w:pPr>
      <w:numPr>
        <w:numId w:val="25"/>
      </w:numPr>
    </w:pPr>
    <w:rPr>
      <w:lang w:eastAsia="de-DE"/>
    </w:rPr>
  </w:style>
  <w:style w:type="paragraph" w:styleId="ListNumber">
    <w:name w:val="List Number"/>
    <w:basedOn w:val="Normal"/>
    <w:pPr>
      <w:numPr>
        <w:numId w:val="16"/>
      </w:numPr>
    </w:pPr>
    <w:rPr>
      <w:lang w:eastAsia="de-DE"/>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Bullet1">
    <w:name w:val="List Bullet 1"/>
    <w:basedOn w:val="Normal"/>
    <w:pPr>
      <w:numPr>
        <w:numId w:val="22"/>
      </w:numPr>
    </w:pPr>
    <w:rPr>
      <w:lang w:eastAsia="de-DE"/>
    </w:rPr>
  </w:style>
  <w:style w:type="paragraph" w:customStyle="1" w:styleId="ListDash">
    <w:name w:val="List Dash"/>
    <w:basedOn w:val="Normal"/>
    <w:link w:val="ListDashChar"/>
    <w:rPr>
      <w:lang w:eastAsia="de-DE"/>
    </w:rPr>
  </w:style>
  <w:style w:type="paragraph" w:customStyle="1" w:styleId="ListDash1">
    <w:name w:val="List Dash 1"/>
    <w:basedOn w:val="Normal"/>
    <w:pPr>
      <w:numPr>
        <w:numId w:val="27"/>
      </w:numPr>
    </w:pPr>
    <w:rPr>
      <w:lang w:eastAsia="de-DE"/>
    </w:rPr>
  </w:style>
  <w:style w:type="paragraph" w:customStyle="1" w:styleId="ListDash2">
    <w:name w:val="List Dash 2"/>
    <w:basedOn w:val="Normal"/>
    <w:pPr>
      <w:numPr>
        <w:numId w:val="28"/>
      </w:numPr>
    </w:pPr>
    <w:rPr>
      <w:lang w:eastAsia="de-DE"/>
    </w:rPr>
  </w:style>
  <w:style w:type="paragraph" w:customStyle="1" w:styleId="ListDash3">
    <w:name w:val="List Dash 3"/>
    <w:basedOn w:val="Normal"/>
    <w:pPr>
      <w:numPr>
        <w:numId w:val="29"/>
      </w:numPr>
    </w:pPr>
    <w:rPr>
      <w:lang w:eastAsia="de-DE"/>
    </w:rPr>
  </w:style>
  <w:style w:type="paragraph" w:customStyle="1" w:styleId="ListDash4">
    <w:name w:val="List Dash 4"/>
    <w:basedOn w:val="Normal"/>
    <w:pPr>
      <w:numPr>
        <w:numId w:val="30"/>
      </w:numPr>
    </w:pPr>
    <w:rPr>
      <w:lang w:eastAsia="de-DE"/>
    </w:rPr>
  </w:style>
  <w:style w:type="paragraph" w:customStyle="1" w:styleId="ListNumber1">
    <w:name w:val="List Number 1"/>
    <w:basedOn w:val="Text1"/>
    <w:pPr>
      <w:numPr>
        <w:numId w:val="17"/>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Level4">
    <w:name w:val="List Number (Level 4)"/>
    <w:basedOn w:val="Normal"/>
    <w:pPr>
      <w:numPr>
        <w:ilvl w:val="3"/>
        <w:numId w:val="16"/>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character" w:styleId="Hyperlink">
    <w:name w:val="Hyperlink"/>
    <w:uiPriority w:val="99"/>
    <w:rPr>
      <w:rFonts w:cs="Times New Roman"/>
      <w:color w:val="0000FF"/>
      <w:u w:val="single"/>
      <w:shd w:val="clear" w:color="auto" w:fill="auto"/>
    </w:rPr>
  </w:style>
  <w:style w:type="paragraph" w:styleId="ListNumber5">
    <w:name w:val="List Number 5"/>
    <w:basedOn w:val="Normal"/>
    <w:pPr>
      <w:numPr>
        <w:numId w:val="15"/>
      </w:numPr>
    </w:pPr>
    <w:rPr>
      <w:lang w:eastAsia="en-GB"/>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before="0"/>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Revision">
    <w:name w:val="Revision"/>
    <w:hidden/>
    <w:uiPriority w:val="99"/>
    <w:semiHidden/>
    <w:rPr>
      <w:sz w:val="24"/>
      <w:szCs w:val="24"/>
      <w:lang w:eastAsia="en-US"/>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character" w:styleId="FollowedHyperlink">
    <w:name w:val="FollowedHyperlink"/>
    <w:uiPriority w:val="99"/>
    <w:unhideWhenUsed/>
    <w:rPr>
      <w:color w:val="800080"/>
      <w:u w:val="single"/>
      <w:shd w:val="clear" w:color="auto" w:fill="auto"/>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FooterChar">
    <w:name w:val="Footer Char"/>
    <w:link w:val="Footer"/>
    <w:uiPriority w:val="99"/>
    <w:rPr>
      <w:rFonts w:eastAsia="Calibri"/>
      <w:sz w:val="24"/>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paragraph" w:customStyle="1" w:styleId="AlphaList3">
    <w:name w:val="AlphaList3"/>
    <w:basedOn w:val="Normal"/>
    <w:pPr>
      <w:tabs>
        <w:tab w:val="num" w:pos="2551"/>
      </w:tabs>
      <w:spacing w:before="0" w:after="200"/>
      <w:ind w:left="2551" w:hanging="567"/>
      <w:contextualSpacing/>
    </w:pPr>
    <w:rPr>
      <w:rFonts w:ascii="EC Square Sans Pro" w:eastAsiaTheme="minorHAnsi" w:hAnsi="EC Square Sans Pro"/>
      <w:sz w:val="20"/>
      <w:szCs w:val="20"/>
      <w:lang w:eastAsia="en-GB"/>
    </w:rPr>
  </w:style>
  <w:style w:type="character" w:customStyle="1" w:styleId="ListDashChar">
    <w:name w:val="List Dash Char"/>
    <w:link w:val="ListDash"/>
    <w:locked/>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qFormat/>
    <w:pPr>
      <w:keepNext/>
      <w:numPr>
        <w:numId w:val="7"/>
      </w:numPr>
      <w:spacing w:before="360"/>
      <w:outlineLvl w:val="0"/>
    </w:pPr>
    <w:rPr>
      <w:b/>
      <w:bCs/>
      <w:smallCaps/>
      <w:szCs w:val="32"/>
    </w:rPr>
  </w:style>
  <w:style w:type="paragraph" w:styleId="Heading2">
    <w:name w:val="heading 2"/>
    <w:basedOn w:val="Normal"/>
    <w:next w:val="Normal"/>
    <w:qFormat/>
    <w:pPr>
      <w:keepNext/>
      <w:numPr>
        <w:ilvl w:val="1"/>
        <w:numId w:val="7"/>
      </w:numPr>
      <w:outlineLvl w:val="1"/>
    </w:pPr>
    <w:rPr>
      <w:b/>
      <w:bCs/>
      <w:iCs/>
      <w:szCs w:val="28"/>
    </w:rPr>
  </w:style>
  <w:style w:type="paragraph" w:styleId="Heading3">
    <w:name w:val="heading 3"/>
    <w:basedOn w:val="Normal"/>
    <w:next w:val="Normal"/>
    <w:qFormat/>
    <w:pPr>
      <w:keepNext/>
      <w:numPr>
        <w:ilvl w:val="2"/>
        <w:numId w:val="7"/>
      </w:numPr>
      <w:outlineLvl w:val="2"/>
    </w:pPr>
    <w:rPr>
      <w:bCs/>
      <w:i/>
      <w:szCs w:val="26"/>
    </w:rPr>
  </w:style>
  <w:style w:type="paragraph" w:styleId="Heading4">
    <w:name w:val="heading 4"/>
    <w:basedOn w:val="Normal"/>
    <w:next w:val="Normal"/>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semiHidden/>
    <w:rPr>
      <w:shd w:val="clear" w:color="auto" w:fill="auto"/>
      <w:vertAlign w:val="superscript"/>
    </w:rPr>
  </w:style>
  <w:style w:type="paragraph" w:styleId="FootnoteText">
    <w:name w:val="footnote text"/>
    <w:basedOn w:val="Normal"/>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ListBullet">
    <w:name w:val="List Bullet"/>
    <w:basedOn w:val="Normal"/>
    <w:pPr>
      <w:numPr>
        <w:numId w:val="21"/>
      </w:numPr>
    </w:pPr>
    <w:rPr>
      <w:lang w:eastAsia="de-DE"/>
    </w:rPr>
  </w:style>
  <w:style w:type="paragraph" w:styleId="ListBullet2">
    <w:name w:val="List Bullet 2"/>
    <w:basedOn w:val="Normal"/>
    <w:pPr>
      <w:numPr>
        <w:numId w:val="23"/>
      </w:numPr>
    </w:pPr>
    <w:rPr>
      <w:lang w:eastAsia="de-DE"/>
    </w:rPr>
  </w:style>
  <w:style w:type="paragraph" w:styleId="ListBullet3">
    <w:name w:val="List Bullet 3"/>
    <w:basedOn w:val="Normal"/>
    <w:pPr>
      <w:numPr>
        <w:numId w:val="24"/>
      </w:numPr>
    </w:pPr>
    <w:rPr>
      <w:lang w:eastAsia="de-DE"/>
    </w:rPr>
  </w:style>
  <w:style w:type="paragraph" w:styleId="ListBullet4">
    <w:name w:val="List Bullet 4"/>
    <w:basedOn w:val="Normal"/>
    <w:pPr>
      <w:numPr>
        <w:numId w:val="25"/>
      </w:numPr>
    </w:pPr>
    <w:rPr>
      <w:lang w:eastAsia="de-DE"/>
    </w:rPr>
  </w:style>
  <w:style w:type="paragraph" w:styleId="ListNumber">
    <w:name w:val="List Number"/>
    <w:basedOn w:val="Normal"/>
    <w:pPr>
      <w:numPr>
        <w:numId w:val="16"/>
      </w:numPr>
    </w:pPr>
    <w:rPr>
      <w:lang w:eastAsia="de-DE"/>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Bullet1">
    <w:name w:val="List Bullet 1"/>
    <w:basedOn w:val="Normal"/>
    <w:pPr>
      <w:numPr>
        <w:numId w:val="22"/>
      </w:numPr>
    </w:pPr>
    <w:rPr>
      <w:lang w:eastAsia="de-DE"/>
    </w:rPr>
  </w:style>
  <w:style w:type="paragraph" w:customStyle="1" w:styleId="ListDash">
    <w:name w:val="List Dash"/>
    <w:basedOn w:val="Normal"/>
    <w:link w:val="ListDashChar"/>
    <w:rPr>
      <w:lang w:eastAsia="de-DE"/>
    </w:rPr>
  </w:style>
  <w:style w:type="paragraph" w:customStyle="1" w:styleId="ListDash1">
    <w:name w:val="List Dash 1"/>
    <w:basedOn w:val="Normal"/>
    <w:pPr>
      <w:numPr>
        <w:numId w:val="27"/>
      </w:numPr>
    </w:pPr>
    <w:rPr>
      <w:lang w:eastAsia="de-DE"/>
    </w:rPr>
  </w:style>
  <w:style w:type="paragraph" w:customStyle="1" w:styleId="ListDash2">
    <w:name w:val="List Dash 2"/>
    <w:basedOn w:val="Normal"/>
    <w:pPr>
      <w:numPr>
        <w:numId w:val="28"/>
      </w:numPr>
    </w:pPr>
    <w:rPr>
      <w:lang w:eastAsia="de-DE"/>
    </w:rPr>
  </w:style>
  <w:style w:type="paragraph" w:customStyle="1" w:styleId="ListDash3">
    <w:name w:val="List Dash 3"/>
    <w:basedOn w:val="Normal"/>
    <w:pPr>
      <w:numPr>
        <w:numId w:val="29"/>
      </w:numPr>
    </w:pPr>
    <w:rPr>
      <w:lang w:eastAsia="de-DE"/>
    </w:rPr>
  </w:style>
  <w:style w:type="paragraph" w:customStyle="1" w:styleId="ListDash4">
    <w:name w:val="List Dash 4"/>
    <w:basedOn w:val="Normal"/>
    <w:pPr>
      <w:numPr>
        <w:numId w:val="30"/>
      </w:numPr>
    </w:pPr>
    <w:rPr>
      <w:lang w:eastAsia="de-DE"/>
    </w:rPr>
  </w:style>
  <w:style w:type="paragraph" w:customStyle="1" w:styleId="ListNumber1">
    <w:name w:val="List Number 1"/>
    <w:basedOn w:val="Text1"/>
    <w:pPr>
      <w:numPr>
        <w:numId w:val="17"/>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Level4">
    <w:name w:val="List Number (Level 4)"/>
    <w:basedOn w:val="Normal"/>
    <w:pPr>
      <w:numPr>
        <w:ilvl w:val="3"/>
        <w:numId w:val="16"/>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character" w:styleId="Hyperlink">
    <w:name w:val="Hyperlink"/>
    <w:uiPriority w:val="99"/>
    <w:rPr>
      <w:rFonts w:cs="Times New Roman"/>
      <w:color w:val="0000FF"/>
      <w:u w:val="single"/>
      <w:shd w:val="clear" w:color="auto" w:fill="auto"/>
    </w:rPr>
  </w:style>
  <w:style w:type="paragraph" w:styleId="ListNumber5">
    <w:name w:val="List Number 5"/>
    <w:basedOn w:val="Normal"/>
    <w:pPr>
      <w:numPr>
        <w:numId w:val="15"/>
      </w:numPr>
    </w:pPr>
    <w:rPr>
      <w:lang w:eastAsia="en-GB"/>
    </w:rPr>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customStyle="1" w:styleId="HeaderCoverPage">
    <w:name w:val="Header Cover Page"/>
    <w:basedOn w:val="Normal"/>
    <w:pPr>
      <w:tabs>
        <w:tab w:val="center" w:pos="4535"/>
        <w:tab w:val="right" w:pos="9071"/>
      </w:tabs>
      <w:spacing w:before="0"/>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Revision">
    <w:name w:val="Revision"/>
    <w:hidden/>
    <w:uiPriority w:val="99"/>
    <w:semiHidden/>
    <w:rPr>
      <w:sz w:val="24"/>
      <w:szCs w:val="24"/>
      <w:lang w:eastAsia="en-US"/>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character" w:styleId="FollowedHyperlink">
    <w:name w:val="FollowedHyperlink"/>
    <w:uiPriority w:val="99"/>
    <w:unhideWhenUsed/>
    <w:rPr>
      <w:color w:val="800080"/>
      <w:u w:val="single"/>
      <w:shd w:val="clear" w:color="auto" w:fill="auto"/>
    </w:rPr>
  </w:style>
  <w:style w:type="paragraph" w:customStyle="1" w:styleId="Declassification">
    <w:name w:val="Declassification"/>
    <w:basedOn w:val="Normal"/>
    <w:next w:val="Normal"/>
    <w:pPr>
      <w:spacing w:before="0" w:after="0"/>
    </w:pPr>
    <w:rPr>
      <w:rFonts w:eastAsia="Calibri"/>
      <w:szCs w:val="22"/>
    </w:rPr>
  </w:style>
  <w:style w:type="character" w:customStyle="1" w:styleId="HeaderChar">
    <w:name w:val="Header Char"/>
    <w:link w:val="Header"/>
    <w:uiPriority w:val="99"/>
    <w:rPr>
      <w:rFonts w:eastAsia="Calibri"/>
      <w:sz w:val="24"/>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FooterChar">
    <w:name w:val="Footer Char"/>
    <w:link w:val="Footer"/>
    <w:uiPriority w:val="99"/>
    <w:rPr>
      <w:rFonts w:eastAsia="Calibri"/>
      <w:sz w:val="24"/>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paragraph" w:customStyle="1" w:styleId="AlphaList3">
    <w:name w:val="AlphaList3"/>
    <w:basedOn w:val="Normal"/>
    <w:pPr>
      <w:tabs>
        <w:tab w:val="num" w:pos="2551"/>
      </w:tabs>
      <w:spacing w:before="0" w:after="200"/>
      <w:ind w:left="2551" w:hanging="567"/>
      <w:contextualSpacing/>
    </w:pPr>
    <w:rPr>
      <w:rFonts w:ascii="EC Square Sans Pro" w:eastAsiaTheme="minorHAnsi" w:hAnsi="EC Square Sans Pro"/>
      <w:sz w:val="20"/>
      <w:szCs w:val="20"/>
      <w:lang w:eastAsia="en-GB"/>
    </w:rPr>
  </w:style>
  <w:style w:type="character" w:customStyle="1" w:styleId="ListDashChar">
    <w:name w:val="List Dash Char"/>
    <w:link w:val="ListDash"/>
    <w:locked/>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701">
      <w:bodyDiv w:val="1"/>
      <w:marLeft w:val="0"/>
      <w:marRight w:val="0"/>
      <w:marTop w:val="0"/>
      <w:marBottom w:val="0"/>
      <w:divBdr>
        <w:top w:val="none" w:sz="0" w:space="0" w:color="auto"/>
        <w:left w:val="none" w:sz="0" w:space="0" w:color="auto"/>
        <w:bottom w:val="none" w:sz="0" w:space="0" w:color="auto"/>
        <w:right w:val="none" w:sz="0" w:space="0" w:color="auto"/>
      </w:divBdr>
    </w:div>
    <w:div w:id="9532308">
      <w:bodyDiv w:val="1"/>
      <w:marLeft w:val="0"/>
      <w:marRight w:val="0"/>
      <w:marTop w:val="0"/>
      <w:marBottom w:val="0"/>
      <w:divBdr>
        <w:top w:val="none" w:sz="0" w:space="0" w:color="auto"/>
        <w:left w:val="none" w:sz="0" w:space="0" w:color="auto"/>
        <w:bottom w:val="none" w:sz="0" w:space="0" w:color="auto"/>
        <w:right w:val="none" w:sz="0" w:space="0" w:color="auto"/>
      </w:divBdr>
    </w:div>
    <w:div w:id="15230408">
      <w:bodyDiv w:val="1"/>
      <w:marLeft w:val="0"/>
      <w:marRight w:val="0"/>
      <w:marTop w:val="0"/>
      <w:marBottom w:val="0"/>
      <w:divBdr>
        <w:top w:val="none" w:sz="0" w:space="0" w:color="auto"/>
        <w:left w:val="none" w:sz="0" w:space="0" w:color="auto"/>
        <w:bottom w:val="none" w:sz="0" w:space="0" w:color="auto"/>
        <w:right w:val="none" w:sz="0" w:space="0" w:color="auto"/>
      </w:divBdr>
    </w:div>
    <w:div w:id="17853748">
      <w:bodyDiv w:val="1"/>
      <w:marLeft w:val="0"/>
      <w:marRight w:val="0"/>
      <w:marTop w:val="0"/>
      <w:marBottom w:val="0"/>
      <w:divBdr>
        <w:top w:val="none" w:sz="0" w:space="0" w:color="auto"/>
        <w:left w:val="none" w:sz="0" w:space="0" w:color="auto"/>
        <w:bottom w:val="none" w:sz="0" w:space="0" w:color="auto"/>
        <w:right w:val="none" w:sz="0" w:space="0" w:color="auto"/>
      </w:divBdr>
    </w:div>
    <w:div w:id="31266862">
      <w:bodyDiv w:val="1"/>
      <w:marLeft w:val="0"/>
      <w:marRight w:val="0"/>
      <w:marTop w:val="0"/>
      <w:marBottom w:val="0"/>
      <w:divBdr>
        <w:top w:val="none" w:sz="0" w:space="0" w:color="auto"/>
        <w:left w:val="none" w:sz="0" w:space="0" w:color="auto"/>
        <w:bottom w:val="none" w:sz="0" w:space="0" w:color="auto"/>
        <w:right w:val="none" w:sz="0" w:space="0" w:color="auto"/>
      </w:divBdr>
    </w:div>
    <w:div w:id="32924877">
      <w:bodyDiv w:val="1"/>
      <w:marLeft w:val="0"/>
      <w:marRight w:val="0"/>
      <w:marTop w:val="0"/>
      <w:marBottom w:val="0"/>
      <w:divBdr>
        <w:top w:val="none" w:sz="0" w:space="0" w:color="auto"/>
        <w:left w:val="none" w:sz="0" w:space="0" w:color="auto"/>
        <w:bottom w:val="none" w:sz="0" w:space="0" w:color="auto"/>
        <w:right w:val="none" w:sz="0" w:space="0" w:color="auto"/>
      </w:divBdr>
    </w:div>
    <w:div w:id="44254803">
      <w:bodyDiv w:val="1"/>
      <w:marLeft w:val="0"/>
      <w:marRight w:val="0"/>
      <w:marTop w:val="0"/>
      <w:marBottom w:val="0"/>
      <w:divBdr>
        <w:top w:val="none" w:sz="0" w:space="0" w:color="auto"/>
        <w:left w:val="none" w:sz="0" w:space="0" w:color="auto"/>
        <w:bottom w:val="none" w:sz="0" w:space="0" w:color="auto"/>
        <w:right w:val="none" w:sz="0" w:space="0" w:color="auto"/>
      </w:divBdr>
    </w:div>
    <w:div w:id="55013692">
      <w:bodyDiv w:val="1"/>
      <w:marLeft w:val="0"/>
      <w:marRight w:val="0"/>
      <w:marTop w:val="0"/>
      <w:marBottom w:val="0"/>
      <w:divBdr>
        <w:top w:val="none" w:sz="0" w:space="0" w:color="auto"/>
        <w:left w:val="none" w:sz="0" w:space="0" w:color="auto"/>
        <w:bottom w:val="none" w:sz="0" w:space="0" w:color="auto"/>
        <w:right w:val="none" w:sz="0" w:space="0" w:color="auto"/>
      </w:divBdr>
    </w:div>
    <w:div w:id="68430015">
      <w:bodyDiv w:val="1"/>
      <w:marLeft w:val="0"/>
      <w:marRight w:val="0"/>
      <w:marTop w:val="0"/>
      <w:marBottom w:val="0"/>
      <w:divBdr>
        <w:top w:val="none" w:sz="0" w:space="0" w:color="auto"/>
        <w:left w:val="none" w:sz="0" w:space="0" w:color="auto"/>
        <w:bottom w:val="none" w:sz="0" w:space="0" w:color="auto"/>
        <w:right w:val="none" w:sz="0" w:space="0" w:color="auto"/>
      </w:divBdr>
    </w:div>
    <w:div w:id="69544836">
      <w:bodyDiv w:val="1"/>
      <w:marLeft w:val="0"/>
      <w:marRight w:val="0"/>
      <w:marTop w:val="0"/>
      <w:marBottom w:val="0"/>
      <w:divBdr>
        <w:top w:val="none" w:sz="0" w:space="0" w:color="auto"/>
        <w:left w:val="none" w:sz="0" w:space="0" w:color="auto"/>
        <w:bottom w:val="none" w:sz="0" w:space="0" w:color="auto"/>
        <w:right w:val="none" w:sz="0" w:space="0" w:color="auto"/>
      </w:divBdr>
    </w:div>
    <w:div w:id="74909250">
      <w:bodyDiv w:val="1"/>
      <w:marLeft w:val="0"/>
      <w:marRight w:val="0"/>
      <w:marTop w:val="0"/>
      <w:marBottom w:val="0"/>
      <w:divBdr>
        <w:top w:val="none" w:sz="0" w:space="0" w:color="auto"/>
        <w:left w:val="none" w:sz="0" w:space="0" w:color="auto"/>
        <w:bottom w:val="none" w:sz="0" w:space="0" w:color="auto"/>
        <w:right w:val="none" w:sz="0" w:space="0" w:color="auto"/>
      </w:divBdr>
    </w:div>
    <w:div w:id="75633422">
      <w:bodyDiv w:val="1"/>
      <w:marLeft w:val="0"/>
      <w:marRight w:val="0"/>
      <w:marTop w:val="0"/>
      <w:marBottom w:val="0"/>
      <w:divBdr>
        <w:top w:val="none" w:sz="0" w:space="0" w:color="auto"/>
        <w:left w:val="none" w:sz="0" w:space="0" w:color="auto"/>
        <w:bottom w:val="none" w:sz="0" w:space="0" w:color="auto"/>
        <w:right w:val="none" w:sz="0" w:space="0" w:color="auto"/>
      </w:divBdr>
    </w:div>
    <w:div w:id="78990477">
      <w:bodyDiv w:val="1"/>
      <w:marLeft w:val="0"/>
      <w:marRight w:val="0"/>
      <w:marTop w:val="0"/>
      <w:marBottom w:val="0"/>
      <w:divBdr>
        <w:top w:val="none" w:sz="0" w:space="0" w:color="auto"/>
        <w:left w:val="none" w:sz="0" w:space="0" w:color="auto"/>
        <w:bottom w:val="none" w:sz="0" w:space="0" w:color="auto"/>
        <w:right w:val="none" w:sz="0" w:space="0" w:color="auto"/>
      </w:divBdr>
    </w:div>
    <w:div w:id="82773218">
      <w:bodyDiv w:val="1"/>
      <w:marLeft w:val="0"/>
      <w:marRight w:val="0"/>
      <w:marTop w:val="0"/>
      <w:marBottom w:val="0"/>
      <w:divBdr>
        <w:top w:val="none" w:sz="0" w:space="0" w:color="auto"/>
        <w:left w:val="none" w:sz="0" w:space="0" w:color="auto"/>
        <w:bottom w:val="none" w:sz="0" w:space="0" w:color="auto"/>
        <w:right w:val="none" w:sz="0" w:space="0" w:color="auto"/>
      </w:divBdr>
    </w:div>
    <w:div w:id="100491509">
      <w:bodyDiv w:val="1"/>
      <w:marLeft w:val="0"/>
      <w:marRight w:val="0"/>
      <w:marTop w:val="0"/>
      <w:marBottom w:val="0"/>
      <w:divBdr>
        <w:top w:val="none" w:sz="0" w:space="0" w:color="auto"/>
        <w:left w:val="none" w:sz="0" w:space="0" w:color="auto"/>
        <w:bottom w:val="none" w:sz="0" w:space="0" w:color="auto"/>
        <w:right w:val="none" w:sz="0" w:space="0" w:color="auto"/>
      </w:divBdr>
    </w:div>
    <w:div w:id="112674105">
      <w:bodyDiv w:val="1"/>
      <w:marLeft w:val="0"/>
      <w:marRight w:val="0"/>
      <w:marTop w:val="0"/>
      <w:marBottom w:val="0"/>
      <w:divBdr>
        <w:top w:val="none" w:sz="0" w:space="0" w:color="auto"/>
        <w:left w:val="none" w:sz="0" w:space="0" w:color="auto"/>
        <w:bottom w:val="none" w:sz="0" w:space="0" w:color="auto"/>
        <w:right w:val="none" w:sz="0" w:space="0" w:color="auto"/>
      </w:divBdr>
    </w:div>
    <w:div w:id="124852439">
      <w:bodyDiv w:val="1"/>
      <w:marLeft w:val="0"/>
      <w:marRight w:val="0"/>
      <w:marTop w:val="0"/>
      <w:marBottom w:val="0"/>
      <w:divBdr>
        <w:top w:val="none" w:sz="0" w:space="0" w:color="auto"/>
        <w:left w:val="none" w:sz="0" w:space="0" w:color="auto"/>
        <w:bottom w:val="none" w:sz="0" w:space="0" w:color="auto"/>
        <w:right w:val="none" w:sz="0" w:space="0" w:color="auto"/>
      </w:divBdr>
    </w:div>
    <w:div w:id="140316319">
      <w:bodyDiv w:val="1"/>
      <w:marLeft w:val="0"/>
      <w:marRight w:val="0"/>
      <w:marTop w:val="0"/>
      <w:marBottom w:val="0"/>
      <w:divBdr>
        <w:top w:val="none" w:sz="0" w:space="0" w:color="auto"/>
        <w:left w:val="none" w:sz="0" w:space="0" w:color="auto"/>
        <w:bottom w:val="none" w:sz="0" w:space="0" w:color="auto"/>
        <w:right w:val="none" w:sz="0" w:space="0" w:color="auto"/>
      </w:divBdr>
    </w:div>
    <w:div w:id="140660605">
      <w:bodyDiv w:val="1"/>
      <w:marLeft w:val="0"/>
      <w:marRight w:val="0"/>
      <w:marTop w:val="0"/>
      <w:marBottom w:val="0"/>
      <w:divBdr>
        <w:top w:val="none" w:sz="0" w:space="0" w:color="auto"/>
        <w:left w:val="none" w:sz="0" w:space="0" w:color="auto"/>
        <w:bottom w:val="none" w:sz="0" w:space="0" w:color="auto"/>
        <w:right w:val="none" w:sz="0" w:space="0" w:color="auto"/>
      </w:divBdr>
    </w:div>
    <w:div w:id="162400150">
      <w:bodyDiv w:val="1"/>
      <w:marLeft w:val="0"/>
      <w:marRight w:val="0"/>
      <w:marTop w:val="0"/>
      <w:marBottom w:val="0"/>
      <w:divBdr>
        <w:top w:val="none" w:sz="0" w:space="0" w:color="auto"/>
        <w:left w:val="none" w:sz="0" w:space="0" w:color="auto"/>
        <w:bottom w:val="none" w:sz="0" w:space="0" w:color="auto"/>
        <w:right w:val="none" w:sz="0" w:space="0" w:color="auto"/>
      </w:divBdr>
    </w:div>
    <w:div w:id="164364460">
      <w:bodyDiv w:val="1"/>
      <w:marLeft w:val="0"/>
      <w:marRight w:val="0"/>
      <w:marTop w:val="0"/>
      <w:marBottom w:val="0"/>
      <w:divBdr>
        <w:top w:val="none" w:sz="0" w:space="0" w:color="auto"/>
        <w:left w:val="none" w:sz="0" w:space="0" w:color="auto"/>
        <w:bottom w:val="none" w:sz="0" w:space="0" w:color="auto"/>
        <w:right w:val="none" w:sz="0" w:space="0" w:color="auto"/>
      </w:divBdr>
    </w:div>
    <w:div w:id="167335335">
      <w:bodyDiv w:val="1"/>
      <w:marLeft w:val="0"/>
      <w:marRight w:val="0"/>
      <w:marTop w:val="0"/>
      <w:marBottom w:val="0"/>
      <w:divBdr>
        <w:top w:val="none" w:sz="0" w:space="0" w:color="auto"/>
        <w:left w:val="none" w:sz="0" w:space="0" w:color="auto"/>
        <w:bottom w:val="none" w:sz="0" w:space="0" w:color="auto"/>
        <w:right w:val="none" w:sz="0" w:space="0" w:color="auto"/>
      </w:divBdr>
    </w:div>
    <w:div w:id="170875257">
      <w:bodyDiv w:val="1"/>
      <w:marLeft w:val="0"/>
      <w:marRight w:val="0"/>
      <w:marTop w:val="0"/>
      <w:marBottom w:val="0"/>
      <w:divBdr>
        <w:top w:val="none" w:sz="0" w:space="0" w:color="auto"/>
        <w:left w:val="none" w:sz="0" w:space="0" w:color="auto"/>
        <w:bottom w:val="none" w:sz="0" w:space="0" w:color="auto"/>
        <w:right w:val="none" w:sz="0" w:space="0" w:color="auto"/>
      </w:divBdr>
    </w:div>
    <w:div w:id="171065802">
      <w:bodyDiv w:val="1"/>
      <w:marLeft w:val="0"/>
      <w:marRight w:val="0"/>
      <w:marTop w:val="0"/>
      <w:marBottom w:val="0"/>
      <w:divBdr>
        <w:top w:val="none" w:sz="0" w:space="0" w:color="auto"/>
        <w:left w:val="none" w:sz="0" w:space="0" w:color="auto"/>
        <w:bottom w:val="none" w:sz="0" w:space="0" w:color="auto"/>
        <w:right w:val="none" w:sz="0" w:space="0" w:color="auto"/>
      </w:divBdr>
    </w:div>
    <w:div w:id="172259669">
      <w:bodyDiv w:val="1"/>
      <w:marLeft w:val="0"/>
      <w:marRight w:val="0"/>
      <w:marTop w:val="0"/>
      <w:marBottom w:val="0"/>
      <w:divBdr>
        <w:top w:val="none" w:sz="0" w:space="0" w:color="auto"/>
        <w:left w:val="none" w:sz="0" w:space="0" w:color="auto"/>
        <w:bottom w:val="none" w:sz="0" w:space="0" w:color="auto"/>
        <w:right w:val="none" w:sz="0" w:space="0" w:color="auto"/>
      </w:divBdr>
    </w:div>
    <w:div w:id="179126040">
      <w:bodyDiv w:val="1"/>
      <w:marLeft w:val="0"/>
      <w:marRight w:val="0"/>
      <w:marTop w:val="0"/>
      <w:marBottom w:val="0"/>
      <w:divBdr>
        <w:top w:val="none" w:sz="0" w:space="0" w:color="auto"/>
        <w:left w:val="none" w:sz="0" w:space="0" w:color="auto"/>
        <w:bottom w:val="none" w:sz="0" w:space="0" w:color="auto"/>
        <w:right w:val="none" w:sz="0" w:space="0" w:color="auto"/>
      </w:divBdr>
    </w:div>
    <w:div w:id="192616800">
      <w:bodyDiv w:val="1"/>
      <w:marLeft w:val="0"/>
      <w:marRight w:val="0"/>
      <w:marTop w:val="0"/>
      <w:marBottom w:val="0"/>
      <w:divBdr>
        <w:top w:val="none" w:sz="0" w:space="0" w:color="auto"/>
        <w:left w:val="none" w:sz="0" w:space="0" w:color="auto"/>
        <w:bottom w:val="none" w:sz="0" w:space="0" w:color="auto"/>
        <w:right w:val="none" w:sz="0" w:space="0" w:color="auto"/>
      </w:divBdr>
    </w:div>
    <w:div w:id="194394143">
      <w:bodyDiv w:val="1"/>
      <w:marLeft w:val="0"/>
      <w:marRight w:val="0"/>
      <w:marTop w:val="0"/>
      <w:marBottom w:val="0"/>
      <w:divBdr>
        <w:top w:val="none" w:sz="0" w:space="0" w:color="auto"/>
        <w:left w:val="none" w:sz="0" w:space="0" w:color="auto"/>
        <w:bottom w:val="none" w:sz="0" w:space="0" w:color="auto"/>
        <w:right w:val="none" w:sz="0" w:space="0" w:color="auto"/>
      </w:divBdr>
    </w:div>
    <w:div w:id="201749726">
      <w:bodyDiv w:val="1"/>
      <w:marLeft w:val="0"/>
      <w:marRight w:val="0"/>
      <w:marTop w:val="0"/>
      <w:marBottom w:val="0"/>
      <w:divBdr>
        <w:top w:val="none" w:sz="0" w:space="0" w:color="auto"/>
        <w:left w:val="none" w:sz="0" w:space="0" w:color="auto"/>
        <w:bottom w:val="none" w:sz="0" w:space="0" w:color="auto"/>
        <w:right w:val="none" w:sz="0" w:space="0" w:color="auto"/>
      </w:divBdr>
    </w:div>
    <w:div w:id="210846665">
      <w:bodyDiv w:val="1"/>
      <w:marLeft w:val="0"/>
      <w:marRight w:val="0"/>
      <w:marTop w:val="0"/>
      <w:marBottom w:val="0"/>
      <w:divBdr>
        <w:top w:val="none" w:sz="0" w:space="0" w:color="auto"/>
        <w:left w:val="none" w:sz="0" w:space="0" w:color="auto"/>
        <w:bottom w:val="none" w:sz="0" w:space="0" w:color="auto"/>
        <w:right w:val="none" w:sz="0" w:space="0" w:color="auto"/>
      </w:divBdr>
    </w:div>
    <w:div w:id="225725082">
      <w:bodyDiv w:val="1"/>
      <w:marLeft w:val="0"/>
      <w:marRight w:val="0"/>
      <w:marTop w:val="0"/>
      <w:marBottom w:val="0"/>
      <w:divBdr>
        <w:top w:val="none" w:sz="0" w:space="0" w:color="auto"/>
        <w:left w:val="none" w:sz="0" w:space="0" w:color="auto"/>
        <w:bottom w:val="none" w:sz="0" w:space="0" w:color="auto"/>
        <w:right w:val="none" w:sz="0" w:space="0" w:color="auto"/>
      </w:divBdr>
    </w:div>
    <w:div w:id="228927288">
      <w:bodyDiv w:val="1"/>
      <w:marLeft w:val="0"/>
      <w:marRight w:val="0"/>
      <w:marTop w:val="0"/>
      <w:marBottom w:val="0"/>
      <w:divBdr>
        <w:top w:val="none" w:sz="0" w:space="0" w:color="auto"/>
        <w:left w:val="none" w:sz="0" w:space="0" w:color="auto"/>
        <w:bottom w:val="none" w:sz="0" w:space="0" w:color="auto"/>
        <w:right w:val="none" w:sz="0" w:space="0" w:color="auto"/>
      </w:divBdr>
    </w:div>
    <w:div w:id="230119401">
      <w:bodyDiv w:val="1"/>
      <w:marLeft w:val="0"/>
      <w:marRight w:val="0"/>
      <w:marTop w:val="0"/>
      <w:marBottom w:val="0"/>
      <w:divBdr>
        <w:top w:val="none" w:sz="0" w:space="0" w:color="auto"/>
        <w:left w:val="none" w:sz="0" w:space="0" w:color="auto"/>
        <w:bottom w:val="none" w:sz="0" w:space="0" w:color="auto"/>
        <w:right w:val="none" w:sz="0" w:space="0" w:color="auto"/>
      </w:divBdr>
    </w:div>
    <w:div w:id="246427665">
      <w:bodyDiv w:val="1"/>
      <w:marLeft w:val="0"/>
      <w:marRight w:val="0"/>
      <w:marTop w:val="0"/>
      <w:marBottom w:val="0"/>
      <w:divBdr>
        <w:top w:val="none" w:sz="0" w:space="0" w:color="auto"/>
        <w:left w:val="none" w:sz="0" w:space="0" w:color="auto"/>
        <w:bottom w:val="none" w:sz="0" w:space="0" w:color="auto"/>
        <w:right w:val="none" w:sz="0" w:space="0" w:color="auto"/>
      </w:divBdr>
    </w:div>
    <w:div w:id="249704706">
      <w:bodyDiv w:val="1"/>
      <w:marLeft w:val="0"/>
      <w:marRight w:val="0"/>
      <w:marTop w:val="0"/>
      <w:marBottom w:val="0"/>
      <w:divBdr>
        <w:top w:val="none" w:sz="0" w:space="0" w:color="auto"/>
        <w:left w:val="none" w:sz="0" w:space="0" w:color="auto"/>
        <w:bottom w:val="none" w:sz="0" w:space="0" w:color="auto"/>
        <w:right w:val="none" w:sz="0" w:space="0" w:color="auto"/>
      </w:divBdr>
    </w:div>
    <w:div w:id="257444016">
      <w:bodyDiv w:val="1"/>
      <w:marLeft w:val="0"/>
      <w:marRight w:val="0"/>
      <w:marTop w:val="0"/>
      <w:marBottom w:val="0"/>
      <w:divBdr>
        <w:top w:val="none" w:sz="0" w:space="0" w:color="auto"/>
        <w:left w:val="none" w:sz="0" w:space="0" w:color="auto"/>
        <w:bottom w:val="none" w:sz="0" w:space="0" w:color="auto"/>
        <w:right w:val="none" w:sz="0" w:space="0" w:color="auto"/>
      </w:divBdr>
    </w:div>
    <w:div w:id="257518736">
      <w:bodyDiv w:val="1"/>
      <w:marLeft w:val="0"/>
      <w:marRight w:val="0"/>
      <w:marTop w:val="0"/>
      <w:marBottom w:val="0"/>
      <w:divBdr>
        <w:top w:val="none" w:sz="0" w:space="0" w:color="auto"/>
        <w:left w:val="none" w:sz="0" w:space="0" w:color="auto"/>
        <w:bottom w:val="none" w:sz="0" w:space="0" w:color="auto"/>
        <w:right w:val="none" w:sz="0" w:space="0" w:color="auto"/>
      </w:divBdr>
    </w:div>
    <w:div w:id="262735401">
      <w:bodyDiv w:val="1"/>
      <w:marLeft w:val="0"/>
      <w:marRight w:val="0"/>
      <w:marTop w:val="0"/>
      <w:marBottom w:val="0"/>
      <w:divBdr>
        <w:top w:val="none" w:sz="0" w:space="0" w:color="auto"/>
        <w:left w:val="none" w:sz="0" w:space="0" w:color="auto"/>
        <w:bottom w:val="none" w:sz="0" w:space="0" w:color="auto"/>
        <w:right w:val="none" w:sz="0" w:space="0" w:color="auto"/>
      </w:divBdr>
    </w:div>
    <w:div w:id="264190325">
      <w:bodyDiv w:val="1"/>
      <w:marLeft w:val="0"/>
      <w:marRight w:val="0"/>
      <w:marTop w:val="0"/>
      <w:marBottom w:val="0"/>
      <w:divBdr>
        <w:top w:val="none" w:sz="0" w:space="0" w:color="auto"/>
        <w:left w:val="none" w:sz="0" w:space="0" w:color="auto"/>
        <w:bottom w:val="none" w:sz="0" w:space="0" w:color="auto"/>
        <w:right w:val="none" w:sz="0" w:space="0" w:color="auto"/>
      </w:divBdr>
    </w:div>
    <w:div w:id="272522190">
      <w:bodyDiv w:val="1"/>
      <w:marLeft w:val="0"/>
      <w:marRight w:val="0"/>
      <w:marTop w:val="0"/>
      <w:marBottom w:val="0"/>
      <w:divBdr>
        <w:top w:val="none" w:sz="0" w:space="0" w:color="auto"/>
        <w:left w:val="none" w:sz="0" w:space="0" w:color="auto"/>
        <w:bottom w:val="none" w:sz="0" w:space="0" w:color="auto"/>
        <w:right w:val="none" w:sz="0" w:space="0" w:color="auto"/>
      </w:divBdr>
    </w:div>
    <w:div w:id="273904816">
      <w:bodyDiv w:val="1"/>
      <w:marLeft w:val="0"/>
      <w:marRight w:val="0"/>
      <w:marTop w:val="0"/>
      <w:marBottom w:val="0"/>
      <w:divBdr>
        <w:top w:val="none" w:sz="0" w:space="0" w:color="auto"/>
        <w:left w:val="none" w:sz="0" w:space="0" w:color="auto"/>
        <w:bottom w:val="none" w:sz="0" w:space="0" w:color="auto"/>
        <w:right w:val="none" w:sz="0" w:space="0" w:color="auto"/>
      </w:divBdr>
    </w:div>
    <w:div w:id="281889884">
      <w:bodyDiv w:val="1"/>
      <w:marLeft w:val="0"/>
      <w:marRight w:val="0"/>
      <w:marTop w:val="0"/>
      <w:marBottom w:val="0"/>
      <w:divBdr>
        <w:top w:val="none" w:sz="0" w:space="0" w:color="auto"/>
        <w:left w:val="none" w:sz="0" w:space="0" w:color="auto"/>
        <w:bottom w:val="none" w:sz="0" w:space="0" w:color="auto"/>
        <w:right w:val="none" w:sz="0" w:space="0" w:color="auto"/>
      </w:divBdr>
    </w:div>
    <w:div w:id="290208617">
      <w:bodyDiv w:val="1"/>
      <w:marLeft w:val="0"/>
      <w:marRight w:val="0"/>
      <w:marTop w:val="0"/>
      <w:marBottom w:val="0"/>
      <w:divBdr>
        <w:top w:val="none" w:sz="0" w:space="0" w:color="auto"/>
        <w:left w:val="none" w:sz="0" w:space="0" w:color="auto"/>
        <w:bottom w:val="none" w:sz="0" w:space="0" w:color="auto"/>
        <w:right w:val="none" w:sz="0" w:space="0" w:color="auto"/>
      </w:divBdr>
    </w:div>
    <w:div w:id="291253203">
      <w:bodyDiv w:val="1"/>
      <w:marLeft w:val="0"/>
      <w:marRight w:val="0"/>
      <w:marTop w:val="0"/>
      <w:marBottom w:val="0"/>
      <w:divBdr>
        <w:top w:val="none" w:sz="0" w:space="0" w:color="auto"/>
        <w:left w:val="none" w:sz="0" w:space="0" w:color="auto"/>
        <w:bottom w:val="none" w:sz="0" w:space="0" w:color="auto"/>
        <w:right w:val="none" w:sz="0" w:space="0" w:color="auto"/>
      </w:divBdr>
    </w:div>
    <w:div w:id="301545887">
      <w:bodyDiv w:val="1"/>
      <w:marLeft w:val="0"/>
      <w:marRight w:val="0"/>
      <w:marTop w:val="0"/>
      <w:marBottom w:val="0"/>
      <w:divBdr>
        <w:top w:val="none" w:sz="0" w:space="0" w:color="auto"/>
        <w:left w:val="none" w:sz="0" w:space="0" w:color="auto"/>
        <w:bottom w:val="none" w:sz="0" w:space="0" w:color="auto"/>
        <w:right w:val="none" w:sz="0" w:space="0" w:color="auto"/>
      </w:divBdr>
    </w:div>
    <w:div w:id="309558248">
      <w:bodyDiv w:val="1"/>
      <w:marLeft w:val="0"/>
      <w:marRight w:val="0"/>
      <w:marTop w:val="0"/>
      <w:marBottom w:val="0"/>
      <w:divBdr>
        <w:top w:val="none" w:sz="0" w:space="0" w:color="auto"/>
        <w:left w:val="none" w:sz="0" w:space="0" w:color="auto"/>
        <w:bottom w:val="none" w:sz="0" w:space="0" w:color="auto"/>
        <w:right w:val="none" w:sz="0" w:space="0" w:color="auto"/>
      </w:divBdr>
    </w:div>
    <w:div w:id="317342574">
      <w:bodyDiv w:val="1"/>
      <w:marLeft w:val="0"/>
      <w:marRight w:val="0"/>
      <w:marTop w:val="0"/>
      <w:marBottom w:val="0"/>
      <w:divBdr>
        <w:top w:val="none" w:sz="0" w:space="0" w:color="auto"/>
        <w:left w:val="none" w:sz="0" w:space="0" w:color="auto"/>
        <w:bottom w:val="none" w:sz="0" w:space="0" w:color="auto"/>
        <w:right w:val="none" w:sz="0" w:space="0" w:color="auto"/>
      </w:divBdr>
    </w:div>
    <w:div w:id="325864824">
      <w:bodyDiv w:val="1"/>
      <w:marLeft w:val="0"/>
      <w:marRight w:val="0"/>
      <w:marTop w:val="0"/>
      <w:marBottom w:val="0"/>
      <w:divBdr>
        <w:top w:val="none" w:sz="0" w:space="0" w:color="auto"/>
        <w:left w:val="none" w:sz="0" w:space="0" w:color="auto"/>
        <w:bottom w:val="none" w:sz="0" w:space="0" w:color="auto"/>
        <w:right w:val="none" w:sz="0" w:space="0" w:color="auto"/>
      </w:divBdr>
    </w:div>
    <w:div w:id="330303734">
      <w:bodyDiv w:val="1"/>
      <w:marLeft w:val="0"/>
      <w:marRight w:val="0"/>
      <w:marTop w:val="0"/>
      <w:marBottom w:val="0"/>
      <w:divBdr>
        <w:top w:val="none" w:sz="0" w:space="0" w:color="auto"/>
        <w:left w:val="none" w:sz="0" w:space="0" w:color="auto"/>
        <w:bottom w:val="none" w:sz="0" w:space="0" w:color="auto"/>
        <w:right w:val="none" w:sz="0" w:space="0" w:color="auto"/>
      </w:divBdr>
    </w:div>
    <w:div w:id="332997223">
      <w:bodyDiv w:val="1"/>
      <w:marLeft w:val="0"/>
      <w:marRight w:val="0"/>
      <w:marTop w:val="0"/>
      <w:marBottom w:val="0"/>
      <w:divBdr>
        <w:top w:val="none" w:sz="0" w:space="0" w:color="auto"/>
        <w:left w:val="none" w:sz="0" w:space="0" w:color="auto"/>
        <w:bottom w:val="none" w:sz="0" w:space="0" w:color="auto"/>
        <w:right w:val="none" w:sz="0" w:space="0" w:color="auto"/>
      </w:divBdr>
    </w:div>
    <w:div w:id="336269827">
      <w:bodyDiv w:val="1"/>
      <w:marLeft w:val="0"/>
      <w:marRight w:val="0"/>
      <w:marTop w:val="0"/>
      <w:marBottom w:val="0"/>
      <w:divBdr>
        <w:top w:val="none" w:sz="0" w:space="0" w:color="auto"/>
        <w:left w:val="none" w:sz="0" w:space="0" w:color="auto"/>
        <w:bottom w:val="none" w:sz="0" w:space="0" w:color="auto"/>
        <w:right w:val="none" w:sz="0" w:space="0" w:color="auto"/>
      </w:divBdr>
    </w:div>
    <w:div w:id="347683054">
      <w:bodyDiv w:val="1"/>
      <w:marLeft w:val="0"/>
      <w:marRight w:val="0"/>
      <w:marTop w:val="0"/>
      <w:marBottom w:val="0"/>
      <w:divBdr>
        <w:top w:val="none" w:sz="0" w:space="0" w:color="auto"/>
        <w:left w:val="none" w:sz="0" w:space="0" w:color="auto"/>
        <w:bottom w:val="none" w:sz="0" w:space="0" w:color="auto"/>
        <w:right w:val="none" w:sz="0" w:space="0" w:color="auto"/>
      </w:divBdr>
    </w:div>
    <w:div w:id="348260780">
      <w:bodyDiv w:val="1"/>
      <w:marLeft w:val="0"/>
      <w:marRight w:val="0"/>
      <w:marTop w:val="0"/>
      <w:marBottom w:val="0"/>
      <w:divBdr>
        <w:top w:val="none" w:sz="0" w:space="0" w:color="auto"/>
        <w:left w:val="none" w:sz="0" w:space="0" w:color="auto"/>
        <w:bottom w:val="none" w:sz="0" w:space="0" w:color="auto"/>
        <w:right w:val="none" w:sz="0" w:space="0" w:color="auto"/>
      </w:divBdr>
    </w:div>
    <w:div w:id="350029575">
      <w:bodyDiv w:val="1"/>
      <w:marLeft w:val="0"/>
      <w:marRight w:val="0"/>
      <w:marTop w:val="0"/>
      <w:marBottom w:val="0"/>
      <w:divBdr>
        <w:top w:val="none" w:sz="0" w:space="0" w:color="auto"/>
        <w:left w:val="none" w:sz="0" w:space="0" w:color="auto"/>
        <w:bottom w:val="none" w:sz="0" w:space="0" w:color="auto"/>
        <w:right w:val="none" w:sz="0" w:space="0" w:color="auto"/>
      </w:divBdr>
    </w:div>
    <w:div w:id="359085497">
      <w:bodyDiv w:val="1"/>
      <w:marLeft w:val="0"/>
      <w:marRight w:val="0"/>
      <w:marTop w:val="0"/>
      <w:marBottom w:val="0"/>
      <w:divBdr>
        <w:top w:val="none" w:sz="0" w:space="0" w:color="auto"/>
        <w:left w:val="none" w:sz="0" w:space="0" w:color="auto"/>
        <w:bottom w:val="none" w:sz="0" w:space="0" w:color="auto"/>
        <w:right w:val="none" w:sz="0" w:space="0" w:color="auto"/>
      </w:divBdr>
    </w:div>
    <w:div w:id="360133914">
      <w:bodyDiv w:val="1"/>
      <w:marLeft w:val="0"/>
      <w:marRight w:val="0"/>
      <w:marTop w:val="0"/>
      <w:marBottom w:val="0"/>
      <w:divBdr>
        <w:top w:val="none" w:sz="0" w:space="0" w:color="auto"/>
        <w:left w:val="none" w:sz="0" w:space="0" w:color="auto"/>
        <w:bottom w:val="none" w:sz="0" w:space="0" w:color="auto"/>
        <w:right w:val="none" w:sz="0" w:space="0" w:color="auto"/>
      </w:divBdr>
    </w:div>
    <w:div w:id="389498709">
      <w:bodyDiv w:val="1"/>
      <w:marLeft w:val="0"/>
      <w:marRight w:val="0"/>
      <w:marTop w:val="0"/>
      <w:marBottom w:val="0"/>
      <w:divBdr>
        <w:top w:val="none" w:sz="0" w:space="0" w:color="auto"/>
        <w:left w:val="none" w:sz="0" w:space="0" w:color="auto"/>
        <w:bottom w:val="none" w:sz="0" w:space="0" w:color="auto"/>
        <w:right w:val="none" w:sz="0" w:space="0" w:color="auto"/>
      </w:divBdr>
    </w:div>
    <w:div w:id="415056795">
      <w:bodyDiv w:val="1"/>
      <w:marLeft w:val="0"/>
      <w:marRight w:val="0"/>
      <w:marTop w:val="0"/>
      <w:marBottom w:val="0"/>
      <w:divBdr>
        <w:top w:val="none" w:sz="0" w:space="0" w:color="auto"/>
        <w:left w:val="none" w:sz="0" w:space="0" w:color="auto"/>
        <w:bottom w:val="none" w:sz="0" w:space="0" w:color="auto"/>
        <w:right w:val="none" w:sz="0" w:space="0" w:color="auto"/>
      </w:divBdr>
    </w:div>
    <w:div w:id="420033427">
      <w:bodyDiv w:val="1"/>
      <w:marLeft w:val="0"/>
      <w:marRight w:val="0"/>
      <w:marTop w:val="0"/>
      <w:marBottom w:val="0"/>
      <w:divBdr>
        <w:top w:val="none" w:sz="0" w:space="0" w:color="auto"/>
        <w:left w:val="none" w:sz="0" w:space="0" w:color="auto"/>
        <w:bottom w:val="none" w:sz="0" w:space="0" w:color="auto"/>
        <w:right w:val="none" w:sz="0" w:space="0" w:color="auto"/>
      </w:divBdr>
    </w:div>
    <w:div w:id="427506222">
      <w:bodyDiv w:val="1"/>
      <w:marLeft w:val="0"/>
      <w:marRight w:val="0"/>
      <w:marTop w:val="0"/>
      <w:marBottom w:val="0"/>
      <w:divBdr>
        <w:top w:val="none" w:sz="0" w:space="0" w:color="auto"/>
        <w:left w:val="none" w:sz="0" w:space="0" w:color="auto"/>
        <w:bottom w:val="none" w:sz="0" w:space="0" w:color="auto"/>
        <w:right w:val="none" w:sz="0" w:space="0" w:color="auto"/>
      </w:divBdr>
    </w:div>
    <w:div w:id="444472488">
      <w:bodyDiv w:val="1"/>
      <w:marLeft w:val="0"/>
      <w:marRight w:val="0"/>
      <w:marTop w:val="0"/>
      <w:marBottom w:val="0"/>
      <w:divBdr>
        <w:top w:val="none" w:sz="0" w:space="0" w:color="auto"/>
        <w:left w:val="none" w:sz="0" w:space="0" w:color="auto"/>
        <w:bottom w:val="none" w:sz="0" w:space="0" w:color="auto"/>
        <w:right w:val="none" w:sz="0" w:space="0" w:color="auto"/>
      </w:divBdr>
    </w:div>
    <w:div w:id="454913280">
      <w:bodyDiv w:val="1"/>
      <w:marLeft w:val="0"/>
      <w:marRight w:val="0"/>
      <w:marTop w:val="0"/>
      <w:marBottom w:val="0"/>
      <w:divBdr>
        <w:top w:val="none" w:sz="0" w:space="0" w:color="auto"/>
        <w:left w:val="none" w:sz="0" w:space="0" w:color="auto"/>
        <w:bottom w:val="none" w:sz="0" w:space="0" w:color="auto"/>
        <w:right w:val="none" w:sz="0" w:space="0" w:color="auto"/>
      </w:divBdr>
    </w:div>
    <w:div w:id="456686199">
      <w:bodyDiv w:val="1"/>
      <w:marLeft w:val="0"/>
      <w:marRight w:val="0"/>
      <w:marTop w:val="0"/>
      <w:marBottom w:val="0"/>
      <w:divBdr>
        <w:top w:val="none" w:sz="0" w:space="0" w:color="auto"/>
        <w:left w:val="none" w:sz="0" w:space="0" w:color="auto"/>
        <w:bottom w:val="none" w:sz="0" w:space="0" w:color="auto"/>
        <w:right w:val="none" w:sz="0" w:space="0" w:color="auto"/>
      </w:divBdr>
    </w:div>
    <w:div w:id="471335329">
      <w:bodyDiv w:val="1"/>
      <w:marLeft w:val="0"/>
      <w:marRight w:val="0"/>
      <w:marTop w:val="0"/>
      <w:marBottom w:val="0"/>
      <w:divBdr>
        <w:top w:val="none" w:sz="0" w:space="0" w:color="auto"/>
        <w:left w:val="none" w:sz="0" w:space="0" w:color="auto"/>
        <w:bottom w:val="none" w:sz="0" w:space="0" w:color="auto"/>
        <w:right w:val="none" w:sz="0" w:space="0" w:color="auto"/>
      </w:divBdr>
    </w:div>
    <w:div w:id="486941079">
      <w:bodyDiv w:val="1"/>
      <w:marLeft w:val="0"/>
      <w:marRight w:val="0"/>
      <w:marTop w:val="0"/>
      <w:marBottom w:val="0"/>
      <w:divBdr>
        <w:top w:val="none" w:sz="0" w:space="0" w:color="auto"/>
        <w:left w:val="none" w:sz="0" w:space="0" w:color="auto"/>
        <w:bottom w:val="none" w:sz="0" w:space="0" w:color="auto"/>
        <w:right w:val="none" w:sz="0" w:space="0" w:color="auto"/>
      </w:divBdr>
    </w:div>
    <w:div w:id="510293303">
      <w:bodyDiv w:val="1"/>
      <w:marLeft w:val="0"/>
      <w:marRight w:val="0"/>
      <w:marTop w:val="0"/>
      <w:marBottom w:val="0"/>
      <w:divBdr>
        <w:top w:val="none" w:sz="0" w:space="0" w:color="auto"/>
        <w:left w:val="none" w:sz="0" w:space="0" w:color="auto"/>
        <w:bottom w:val="none" w:sz="0" w:space="0" w:color="auto"/>
        <w:right w:val="none" w:sz="0" w:space="0" w:color="auto"/>
      </w:divBdr>
    </w:div>
    <w:div w:id="511383371">
      <w:bodyDiv w:val="1"/>
      <w:marLeft w:val="0"/>
      <w:marRight w:val="0"/>
      <w:marTop w:val="0"/>
      <w:marBottom w:val="0"/>
      <w:divBdr>
        <w:top w:val="none" w:sz="0" w:space="0" w:color="auto"/>
        <w:left w:val="none" w:sz="0" w:space="0" w:color="auto"/>
        <w:bottom w:val="none" w:sz="0" w:space="0" w:color="auto"/>
        <w:right w:val="none" w:sz="0" w:space="0" w:color="auto"/>
      </w:divBdr>
    </w:div>
    <w:div w:id="527069100">
      <w:bodyDiv w:val="1"/>
      <w:marLeft w:val="0"/>
      <w:marRight w:val="0"/>
      <w:marTop w:val="0"/>
      <w:marBottom w:val="0"/>
      <w:divBdr>
        <w:top w:val="none" w:sz="0" w:space="0" w:color="auto"/>
        <w:left w:val="none" w:sz="0" w:space="0" w:color="auto"/>
        <w:bottom w:val="none" w:sz="0" w:space="0" w:color="auto"/>
        <w:right w:val="none" w:sz="0" w:space="0" w:color="auto"/>
      </w:divBdr>
    </w:div>
    <w:div w:id="532307631">
      <w:bodyDiv w:val="1"/>
      <w:marLeft w:val="0"/>
      <w:marRight w:val="0"/>
      <w:marTop w:val="0"/>
      <w:marBottom w:val="0"/>
      <w:divBdr>
        <w:top w:val="none" w:sz="0" w:space="0" w:color="auto"/>
        <w:left w:val="none" w:sz="0" w:space="0" w:color="auto"/>
        <w:bottom w:val="none" w:sz="0" w:space="0" w:color="auto"/>
        <w:right w:val="none" w:sz="0" w:space="0" w:color="auto"/>
      </w:divBdr>
    </w:div>
    <w:div w:id="545945891">
      <w:bodyDiv w:val="1"/>
      <w:marLeft w:val="0"/>
      <w:marRight w:val="0"/>
      <w:marTop w:val="0"/>
      <w:marBottom w:val="0"/>
      <w:divBdr>
        <w:top w:val="none" w:sz="0" w:space="0" w:color="auto"/>
        <w:left w:val="none" w:sz="0" w:space="0" w:color="auto"/>
        <w:bottom w:val="none" w:sz="0" w:space="0" w:color="auto"/>
        <w:right w:val="none" w:sz="0" w:space="0" w:color="auto"/>
      </w:divBdr>
    </w:div>
    <w:div w:id="555238910">
      <w:bodyDiv w:val="1"/>
      <w:marLeft w:val="0"/>
      <w:marRight w:val="0"/>
      <w:marTop w:val="0"/>
      <w:marBottom w:val="0"/>
      <w:divBdr>
        <w:top w:val="none" w:sz="0" w:space="0" w:color="auto"/>
        <w:left w:val="none" w:sz="0" w:space="0" w:color="auto"/>
        <w:bottom w:val="none" w:sz="0" w:space="0" w:color="auto"/>
        <w:right w:val="none" w:sz="0" w:space="0" w:color="auto"/>
      </w:divBdr>
    </w:div>
    <w:div w:id="557203519">
      <w:bodyDiv w:val="1"/>
      <w:marLeft w:val="0"/>
      <w:marRight w:val="0"/>
      <w:marTop w:val="0"/>
      <w:marBottom w:val="0"/>
      <w:divBdr>
        <w:top w:val="none" w:sz="0" w:space="0" w:color="auto"/>
        <w:left w:val="none" w:sz="0" w:space="0" w:color="auto"/>
        <w:bottom w:val="none" w:sz="0" w:space="0" w:color="auto"/>
        <w:right w:val="none" w:sz="0" w:space="0" w:color="auto"/>
      </w:divBdr>
    </w:div>
    <w:div w:id="575168723">
      <w:bodyDiv w:val="1"/>
      <w:marLeft w:val="0"/>
      <w:marRight w:val="0"/>
      <w:marTop w:val="0"/>
      <w:marBottom w:val="0"/>
      <w:divBdr>
        <w:top w:val="none" w:sz="0" w:space="0" w:color="auto"/>
        <w:left w:val="none" w:sz="0" w:space="0" w:color="auto"/>
        <w:bottom w:val="none" w:sz="0" w:space="0" w:color="auto"/>
        <w:right w:val="none" w:sz="0" w:space="0" w:color="auto"/>
      </w:divBdr>
    </w:div>
    <w:div w:id="583228027">
      <w:bodyDiv w:val="1"/>
      <w:marLeft w:val="0"/>
      <w:marRight w:val="0"/>
      <w:marTop w:val="0"/>
      <w:marBottom w:val="0"/>
      <w:divBdr>
        <w:top w:val="none" w:sz="0" w:space="0" w:color="auto"/>
        <w:left w:val="none" w:sz="0" w:space="0" w:color="auto"/>
        <w:bottom w:val="none" w:sz="0" w:space="0" w:color="auto"/>
        <w:right w:val="none" w:sz="0" w:space="0" w:color="auto"/>
      </w:divBdr>
    </w:div>
    <w:div w:id="586353466">
      <w:bodyDiv w:val="1"/>
      <w:marLeft w:val="0"/>
      <w:marRight w:val="0"/>
      <w:marTop w:val="0"/>
      <w:marBottom w:val="0"/>
      <w:divBdr>
        <w:top w:val="none" w:sz="0" w:space="0" w:color="auto"/>
        <w:left w:val="none" w:sz="0" w:space="0" w:color="auto"/>
        <w:bottom w:val="none" w:sz="0" w:space="0" w:color="auto"/>
        <w:right w:val="none" w:sz="0" w:space="0" w:color="auto"/>
      </w:divBdr>
    </w:div>
    <w:div w:id="609356847">
      <w:bodyDiv w:val="1"/>
      <w:marLeft w:val="0"/>
      <w:marRight w:val="0"/>
      <w:marTop w:val="0"/>
      <w:marBottom w:val="0"/>
      <w:divBdr>
        <w:top w:val="none" w:sz="0" w:space="0" w:color="auto"/>
        <w:left w:val="none" w:sz="0" w:space="0" w:color="auto"/>
        <w:bottom w:val="none" w:sz="0" w:space="0" w:color="auto"/>
        <w:right w:val="none" w:sz="0" w:space="0" w:color="auto"/>
      </w:divBdr>
    </w:div>
    <w:div w:id="630406978">
      <w:bodyDiv w:val="1"/>
      <w:marLeft w:val="0"/>
      <w:marRight w:val="0"/>
      <w:marTop w:val="0"/>
      <w:marBottom w:val="0"/>
      <w:divBdr>
        <w:top w:val="none" w:sz="0" w:space="0" w:color="auto"/>
        <w:left w:val="none" w:sz="0" w:space="0" w:color="auto"/>
        <w:bottom w:val="none" w:sz="0" w:space="0" w:color="auto"/>
        <w:right w:val="none" w:sz="0" w:space="0" w:color="auto"/>
      </w:divBdr>
    </w:div>
    <w:div w:id="661199416">
      <w:bodyDiv w:val="1"/>
      <w:marLeft w:val="0"/>
      <w:marRight w:val="0"/>
      <w:marTop w:val="0"/>
      <w:marBottom w:val="0"/>
      <w:divBdr>
        <w:top w:val="none" w:sz="0" w:space="0" w:color="auto"/>
        <w:left w:val="none" w:sz="0" w:space="0" w:color="auto"/>
        <w:bottom w:val="none" w:sz="0" w:space="0" w:color="auto"/>
        <w:right w:val="none" w:sz="0" w:space="0" w:color="auto"/>
      </w:divBdr>
    </w:div>
    <w:div w:id="662008782">
      <w:bodyDiv w:val="1"/>
      <w:marLeft w:val="0"/>
      <w:marRight w:val="0"/>
      <w:marTop w:val="0"/>
      <w:marBottom w:val="0"/>
      <w:divBdr>
        <w:top w:val="none" w:sz="0" w:space="0" w:color="auto"/>
        <w:left w:val="none" w:sz="0" w:space="0" w:color="auto"/>
        <w:bottom w:val="none" w:sz="0" w:space="0" w:color="auto"/>
        <w:right w:val="none" w:sz="0" w:space="0" w:color="auto"/>
      </w:divBdr>
    </w:div>
    <w:div w:id="664672968">
      <w:bodyDiv w:val="1"/>
      <w:marLeft w:val="0"/>
      <w:marRight w:val="0"/>
      <w:marTop w:val="0"/>
      <w:marBottom w:val="0"/>
      <w:divBdr>
        <w:top w:val="none" w:sz="0" w:space="0" w:color="auto"/>
        <w:left w:val="none" w:sz="0" w:space="0" w:color="auto"/>
        <w:bottom w:val="none" w:sz="0" w:space="0" w:color="auto"/>
        <w:right w:val="none" w:sz="0" w:space="0" w:color="auto"/>
      </w:divBdr>
    </w:div>
    <w:div w:id="667560545">
      <w:bodyDiv w:val="1"/>
      <w:marLeft w:val="0"/>
      <w:marRight w:val="0"/>
      <w:marTop w:val="0"/>
      <w:marBottom w:val="0"/>
      <w:divBdr>
        <w:top w:val="none" w:sz="0" w:space="0" w:color="auto"/>
        <w:left w:val="none" w:sz="0" w:space="0" w:color="auto"/>
        <w:bottom w:val="none" w:sz="0" w:space="0" w:color="auto"/>
        <w:right w:val="none" w:sz="0" w:space="0" w:color="auto"/>
      </w:divBdr>
    </w:div>
    <w:div w:id="669065999">
      <w:bodyDiv w:val="1"/>
      <w:marLeft w:val="0"/>
      <w:marRight w:val="0"/>
      <w:marTop w:val="0"/>
      <w:marBottom w:val="0"/>
      <w:divBdr>
        <w:top w:val="none" w:sz="0" w:space="0" w:color="auto"/>
        <w:left w:val="none" w:sz="0" w:space="0" w:color="auto"/>
        <w:bottom w:val="none" w:sz="0" w:space="0" w:color="auto"/>
        <w:right w:val="none" w:sz="0" w:space="0" w:color="auto"/>
      </w:divBdr>
    </w:div>
    <w:div w:id="677578153">
      <w:bodyDiv w:val="1"/>
      <w:marLeft w:val="0"/>
      <w:marRight w:val="0"/>
      <w:marTop w:val="0"/>
      <w:marBottom w:val="0"/>
      <w:divBdr>
        <w:top w:val="none" w:sz="0" w:space="0" w:color="auto"/>
        <w:left w:val="none" w:sz="0" w:space="0" w:color="auto"/>
        <w:bottom w:val="none" w:sz="0" w:space="0" w:color="auto"/>
        <w:right w:val="none" w:sz="0" w:space="0" w:color="auto"/>
      </w:divBdr>
    </w:div>
    <w:div w:id="679821259">
      <w:bodyDiv w:val="1"/>
      <w:marLeft w:val="0"/>
      <w:marRight w:val="0"/>
      <w:marTop w:val="0"/>
      <w:marBottom w:val="0"/>
      <w:divBdr>
        <w:top w:val="none" w:sz="0" w:space="0" w:color="auto"/>
        <w:left w:val="none" w:sz="0" w:space="0" w:color="auto"/>
        <w:bottom w:val="none" w:sz="0" w:space="0" w:color="auto"/>
        <w:right w:val="none" w:sz="0" w:space="0" w:color="auto"/>
      </w:divBdr>
    </w:div>
    <w:div w:id="698703096">
      <w:bodyDiv w:val="1"/>
      <w:marLeft w:val="0"/>
      <w:marRight w:val="0"/>
      <w:marTop w:val="0"/>
      <w:marBottom w:val="0"/>
      <w:divBdr>
        <w:top w:val="none" w:sz="0" w:space="0" w:color="auto"/>
        <w:left w:val="none" w:sz="0" w:space="0" w:color="auto"/>
        <w:bottom w:val="none" w:sz="0" w:space="0" w:color="auto"/>
        <w:right w:val="none" w:sz="0" w:space="0" w:color="auto"/>
      </w:divBdr>
    </w:div>
    <w:div w:id="703948473">
      <w:bodyDiv w:val="1"/>
      <w:marLeft w:val="0"/>
      <w:marRight w:val="0"/>
      <w:marTop w:val="0"/>
      <w:marBottom w:val="0"/>
      <w:divBdr>
        <w:top w:val="none" w:sz="0" w:space="0" w:color="auto"/>
        <w:left w:val="none" w:sz="0" w:space="0" w:color="auto"/>
        <w:bottom w:val="none" w:sz="0" w:space="0" w:color="auto"/>
        <w:right w:val="none" w:sz="0" w:space="0" w:color="auto"/>
      </w:divBdr>
    </w:div>
    <w:div w:id="710113274">
      <w:bodyDiv w:val="1"/>
      <w:marLeft w:val="0"/>
      <w:marRight w:val="0"/>
      <w:marTop w:val="0"/>
      <w:marBottom w:val="0"/>
      <w:divBdr>
        <w:top w:val="none" w:sz="0" w:space="0" w:color="auto"/>
        <w:left w:val="none" w:sz="0" w:space="0" w:color="auto"/>
        <w:bottom w:val="none" w:sz="0" w:space="0" w:color="auto"/>
        <w:right w:val="none" w:sz="0" w:space="0" w:color="auto"/>
      </w:divBdr>
    </w:div>
    <w:div w:id="710880621">
      <w:bodyDiv w:val="1"/>
      <w:marLeft w:val="0"/>
      <w:marRight w:val="0"/>
      <w:marTop w:val="0"/>
      <w:marBottom w:val="0"/>
      <w:divBdr>
        <w:top w:val="none" w:sz="0" w:space="0" w:color="auto"/>
        <w:left w:val="none" w:sz="0" w:space="0" w:color="auto"/>
        <w:bottom w:val="none" w:sz="0" w:space="0" w:color="auto"/>
        <w:right w:val="none" w:sz="0" w:space="0" w:color="auto"/>
      </w:divBdr>
    </w:div>
    <w:div w:id="714937166">
      <w:bodyDiv w:val="1"/>
      <w:marLeft w:val="0"/>
      <w:marRight w:val="0"/>
      <w:marTop w:val="0"/>
      <w:marBottom w:val="0"/>
      <w:divBdr>
        <w:top w:val="none" w:sz="0" w:space="0" w:color="auto"/>
        <w:left w:val="none" w:sz="0" w:space="0" w:color="auto"/>
        <w:bottom w:val="none" w:sz="0" w:space="0" w:color="auto"/>
        <w:right w:val="none" w:sz="0" w:space="0" w:color="auto"/>
      </w:divBdr>
    </w:div>
    <w:div w:id="716665610">
      <w:bodyDiv w:val="1"/>
      <w:marLeft w:val="0"/>
      <w:marRight w:val="0"/>
      <w:marTop w:val="0"/>
      <w:marBottom w:val="0"/>
      <w:divBdr>
        <w:top w:val="none" w:sz="0" w:space="0" w:color="auto"/>
        <w:left w:val="none" w:sz="0" w:space="0" w:color="auto"/>
        <w:bottom w:val="none" w:sz="0" w:space="0" w:color="auto"/>
        <w:right w:val="none" w:sz="0" w:space="0" w:color="auto"/>
      </w:divBdr>
    </w:div>
    <w:div w:id="723412788">
      <w:bodyDiv w:val="1"/>
      <w:marLeft w:val="0"/>
      <w:marRight w:val="0"/>
      <w:marTop w:val="0"/>
      <w:marBottom w:val="0"/>
      <w:divBdr>
        <w:top w:val="none" w:sz="0" w:space="0" w:color="auto"/>
        <w:left w:val="none" w:sz="0" w:space="0" w:color="auto"/>
        <w:bottom w:val="none" w:sz="0" w:space="0" w:color="auto"/>
        <w:right w:val="none" w:sz="0" w:space="0" w:color="auto"/>
      </w:divBdr>
    </w:div>
    <w:div w:id="733116749">
      <w:bodyDiv w:val="1"/>
      <w:marLeft w:val="0"/>
      <w:marRight w:val="0"/>
      <w:marTop w:val="0"/>
      <w:marBottom w:val="0"/>
      <w:divBdr>
        <w:top w:val="none" w:sz="0" w:space="0" w:color="auto"/>
        <w:left w:val="none" w:sz="0" w:space="0" w:color="auto"/>
        <w:bottom w:val="none" w:sz="0" w:space="0" w:color="auto"/>
        <w:right w:val="none" w:sz="0" w:space="0" w:color="auto"/>
      </w:divBdr>
    </w:div>
    <w:div w:id="744954637">
      <w:bodyDiv w:val="1"/>
      <w:marLeft w:val="0"/>
      <w:marRight w:val="0"/>
      <w:marTop w:val="0"/>
      <w:marBottom w:val="0"/>
      <w:divBdr>
        <w:top w:val="none" w:sz="0" w:space="0" w:color="auto"/>
        <w:left w:val="none" w:sz="0" w:space="0" w:color="auto"/>
        <w:bottom w:val="none" w:sz="0" w:space="0" w:color="auto"/>
        <w:right w:val="none" w:sz="0" w:space="0" w:color="auto"/>
      </w:divBdr>
    </w:div>
    <w:div w:id="747310053">
      <w:bodyDiv w:val="1"/>
      <w:marLeft w:val="0"/>
      <w:marRight w:val="0"/>
      <w:marTop w:val="0"/>
      <w:marBottom w:val="0"/>
      <w:divBdr>
        <w:top w:val="none" w:sz="0" w:space="0" w:color="auto"/>
        <w:left w:val="none" w:sz="0" w:space="0" w:color="auto"/>
        <w:bottom w:val="none" w:sz="0" w:space="0" w:color="auto"/>
        <w:right w:val="none" w:sz="0" w:space="0" w:color="auto"/>
      </w:divBdr>
    </w:div>
    <w:div w:id="747843472">
      <w:bodyDiv w:val="1"/>
      <w:marLeft w:val="0"/>
      <w:marRight w:val="0"/>
      <w:marTop w:val="0"/>
      <w:marBottom w:val="0"/>
      <w:divBdr>
        <w:top w:val="none" w:sz="0" w:space="0" w:color="auto"/>
        <w:left w:val="none" w:sz="0" w:space="0" w:color="auto"/>
        <w:bottom w:val="none" w:sz="0" w:space="0" w:color="auto"/>
        <w:right w:val="none" w:sz="0" w:space="0" w:color="auto"/>
      </w:divBdr>
    </w:div>
    <w:div w:id="748621431">
      <w:bodyDiv w:val="1"/>
      <w:marLeft w:val="0"/>
      <w:marRight w:val="0"/>
      <w:marTop w:val="0"/>
      <w:marBottom w:val="0"/>
      <w:divBdr>
        <w:top w:val="none" w:sz="0" w:space="0" w:color="auto"/>
        <w:left w:val="none" w:sz="0" w:space="0" w:color="auto"/>
        <w:bottom w:val="none" w:sz="0" w:space="0" w:color="auto"/>
        <w:right w:val="none" w:sz="0" w:space="0" w:color="auto"/>
      </w:divBdr>
    </w:div>
    <w:div w:id="770318643">
      <w:bodyDiv w:val="1"/>
      <w:marLeft w:val="0"/>
      <w:marRight w:val="0"/>
      <w:marTop w:val="0"/>
      <w:marBottom w:val="0"/>
      <w:divBdr>
        <w:top w:val="none" w:sz="0" w:space="0" w:color="auto"/>
        <w:left w:val="none" w:sz="0" w:space="0" w:color="auto"/>
        <w:bottom w:val="none" w:sz="0" w:space="0" w:color="auto"/>
        <w:right w:val="none" w:sz="0" w:space="0" w:color="auto"/>
      </w:divBdr>
    </w:div>
    <w:div w:id="773138649">
      <w:bodyDiv w:val="1"/>
      <w:marLeft w:val="0"/>
      <w:marRight w:val="0"/>
      <w:marTop w:val="0"/>
      <w:marBottom w:val="0"/>
      <w:divBdr>
        <w:top w:val="none" w:sz="0" w:space="0" w:color="auto"/>
        <w:left w:val="none" w:sz="0" w:space="0" w:color="auto"/>
        <w:bottom w:val="none" w:sz="0" w:space="0" w:color="auto"/>
        <w:right w:val="none" w:sz="0" w:space="0" w:color="auto"/>
      </w:divBdr>
    </w:div>
    <w:div w:id="794717225">
      <w:bodyDiv w:val="1"/>
      <w:marLeft w:val="0"/>
      <w:marRight w:val="0"/>
      <w:marTop w:val="0"/>
      <w:marBottom w:val="0"/>
      <w:divBdr>
        <w:top w:val="none" w:sz="0" w:space="0" w:color="auto"/>
        <w:left w:val="none" w:sz="0" w:space="0" w:color="auto"/>
        <w:bottom w:val="none" w:sz="0" w:space="0" w:color="auto"/>
        <w:right w:val="none" w:sz="0" w:space="0" w:color="auto"/>
      </w:divBdr>
    </w:div>
    <w:div w:id="797063411">
      <w:bodyDiv w:val="1"/>
      <w:marLeft w:val="0"/>
      <w:marRight w:val="0"/>
      <w:marTop w:val="0"/>
      <w:marBottom w:val="0"/>
      <w:divBdr>
        <w:top w:val="none" w:sz="0" w:space="0" w:color="auto"/>
        <w:left w:val="none" w:sz="0" w:space="0" w:color="auto"/>
        <w:bottom w:val="none" w:sz="0" w:space="0" w:color="auto"/>
        <w:right w:val="none" w:sz="0" w:space="0" w:color="auto"/>
      </w:divBdr>
    </w:div>
    <w:div w:id="800002890">
      <w:bodyDiv w:val="1"/>
      <w:marLeft w:val="0"/>
      <w:marRight w:val="0"/>
      <w:marTop w:val="0"/>
      <w:marBottom w:val="0"/>
      <w:divBdr>
        <w:top w:val="none" w:sz="0" w:space="0" w:color="auto"/>
        <w:left w:val="none" w:sz="0" w:space="0" w:color="auto"/>
        <w:bottom w:val="none" w:sz="0" w:space="0" w:color="auto"/>
        <w:right w:val="none" w:sz="0" w:space="0" w:color="auto"/>
      </w:divBdr>
    </w:div>
    <w:div w:id="805783564">
      <w:bodyDiv w:val="1"/>
      <w:marLeft w:val="0"/>
      <w:marRight w:val="0"/>
      <w:marTop w:val="0"/>
      <w:marBottom w:val="0"/>
      <w:divBdr>
        <w:top w:val="none" w:sz="0" w:space="0" w:color="auto"/>
        <w:left w:val="none" w:sz="0" w:space="0" w:color="auto"/>
        <w:bottom w:val="none" w:sz="0" w:space="0" w:color="auto"/>
        <w:right w:val="none" w:sz="0" w:space="0" w:color="auto"/>
      </w:divBdr>
    </w:div>
    <w:div w:id="809133678">
      <w:bodyDiv w:val="1"/>
      <w:marLeft w:val="0"/>
      <w:marRight w:val="0"/>
      <w:marTop w:val="0"/>
      <w:marBottom w:val="0"/>
      <w:divBdr>
        <w:top w:val="none" w:sz="0" w:space="0" w:color="auto"/>
        <w:left w:val="none" w:sz="0" w:space="0" w:color="auto"/>
        <w:bottom w:val="none" w:sz="0" w:space="0" w:color="auto"/>
        <w:right w:val="none" w:sz="0" w:space="0" w:color="auto"/>
      </w:divBdr>
    </w:div>
    <w:div w:id="809783979">
      <w:bodyDiv w:val="1"/>
      <w:marLeft w:val="0"/>
      <w:marRight w:val="0"/>
      <w:marTop w:val="0"/>
      <w:marBottom w:val="0"/>
      <w:divBdr>
        <w:top w:val="none" w:sz="0" w:space="0" w:color="auto"/>
        <w:left w:val="none" w:sz="0" w:space="0" w:color="auto"/>
        <w:bottom w:val="none" w:sz="0" w:space="0" w:color="auto"/>
        <w:right w:val="none" w:sz="0" w:space="0" w:color="auto"/>
      </w:divBdr>
    </w:div>
    <w:div w:id="817187703">
      <w:bodyDiv w:val="1"/>
      <w:marLeft w:val="0"/>
      <w:marRight w:val="0"/>
      <w:marTop w:val="0"/>
      <w:marBottom w:val="0"/>
      <w:divBdr>
        <w:top w:val="none" w:sz="0" w:space="0" w:color="auto"/>
        <w:left w:val="none" w:sz="0" w:space="0" w:color="auto"/>
        <w:bottom w:val="none" w:sz="0" w:space="0" w:color="auto"/>
        <w:right w:val="none" w:sz="0" w:space="0" w:color="auto"/>
      </w:divBdr>
    </w:div>
    <w:div w:id="819150508">
      <w:bodyDiv w:val="1"/>
      <w:marLeft w:val="0"/>
      <w:marRight w:val="0"/>
      <w:marTop w:val="0"/>
      <w:marBottom w:val="0"/>
      <w:divBdr>
        <w:top w:val="none" w:sz="0" w:space="0" w:color="auto"/>
        <w:left w:val="none" w:sz="0" w:space="0" w:color="auto"/>
        <w:bottom w:val="none" w:sz="0" w:space="0" w:color="auto"/>
        <w:right w:val="none" w:sz="0" w:space="0" w:color="auto"/>
      </w:divBdr>
    </w:div>
    <w:div w:id="826483126">
      <w:bodyDiv w:val="1"/>
      <w:marLeft w:val="0"/>
      <w:marRight w:val="0"/>
      <w:marTop w:val="0"/>
      <w:marBottom w:val="0"/>
      <w:divBdr>
        <w:top w:val="none" w:sz="0" w:space="0" w:color="auto"/>
        <w:left w:val="none" w:sz="0" w:space="0" w:color="auto"/>
        <w:bottom w:val="none" w:sz="0" w:space="0" w:color="auto"/>
        <w:right w:val="none" w:sz="0" w:space="0" w:color="auto"/>
      </w:divBdr>
    </w:div>
    <w:div w:id="827866712">
      <w:bodyDiv w:val="1"/>
      <w:marLeft w:val="0"/>
      <w:marRight w:val="0"/>
      <w:marTop w:val="0"/>
      <w:marBottom w:val="0"/>
      <w:divBdr>
        <w:top w:val="none" w:sz="0" w:space="0" w:color="auto"/>
        <w:left w:val="none" w:sz="0" w:space="0" w:color="auto"/>
        <w:bottom w:val="none" w:sz="0" w:space="0" w:color="auto"/>
        <w:right w:val="none" w:sz="0" w:space="0" w:color="auto"/>
      </w:divBdr>
    </w:div>
    <w:div w:id="828520599">
      <w:bodyDiv w:val="1"/>
      <w:marLeft w:val="0"/>
      <w:marRight w:val="0"/>
      <w:marTop w:val="0"/>
      <w:marBottom w:val="0"/>
      <w:divBdr>
        <w:top w:val="none" w:sz="0" w:space="0" w:color="auto"/>
        <w:left w:val="none" w:sz="0" w:space="0" w:color="auto"/>
        <w:bottom w:val="none" w:sz="0" w:space="0" w:color="auto"/>
        <w:right w:val="none" w:sz="0" w:space="0" w:color="auto"/>
      </w:divBdr>
    </w:div>
    <w:div w:id="829979200">
      <w:bodyDiv w:val="1"/>
      <w:marLeft w:val="0"/>
      <w:marRight w:val="0"/>
      <w:marTop w:val="0"/>
      <w:marBottom w:val="0"/>
      <w:divBdr>
        <w:top w:val="none" w:sz="0" w:space="0" w:color="auto"/>
        <w:left w:val="none" w:sz="0" w:space="0" w:color="auto"/>
        <w:bottom w:val="none" w:sz="0" w:space="0" w:color="auto"/>
        <w:right w:val="none" w:sz="0" w:space="0" w:color="auto"/>
      </w:divBdr>
    </w:div>
    <w:div w:id="835150941">
      <w:bodyDiv w:val="1"/>
      <w:marLeft w:val="0"/>
      <w:marRight w:val="0"/>
      <w:marTop w:val="0"/>
      <w:marBottom w:val="0"/>
      <w:divBdr>
        <w:top w:val="none" w:sz="0" w:space="0" w:color="auto"/>
        <w:left w:val="none" w:sz="0" w:space="0" w:color="auto"/>
        <w:bottom w:val="none" w:sz="0" w:space="0" w:color="auto"/>
        <w:right w:val="none" w:sz="0" w:space="0" w:color="auto"/>
      </w:divBdr>
    </w:div>
    <w:div w:id="842473298">
      <w:bodyDiv w:val="1"/>
      <w:marLeft w:val="0"/>
      <w:marRight w:val="0"/>
      <w:marTop w:val="0"/>
      <w:marBottom w:val="0"/>
      <w:divBdr>
        <w:top w:val="none" w:sz="0" w:space="0" w:color="auto"/>
        <w:left w:val="none" w:sz="0" w:space="0" w:color="auto"/>
        <w:bottom w:val="none" w:sz="0" w:space="0" w:color="auto"/>
        <w:right w:val="none" w:sz="0" w:space="0" w:color="auto"/>
      </w:divBdr>
    </w:div>
    <w:div w:id="843087482">
      <w:bodyDiv w:val="1"/>
      <w:marLeft w:val="0"/>
      <w:marRight w:val="0"/>
      <w:marTop w:val="0"/>
      <w:marBottom w:val="0"/>
      <w:divBdr>
        <w:top w:val="none" w:sz="0" w:space="0" w:color="auto"/>
        <w:left w:val="none" w:sz="0" w:space="0" w:color="auto"/>
        <w:bottom w:val="none" w:sz="0" w:space="0" w:color="auto"/>
        <w:right w:val="none" w:sz="0" w:space="0" w:color="auto"/>
      </w:divBdr>
    </w:div>
    <w:div w:id="859901397">
      <w:bodyDiv w:val="1"/>
      <w:marLeft w:val="0"/>
      <w:marRight w:val="0"/>
      <w:marTop w:val="0"/>
      <w:marBottom w:val="0"/>
      <w:divBdr>
        <w:top w:val="none" w:sz="0" w:space="0" w:color="auto"/>
        <w:left w:val="none" w:sz="0" w:space="0" w:color="auto"/>
        <w:bottom w:val="none" w:sz="0" w:space="0" w:color="auto"/>
        <w:right w:val="none" w:sz="0" w:space="0" w:color="auto"/>
      </w:divBdr>
    </w:div>
    <w:div w:id="862092407">
      <w:bodyDiv w:val="1"/>
      <w:marLeft w:val="0"/>
      <w:marRight w:val="0"/>
      <w:marTop w:val="0"/>
      <w:marBottom w:val="0"/>
      <w:divBdr>
        <w:top w:val="none" w:sz="0" w:space="0" w:color="auto"/>
        <w:left w:val="none" w:sz="0" w:space="0" w:color="auto"/>
        <w:bottom w:val="none" w:sz="0" w:space="0" w:color="auto"/>
        <w:right w:val="none" w:sz="0" w:space="0" w:color="auto"/>
      </w:divBdr>
    </w:div>
    <w:div w:id="867989492">
      <w:bodyDiv w:val="1"/>
      <w:marLeft w:val="0"/>
      <w:marRight w:val="0"/>
      <w:marTop w:val="0"/>
      <w:marBottom w:val="0"/>
      <w:divBdr>
        <w:top w:val="none" w:sz="0" w:space="0" w:color="auto"/>
        <w:left w:val="none" w:sz="0" w:space="0" w:color="auto"/>
        <w:bottom w:val="none" w:sz="0" w:space="0" w:color="auto"/>
        <w:right w:val="none" w:sz="0" w:space="0" w:color="auto"/>
      </w:divBdr>
    </w:div>
    <w:div w:id="873231220">
      <w:bodyDiv w:val="1"/>
      <w:marLeft w:val="0"/>
      <w:marRight w:val="0"/>
      <w:marTop w:val="0"/>
      <w:marBottom w:val="0"/>
      <w:divBdr>
        <w:top w:val="none" w:sz="0" w:space="0" w:color="auto"/>
        <w:left w:val="none" w:sz="0" w:space="0" w:color="auto"/>
        <w:bottom w:val="none" w:sz="0" w:space="0" w:color="auto"/>
        <w:right w:val="none" w:sz="0" w:space="0" w:color="auto"/>
      </w:divBdr>
    </w:div>
    <w:div w:id="876894350">
      <w:bodyDiv w:val="1"/>
      <w:marLeft w:val="0"/>
      <w:marRight w:val="0"/>
      <w:marTop w:val="0"/>
      <w:marBottom w:val="0"/>
      <w:divBdr>
        <w:top w:val="none" w:sz="0" w:space="0" w:color="auto"/>
        <w:left w:val="none" w:sz="0" w:space="0" w:color="auto"/>
        <w:bottom w:val="none" w:sz="0" w:space="0" w:color="auto"/>
        <w:right w:val="none" w:sz="0" w:space="0" w:color="auto"/>
      </w:divBdr>
    </w:div>
    <w:div w:id="878051534">
      <w:bodyDiv w:val="1"/>
      <w:marLeft w:val="0"/>
      <w:marRight w:val="0"/>
      <w:marTop w:val="0"/>
      <w:marBottom w:val="0"/>
      <w:divBdr>
        <w:top w:val="none" w:sz="0" w:space="0" w:color="auto"/>
        <w:left w:val="none" w:sz="0" w:space="0" w:color="auto"/>
        <w:bottom w:val="none" w:sz="0" w:space="0" w:color="auto"/>
        <w:right w:val="none" w:sz="0" w:space="0" w:color="auto"/>
      </w:divBdr>
    </w:div>
    <w:div w:id="898590436">
      <w:bodyDiv w:val="1"/>
      <w:marLeft w:val="0"/>
      <w:marRight w:val="0"/>
      <w:marTop w:val="0"/>
      <w:marBottom w:val="0"/>
      <w:divBdr>
        <w:top w:val="none" w:sz="0" w:space="0" w:color="auto"/>
        <w:left w:val="none" w:sz="0" w:space="0" w:color="auto"/>
        <w:bottom w:val="none" w:sz="0" w:space="0" w:color="auto"/>
        <w:right w:val="none" w:sz="0" w:space="0" w:color="auto"/>
      </w:divBdr>
    </w:div>
    <w:div w:id="974067276">
      <w:bodyDiv w:val="1"/>
      <w:marLeft w:val="0"/>
      <w:marRight w:val="0"/>
      <w:marTop w:val="0"/>
      <w:marBottom w:val="0"/>
      <w:divBdr>
        <w:top w:val="none" w:sz="0" w:space="0" w:color="auto"/>
        <w:left w:val="none" w:sz="0" w:space="0" w:color="auto"/>
        <w:bottom w:val="none" w:sz="0" w:space="0" w:color="auto"/>
        <w:right w:val="none" w:sz="0" w:space="0" w:color="auto"/>
      </w:divBdr>
    </w:div>
    <w:div w:id="975723097">
      <w:bodyDiv w:val="1"/>
      <w:marLeft w:val="0"/>
      <w:marRight w:val="0"/>
      <w:marTop w:val="0"/>
      <w:marBottom w:val="0"/>
      <w:divBdr>
        <w:top w:val="none" w:sz="0" w:space="0" w:color="auto"/>
        <w:left w:val="none" w:sz="0" w:space="0" w:color="auto"/>
        <w:bottom w:val="none" w:sz="0" w:space="0" w:color="auto"/>
        <w:right w:val="none" w:sz="0" w:space="0" w:color="auto"/>
      </w:divBdr>
    </w:div>
    <w:div w:id="985669705">
      <w:bodyDiv w:val="1"/>
      <w:marLeft w:val="0"/>
      <w:marRight w:val="0"/>
      <w:marTop w:val="0"/>
      <w:marBottom w:val="0"/>
      <w:divBdr>
        <w:top w:val="none" w:sz="0" w:space="0" w:color="auto"/>
        <w:left w:val="none" w:sz="0" w:space="0" w:color="auto"/>
        <w:bottom w:val="none" w:sz="0" w:space="0" w:color="auto"/>
        <w:right w:val="none" w:sz="0" w:space="0" w:color="auto"/>
      </w:divBdr>
    </w:div>
    <w:div w:id="995378354">
      <w:bodyDiv w:val="1"/>
      <w:marLeft w:val="0"/>
      <w:marRight w:val="0"/>
      <w:marTop w:val="0"/>
      <w:marBottom w:val="0"/>
      <w:divBdr>
        <w:top w:val="none" w:sz="0" w:space="0" w:color="auto"/>
        <w:left w:val="none" w:sz="0" w:space="0" w:color="auto"/>
        <w:bottom w:val="none" w:sz="0" w:space="0" w:color="auto"/>
        <w:right w:val="none" w:sz="0" w:space="0" w:color="auto"/>
      </w:divBdr>
    </w:div>
    <w:div w:id="999236532">
      <w:bodyDiv w:val="1"/>
      <w:marLeft w:val="0"/>
      <w:marRight w:val="0"/>
      <w:marTop w:val="0"/>
      <w:marBottom w:val="0"/>
      <w:divBdr>
        <w:top w:val="none" w:sz="0" w:space="0" w:color="auto"/>
        <w:left w:val="none" w:sz="0" w:space="0" w:color="auto"/>
        <w:bottom w:val="none" w:sz="0" w:space="0" w:color="auto"/>
        <w:right w:val="none" w:sz="0" w:space="0" w:color="auto"/>
      </w:divBdr>
    </w:div>
    <w:div w:id="1031995981">
      <w:bodyDiv w:val="1"/>
      <w:marLeft w:val="0"/>
      <w:marRight w:val="0"/>
      <w:marTop w:val="0"/>
      <w:marBottom w:val="0"/>
      <w:divBdr>
        <w:top w:val="none" w:sz="0" w:space="0" w:color="auto"/>
        <w:left w:val="none" w:sz="0" w:space="0" w:color="auto"/>
        <w:bottom w:val="none" w:sz="0" w:space="0" w:color="auto"/>
        <w:right w:val="none" w:sz="0" w:space="0" w:color="auto"/>
      </w:divBdr>
    </w:div>
    <w:div w:id="1037773796">
      <w:bodyDiv w:val="1"/>
      <w:marLeft w:val="0"/>
      <w:marRight w:val="0"/>
      <w:marTop w:val="0"/>
      <w:marBottom w:val="0"/>
      <w:divBdr>
        <w:top w:val="none" w:sz="0" w:space="0" w:color="auto"/>
        <w:left w:val="none" w:sz="0" w:space="0" w:color="auto"/>
        <w:bottom w:val="none" w:sz="0" w:space="0" w:color="auto"/>
        <w:right w:val="none" w:sz="0" w:space="0" w:color="auto"/>
      </w:divBdr>
    </w:div>
    <w:div w:id="1038772836">
      <w:bodyDiv w:val="1"/>
      <w:marLeft w:val="0"/>
      <w:marRight w:val="0"/>
      <w:marTop w:val="0"/>
      <w:marBottom w:val="0"/>
      <w:divBdr>
        <w:top w:val="none" w:sz="0" w:space="0" w:color="auto"/>
        <w:left w:val="none" w:sz="0" w:space="0" w:color="auto"/>
        <w:bottom w:val="none" w:sz="0" w:space="0" w:color="auto"/>
        <w:right w:val="none" w:sz="0" w:space="0" w:color="auto"/>
      </w:divBdr>
    </w:div>
    <w:div w:id="1039165381">
      <w:bodyDiv w:val="1"/>
      <w:marLeft w:val="0"/>
      <w:marRight w:val="0"/>
      <w:marTop w:val="0"/>
      <w:marBottom w:val="0"/>
      <w:divBdr>
        <w:top w:val="none" w:sz="0" w:space="0" w:color="auto"/>
        <w:left w:val="none" w:sz="0" w:space="0" w:color="auto"/>
        <w:bottom w:val="none" w:sz="0" w:space="0" w:color="auto"/>
        <w:right w:val="none" w:sz="0" w:space="0" w:color="auto"/>
      </w:divBdr>
    </w:div>
    <w:div w:id="1056777416">
      <w:bodyDiv w:val="1"/>
      <w:marLeft w:val="0"/>
      <w:marRight w:val="0"/>
      <w:marTop w:val="0"/>
      <w:marBottom w:val="0"/>
      <w:divBdr>
        <w:top w:val="none" w:sz="0" w:space="0" w:color="auto"/>
        <w:left w:val="none" w:sz="0" w:space="0" w:color="auto"/>
        <w:bottom w:val="none" w:sz="0" w:space="0" w:color="auto"/>
        <w:right w:val="none" w:sz="0" w:space="0" w:color="auto"/>
      </w:divBdr>
    </w:div>
    <w:div w:id="1068458970">
      <w:bodyDiv w:val="1"/>
      <w:marLeft w:val="0"/>
      <w:marRight w:val="0"/>
      <w:marTop w:val="0"/>
      <w:marBottom w:val="0"/>
      <w:divBdr>
        <w:top w:val="none" w:sz="0" w:space="0" w:color="auto"/>
        <w:left w:val="none" w:sz="0" w:space="0" w:color="auto"/>
        <w:bottom w:val="none" w:sz="0" w:space="0" w:color="auto"/>
        <w:right w:val="none" w:sz="0" w:space="0" w:color="auto"/>
      </w:divBdr>
    </w:div>
    <w:div w:id="1078599994">
      <w:bodyDiv w:val="1"/>
      <w:marLeft w:val="0"/>
      <w:marRight w:val="0"/>
      <w:marTop w:val="0"/>
      <w:marBottom w:val="0"/>
      <w:divBdr>
        <w:top w:val="none" w:sz="0" w:space="0" w:color="auto"/>
        <w:left w:val="none" w:sz="0" w:space="0" w:color="auto"/>
        <w:bottom w:val="none" w:sz="0" w:space="0" w:color="auto"/>
        <w:right w:val="none" w:sz="0" w:space="0" w:color="auto"/>
      </w:divBdr>
    </w:div>
    <w:div w:id="1080982101">
      <w:bodyDiv w:val="1"/>
      <w:marLeft w:val="0"/>
      <w:marRight w:val="0"/>
      <w:marTop w:val="0"/>
      <w:marBottom w:val="0"/>
      <w:divBdr>
        <w:top w:val="none" w:sz="0" w:space="0" w:color="auto"/>
        <w:left w:val="none" w:sz="0" w:space="0" w:color="auto"/>
        <w:bottom w:val="none" w:sz="0" w:space="0" w:color="auto"/>
        <w:right w:val="none" w:sz="0" w:space="0" w:color="auto"/>
      </w:divBdr>
    </w:div>
    <w:div w:id="1089347975">
      <w:bodyDiv w:val="1"/>
      <w:marLeft w:val="0"/>
      <w:marRight w:val="0"/>
      <w:marTop w:val="0"/>
      <w:marBottom w:val="0"/>
      <w:divBdr>
        <w:top w:val="none" w:sz="0" w:space="0" w:color="auto"/>
        <w:left w:val="none" w:sz="0" w:space="0" w:color="auto"/>
        <w:bottom w:val="none" w:sz="0" w:space="0" w:color="auto"/>
        <w:right w:val="none" w:sz="0" w:space="0" w:color="auto"/>
      </w:divBdr>
    </w:div>
    <w:div w:id="1090813620">
      <w:bodyDiv w:val="1"/>
      <w:marLeft w:val="0"/>
      <w:marRight w:val="0"/>
      <w:marTop w:val="0"/>
      <w:marBottom w:val="0"/>
      <w:divBdr>
        <w:top w:val="none" w:sz="0" w:space="0" w:color="auto"/>
        <w:left w:val="none" w:sz="0" w:space="0" w:color="auto"/>
        <w:bottom w:val="none" w:sz="0" w:space="0" w:color="auto"/>
        <w:right w:val="none" w:sz="0" w:space="0" w:color="auto"/>
      </w:divBdr>
    </w:div>
    <w:div w:id="1091193997">
      <w:bodyDiv w:val="1"/>
      <w:marLeft w:val="0"/>
      <w:marRight w:val="0"/>
      <w:marTop w:val="0"/>
      <w:marBottom w:val="0"/>
      <w:divBdr>
        <w:top w:val="none" w:sz="0" w:space="0" w:color="auto"/>
        <w:left w:val="none" w:sz="0" w:space="0" w:color="auto"/>
        <w:bottom w:val="none" w:sz="0" w:space="0" w:color="auto"/>
        <w:right w:val="none" w:sz="0" w:space="0" w:color="auto"/>
      </w:divBdr>
    </w:div>
    <w:div w:id="1098332927">
      <w:bodyDiv w:val="1"/>
      <w:marLeft w:val="0"/>
      <w:marRight w:val="0"/>
      <w:marTop w:val="0"/>
      <w:marBottom w:val="0"/>
      <w:divBdr>
        <w:top w:val="none" w:sz="0" w:space="0" w:color="auto"/>
        <w:left w:val="none" w:sz="0" w:space="0" w:color="auto"/>
        <w:bottom w:val="none" w:sz="0" w:space="0" w:color="auto"/>
        <w:right w:val="none" w:sz="0" w:space="0" w:color="auto"/>
      </w:divBdr>
    </w:div>
    <w:div w:id="1100565607">
      <w:bodyDiv w:val="1"/>
      <w:marLeft w:val="0"/>
      <w:marRight w:val="0"/>
      <w:marTop w:val="0"/>
      <w:marBottom w:val="0"/>
      <w:divBdr>
        <w:top w:val="none" w:sz="0" w:space="0" w:color="auto"/>
        <w:left w:val="none" w:sz="0" w:space="0" w:color="auto"/>
        <w:bottom w:val="none" w:sz="0" w:space="0" w:color="auto"/>
        <w:right w:val="none" w:sz="0" w:space="0" w:color="auto"/>
      </w:divBdr>
    </w:div>
    <w:div w:id="1102610411">
      <w:bodyDiv w:val="1"/>
      <w:marLeft w:val="0"/>
      <w:marRight w:val="0"/>
      <w:marTop w:val="0"/>
      <w:marBottom w:val="0"/>
      <w:divBdr>
        <w:top w:val="none" w:sz="0" w:space="0" w:color="auto"/>
        <w:left w:val="none" w:sz="0" w:space="0" w:color="auto"/>
        <w:bottom w:val="none" w:sz="0" w:space="0" w:color="auto"/>
        <w:right w:val="none" w:sz="0" w:space="0" w:color="auto"/>
      </w:divBdr>
    </w:div>
    <w:div w:id="1108355690">
      <w:bodyDiv w:val="1"/>
      <w:marLeft w:val="0"/>
      <w:marRight w:val="0"/>
      <w:marTop w:val="0"/>
      <w:marBottom w:val="0"/>
      <w:divBdr>
        <w:top w:val="none" w:sz="0" w:space="0" w:color="auto"/>
        <w:left w:val="none" w:sz="0" w:space="0" w:color="auto"/>
        <w:bottom w:val="none" w:sz="0" w:space="0" w:color="auto"/>
        <w:right w:val="none" w:sz="0" w:space="0" w:color="auto"/>
      </w:divBdr>
    </w:div>
    <w:div w:id="1119567486">
      <w:bodyDiv w:val="1"/>
      <w:marLeft w:val="0"/>
      <w:marRight w:val="0"/>
      <w:marTop w:val="0"/>
      <w:marBottom w:val="0"/>
      <w:divBdr>
        <w:top w:val="none" w:sz="0" w:space="0" w:color="auto"/>
        <w:left w:val="none" w:sz="0" w:space="0" w:color="auto"/>
        <w:bottom w:val="none" w:sz="0" w:space="0" w:color="auto"/>
        <w:right w:val="none" w:sz="0" w:space="0" w:color="auto"/>
      </w:divBdr>
    </w:div>
    <w:div w:id="1121336080">
      <w:bodyDiv w:val="1"/>
      <w:marLeft w:val="0"/>
      <w:marRight w:val="0"/>
      <w:marTop w:val="0"/>
      <w:marBottom w:val="0"/>
      <w:divBdr>
        <w:top w:val="none" w:sz="0" w:space="0" w:color="auto"/>
        <w:left w:val="none" w:sz="0" w:space="0" w:color="auto"/>
        <w:bottom w:val="none" w:sz="0" w:space="0" w:color="auto"/>
        <w:right w:val="none" w:sz="0" w:space="0" w:color="auto"/>
      </w:divBdr>
    </w:div>
    <w:div w:id="1141536558">
      <w:bodyDiv w:val="1"/>
      <w:marLeft w:val="0"/>
      <w:marRight w:val="0"/>
      <w:marTop w:val="0"/>
      <w:marBottom w:val="0"/>
      <w:divBdr>
        <w:top w:val="none" w:sz="0" w:space="0" w:color="auto"/>
        <w:left w:val="none" w:sz="0" w:space="0" w:color="auto"/>
        <w:bottom w:val="none" w:sz="0" w:space="0" w:color="auto"/>
        <w:right w:val="none" w:sz="0" w:space="0" w:color="auto"/>
      </w:divBdr>
    </w:div>
    <w:div w:id="1151092048">
      <w:bodyDiv w:val="1"/>
      <w:marLeft w:val="0"/>
      <w:marRight w:val="0"/>
      <w:marTop w:val="0"/>
      <w:marBottom w:val="0"/>
      <w:divBdr>
        <w:top w:val="none" w:sz="0" w:space="0" w:color="auto"/>
        <w:left w:val="none" w:sz="0" w:space="0" w:color="auto"/>
        <w:bottom w:val="none" w:sz="0" w:space="0" w:color="auto"/>
        <w:right w:val="none" w:sz="0" w:space="0" w:color="auto"/>
      </w:divBdr>
    </w:div>
    <w:div w:id="1151485161">
      <w:bodyDiv w:val="1"/>
      <w:marLeft w:val="0"/>
      <w:marRight w:val="0"/>
      <w:marTop w:val="0"/>
      <w:marBottom w:val="0"/>
      <w:divBdr>
        <w:top w:val="none" w:sz="0" w:space="0" w:color="auto"/>
        <w:left w:val="none" w:sz="0" w:space="0" w:color="auto"/>
        <w:bottom w:val="none" w:sz="0" w:space="0" w:color="auto"/>
        <w:right w:val="none" w:sz="0" w:space="0" w:color="auto"/>
      </w:divBdr>
    </w:div>
    <w:div w:id="1160344021">
      <w:bodyDiv w:val="1"/>
      <w:marLeft w:val="0"/>
      <w:marRight w:val="0"/>
      <w:marTop w:val="0"/>
      <w:marBottom w:val="0"/>
      <w:divBdr>
        <w:top w:val="none" w:sz="0" w:space="0" w:color="auto"/>
        <w:left w:val="none" w:sz="0" w:space="0" w:color="auto"/>
        <w:bottom w:val="none" w:sz="0" w:space="0" w:color="auto"/>
        <w:right w:val="none" w:sz="0" w:space="0" w:color="auto"/>
      </w:divBdr>
    </w:div>
    <w:div w:id="1160925696">
      <w:bodyDiv w:val="1"/>
      <w:marLeft w:val="0"/>
      <w:marRight w:val="0"/>
      <w:marTop w:val="0"/>
      <w:marBottom w:val="0"/>
      <w:divBdr>
        <w:top w:val="none" w:sz="0" w:space="0" w:color="auto"/>
        <w:left w:val="none" w:sz="0" w:space="0" w:color="auto"/>
        <w:bottom w:val="none" w:sz="0" w:space="0" w:color="auto"/>
        <w:right w:val="none" w:sz="0" w:space="0" w:color="auto"/>
      </w:divBdr>
    </w:div>
    <w:div w:id="1167601009">
      <w:bodyDiv w:val="1"/>
      <w:marLeft w:val="0"/>
      <w:marRight w:val="0"/>
      <w:marTop w:val="0"/>
      <w:marBottom w:val="0"/>
      <w:divBdr>
        <w:top w:val="none" w:sz="0" w:space="0" w:color="auto"/>
        <w:left w:val="none" w:sz="0" w:space="0" w:color="auto"/>
        <w:bottom w:val="none" w:sz="0" w:space="0" w:color="auto"/>
        <w:right w:val="none" w:sz="0" w:space="0" w:color="auto"/>
      </w:divBdr>
    </w:div>
    <w:div w:id="1176919315">
      <w:bodyDiv w:val="1"/>
      <w:marLeft w:val="0"/>
      <w:marRight w:val="0"/>
      <w:marTop w:val="0"/>
      <w:marBottom w:val="0"/>
      <w:divBdr>
        <w:top w:val="none" w:sz="0" w:space="0" w:color="auto"/>
        <w:left w:val="none" w:sz="0" w:space="0" w:color="auto"/>
        <w:bottom w:val="none" w:sz="0" w:space="0" w:color="auto"/>
        <w:right w:val="none" w:sz="0" w:space="0" w:color="auto"/>
      </w:divBdr>
    </w:div>
    <w:div w:id="1188836276">
      <w:bodyDiv w:val="1"/>
      <w:marLeft w:val="0"/>
      <w:marRight w:val="0"/>
      <w:marTop w:val="0"/>
      <w:marBottom w:val="0"/>
      <w:divBdr>
        <w:top w:val="none" w:sz="0" w:space="0" w:color="auto"/>
        <w:left w:val="none" w:sz="0" w:space="0" w:color="auto"/>
        <w:bottom w:val="none" w:sz="0" w:space="0" w:color="auto"/>
        <w:right w:val="none" w:sz="0" w:space="0" w:color="auto"/>
      </w:divBdr>
    </w:div>
    <w:div w:id="1194147146">
      <w:bodyDiv w:val="1"/>
      <w:marLeft w:val="0"/>
      <w:marRight w:val="0"/>
      <w:marTop w:val="0"/>
      <w:marBottom w:val="0"/>
      <w:divBdr>
        <w:top w:val="none" w:sz="0" w:space="0" w:color="auto"/>
        <w:left w:val="none" w:sz="0" w:space="0" w:color="auto"/>
        <w:bottom w:val="none" w:sz="0" w:space="0" w:color="auto"/>
        <w:right w:val="none" w:sz="0" w:space="0" w:color="auto"/>
      </w:divBdr>
    </w:div>
    <w:div w:id="1195119061">
      <w:bodyDiv w:val="1"/>
      <w:marLeft w:val="0"/>
      <w:marRight w:val="0"/>
      <w:marTop w:val="0"/>
      <w:marBottom w:val="0"/>
      <w:divBdr>
        <w:top w:val="none" w:sz="0" w:space="0" w:color="auto"/>
        <w:left w:val="none" w:sz="0" w:space="0" w:color="auto"/>
        <w:bottom w:val="none" w:sz="0" w:space="0" w:color="auto"/>
        <w:right w:val="none" w:sz="0" w:space="0" w:color="auto"/>
      </w:divBdr>
    </w:div>
    <w:div w:id="1207371679">
      <w:bodyDiv w:val="1"/>
      <w:marLeft w:val="0"/>
      <w:marRight w:val="0"/>
      <w:marTop w:val="0"/>
      <w:marBottom w:val="0"/>
      <w:divBdr>
        <w:top w:val="none" w:sz="0" w:space="0" w:color="auto"/>
        <w:left w:val="none" w:sz="0" w:space="0" w:color="auto"/>
        <w:bottom w:val="none" w:sz="0" w:space="0" w:color="auto"/>
        <w:right w:val="none" w:sz="0" w:space="0" w:color="auto"/>
      </w:divBdr>
    </w:div>
    <w:div w:id="1218861373">
      <w:bodyDiv w:val="1"/>
      <w:marLeft w:val="0"/>
      <w:marRight w:val="0"/>
      <w:marTop w:val="0"/>
      <w:marBottom w:val="0"/>
      <w:divBdr>
        <w:top w:val="none" w:sz="0" w:space="0" w:color="auto"/>
        <w:left w:val="none" w:sz="0" w:space="0" w:color="auto"/>
        <w:bottom w:val="none" w:sz="0" w:space="0" w:color="auto"/>
        <w:right w:val="none" w:sz="0" w:space="0" w:color="auto"/>
      </w:divBdr>
    </w:div>
    <w:div w:id="1222331768">
      <w:bodyDiv w:val="1"/>
      <w:marLeft w:val="0"/>
      <w:marRight w:val="0"/>
      <w:marTop w:val="0"/>
      <w:marBottom w:val="0"/>
      <w:divBdr>
        <w:top w:val="none" w:sz="0" w:space="0" w:color="auto"/>
        <w:left w:val="none" w:sz="0" w:space="0" w:color="auto"/>
        <w:bottom w:val="none" w:sz="0" w:space="0" w:color="auto"/>
        <w:right w:val="none" w:sz="0" w:space="0" w:color="auto"/>
      </w:divBdr>
    </w:div>
    <w:div w:id="1223253997">
      <w:bodyDiv w:val="1"/>
      <w:marLeft w:val="0"/>
      <w:marRight w:val="0"/>
      <w:marTop w:val="0"/>
      <w:marBottom w:val="0"/>
      <w:divBdr>
        <w:top w:val="none" w:sz="0" w:space="0" w:color="auto"/>
        <w:left w:val="none" w:sz="0" w:space="0" w:color="auto"/>
        <w:bottom w:val="none" w:sz="0" w:space="0" w:color="auto"/>
        <w:right w:val="none" w:sz="0" w:space="0" w:color="auto"/>
      </w:divBdr>
    </w:div>
    <w:div w:id="1226796255">
      <w:bodyDiv w:val="1"/>
      <w:marLeft w:val="0"/>
      <w:marRight w:val="0"/>
      <w:marTop w:val="0"/>
      <w:marBottom w:val="0"/>
      <w:divBdr>
        <w:top w:val="none" w:sz="0" w:space="0" w:color="auto"/>
        <w:left w:val="none" w:sz="0" w:space="0" w:color="auto"/>
        <w:bottom w:val="none" w:sz="0" w:space="0" w:color="auto"/>
        <w:right w:val="none" w:sz="0" w:space="0" w:color="auto"/>
      </w:divBdr>
    </w:div>
    <w:div w:id="1233387971">
      <w:bodyDiv w:val="1"/>
      <w:marLeft w:val="0"/>
      <w:marRight w:val="0"/>
      <w:marTop w:val="0"/>
      <w:marBottom w:val="0"/>
      <w:divBdr>
        <w:top w:val="none" w:sz="0" w:space="0" w:color="auto"/>
        <w:left w:val="none" w:sz="0" w:space="0" w:color="auto"/>
        <w:bottom w:val="none" w:sz="0" w:space="0" w:color="auto"/>
        <w:right w:val="none" w:sz="0" w:space="0" w:color="auto"/>
      </w:divBdr>
    </w:div>
    <w:div w:id="1236236629">
      <w:bodyDiv w:val="1"/>
      <w:marLeft w:val="0"/>
      <w:marRight w:val="0"/>
      <w:marTop w:val="0"/>
      <w:marBottom w:val="0"/>
      <w:divBdr>
        <w:top w:val="none" w:sz="0" w:space="0" w:color="auto"/>
        <w:left w:val="none" w:sz="0" w:space="0" w:color="auto"/>
        <w:bottom w:val="none" w:sz="0" w:space="0" w:color="auto"/>
        <w:right w:val="none" w:sz="0" w:space="0" w:color="auto"/>
      </w:divBdr>
    </w:div>
    <w:div w:id="1236941167">
      <w:bodyDiv w:val="1"/>
      <w:marLeft w:val="0"/>
      <w:marRight w:val="0"/>
      <w:marTop w:val="0"/>
      <w:marBottom w:val="0"/>
      <w:divBdr>
        <w:top w:val="none" w:sz="0" w:space="0" w:color="auto"/>
        <w:left w:val="none" w:sz="0" w:space="0" w:color="auto"/>
        <w:bottom w:val="none" w:sz="0" w:space="0" w:color="auto"/>
        <w:right w:val="none" w:sz="0" w:space="0" w:color="auto"/>
      </w:divBdr>
    </w:div>
    <w:div w:id="1249265028">
      <w:bodyDiv w:val="1"/>
      <w:marLeft w:val="0"/>
      <w:marRight w:val="0"/>
      <w:marTop w:val="0"/>
      <w:marBottom w:val="0"/>
      <w:divBdr>
        <w:top w:val="none" w:sz="0" w:space="0" w:color="auto"/>
        <w:left w:val="none" w:sz="0" w:space="0" w:color="auto"/>
        <w:bottom w:val="none" w:sz="0" w:space="0" w:color="auto"/>
        <w:right w:val="none" w:sz="0" w:space="0" w:color="auto"/>
      </w:divBdr>
    </w:div>
    <w:div w:id="1269509071">
      <w:bodyDiv w:val="1"/>
      <w:marLeft w:val="0"/>
      <w:marRight w:val="0"/>
      <w:marTop w:val="0"/>
      <w:marBottom w:val="0"/>
      <w:divBdr>
        <w:top w:val="none" w:sz="0" w:space="0" w:color="auto"/>
        <w:left w:val="none" w:sz="0" w:space="0" w:color="auto"/>
        <w:bottom w:val="none" w:sz="0" w:space="0" w:color="auto"/>
        <w:right w:val="none" w:sz="0" w:space="0" w:color="auto"/>
      </w:divBdr>
    </w:div>
    <w:div w:id="1270549232">
      <w:bodyDiv w:val="1"/>
      <w:marLeft w:val="0"/>
      <w:marRight w:val="0"/>
      <w:marTop w:val="0"/>
      <w:marBottom w:val="0"/>
      <w:divBdr>
        <w:top w:val="none" w:sz="0" w:space="0" w:color="auto"/>
        <w:left w:val="none" w:sz="0" w:space="0" w:color="auto"/>
        <w:bottom w:val="none" w:sz="0" w:space="0" w:color="auto"/>
        <w:right w:val="none" w:sz="0" w:space="0" w:color="auto"/>
      </w:divBdr>
    </w:div>
    <w:div w:id="1283197255">
      <w:bodyDiv w:val="1"/>
      <w:marLeft w:val="0"/>
      <w:marRight w:val="0"/>
      <w:marTop w:val="0"/>
      <w:marBottom w:val="0"/>
      <w:divBdr>
        <w:top w:val="none" w:sz="0" w:space="0" w:color="auto"/>
        <w:left w:val="none" w:sz="0" w:space="0" w:color="auto"/>
        <w:bottom w:val="none" w:sz="0" w:space="0" w:color="auto"/>
        <w:right w:val="none" w:sz="0" w:space="0" w:color="auto"/>
      </w:divBdr>
    </w:div>
    <w:div w:id="1292907846">
      <w:bodyDiv w:val="1"/>
      <w:marLeft w:val="0"/>
      <w:marRight w:val="0"/>
      <w:marTop w:val="0"/>
      <w:marBottom w:val="0"/>
      <w:divBdr>
        <w:top w:val="none" w:sz="0" w:space="0" w:color="auto"/>
        <w:left w:val="none" w:sz="0" w:space="0" w:color="auto"/>
        <w:bottom w:val="none" w:sz="0" w:space="0" w:color="auto"/>
        <w:right w:val="none" w:sz="0" w:space="0" w:color="auto"/>
      </w:divBdr>
    </w:div>
    <w:div w:id="1294097829">
      <w:bodyDiv w:val="1"/>
      <w:marLeft w:val="0"/>
      <w:marRight w:val="0"/>
      <w:marTop w:val="0"/>
      <w:marBottom w:val="0"/>
      <w:divBdr>
        <w:top w:val="none" w:sz="0" w:space="0" w:color="auto"/>
        <w:left w:val="none" w:sz="0" w:space="0" w:color="auto"/>
        <w:bottom w:val="none" w:sz="0" w:space="0" w:color="auto"/>
        <w:right w:val="none" w:sz="0" w:space="0" w:color="auto"/>
      </w:divBdr>
    </w:div>
    <w:div w:id="1297224509">
      <w:bodyDiv w:val="1"/>
      <w:marLeft w:val="0"/>
      <w:marRight w:val="0"/>
      <w:marTop w:val="0"/>
      <w:marBottom w:val="0"/>
      <w:divBdr>
        <w:top w:val="none" w:sz="0" w:space="0" w:color="auto"/>
        <w:left w:val="none" w:sz="0" w:space="0" w:color="auto"/>
        <w:bottom w:val="none" w:sz="0" w:space="0" w:color="auto"/>
        <w:right w:val="none" w:sz="0" w:space="0" w:color="auto"/>
      </w:divBdr>
    </w:div>
    <w:div w:id="1338537696">
      <w:bodyDiv w:val="1"/>
      <w:marLeft w:val="0"/>
      <w:marRight w:val="0"/>
      <w:marTop w:val="0"/>
      <w:marBottom w:val="0"/>
      <w:divBdr>
        <w:top w:val="none" w:sz="0" w:space="0" w:color="auto"/>
        <w:left w:val="none" w:sz="0" w:space="0" w:color="auto"/>
        <w:bottom w:val="none" w:sz="0" w:space="0" w:color="auto"/>
        <w:right w:val="none" w:sz="0" w:space="0" w:color="auto"/>
      </w:divBdr>
    </w:div>
    <w:div w:id="1368603626">
      <w:bodyDiv w:val="1"/>
      <w:marLeft w:val="0"/>
      <w:marRight w:val="0"/>
      <w:marTop w:val="0"/>
      <w:marBottom w:val="0"/>
      <w:divBdr>
        <w:top w:val="none" w:sz="0" w:space="0" w:color="auto"/>
        <w:left w:val="none" w:sz="0" w:space="0" w:color="auto"/>
        <w:bottom w:val="none" w:sz="0" w:space="0" w:color="auto"/>
        <w:right w:val="none" w:sz="0" w:space="0" w:color="auto"/>
      </w:divBdr>
    </w:div>
    <w:div w:id="1369985491">
      <w:bodyDiv w:val="1"/>
      <w:marLeft w:val="0"/>
      <w:marRight w:val="0"/>
      <w:marTop w:val="0"/>
      <w:marBottom w:val="0"/>
      <w:divBdr>
        <w:top w:val="none" w:sz="0" w:space="0" w:color="auto"/>
        <w:left w:val="none" w:sz="0" w:space="0" w:color="auto"/>
        <w:bottom w:val="none" w:sz="0" w:space="0" w:color="auto"/>
        <w:right w:val="none" w:sz="0" w:space="0" w:color="auto"/>
      </w:divBdr>
    </w:div>
    <w:div w:id="1380016003">
      <w:bodyDiv w:val="1"/>
      <w:marLeft w:val="0"/>
      <w:marRight w:val="0"/>
      <w:marTop w:val="0"/>
      <w:marBottom w:val="0"/>
      <w:divBdr>
        <w:top w:val="none" w:sz="0" w:space="0" w:color="auto"/>
        <w:left w:val="none" w:sz="0" w:space="0" w:color="auto"/>
        <w:bottom w:val="none" w:sz="0" w:space="0" w:color="auto"/>
        <w:right w:val="none" w:sz="0" w:space="0" w:color="auto"/>
      </w:divBdr>
    </w:div>
    <w:div w:id="1380058505">
      <w:bodyDiv w:val="1"/>
      <w:marLeft w:val="0"/>
      <w:marRight w:val="0"/>
      <w:marTop w:val="0"/>
      <w:marBottom w:val="0"/>
      <w:divBdr>
        <w:top w:val="none" w:sz="0" w:space="0" w:color="auto"/>
        <w:left w:val="none" w:sz="0" w:space="0" w:color="auto"/>
        <w:bottom w:val="none" w:sz="0" w:space="0" w:color="auto"/>
        <w:right w:val="none" w:sz="0" w:space="0" w:color="auto"/>
      </w:divBdr>
    </w:div>
    <w:div w:id="1397318789">
      <w:bodyDiv w:val="1"/>
      <w:marLeft w:val="0"/>
      <w:marRight w:val="0"/>
      <w:marTop w:val="0"/>
      <w:marBottom w:val="0"/>
      <w:divBdr>
        <w:top w:val="none" w:sz="0" w:space="0" w:color="auto"/>
        <w:left w:val="none" w:sz="0" w:space="0" w:color="auto"/>
        <w:bottom w:val="none" w:sz="0" w:space="0" w:color="auto"/>
        <w:right w:val="none" w:sz="0" w:space="0" w:color="auto"/>
      </w:divBdr>
    </w:div>
    <w:div w:id="1428691797">
      <w:bodyDiv w:val="1"/>
      <w:marLeft w:val="0"/>
      <w:marRight w:val="0"/>
      <w:marTop w:val="0"/>
      <w:marBottom w:val="0"/>
      <w:divBdr>
        <w:top w:val="none" w:sz="0" w:space="0" w:color="auto"/>
        <w:left w:val="none" w:sz="0" w:space="0" w:color="auto"/>
        <w:bottom w:val="none" w:sz="0" w:space="0" w:color="auto"/>
        <w:right w:val="none" w:sz="0" w:space="0" w:color="auto"/>
      </w:divBdr>
    </w:div>
    <w:div w:id="1433742626">
      <w:bodyDiv w:val="1"/>
      <w:marLeft w:val="0"/>
      <w:marRight w:val="0"/>
      <w:marTop w:val="0"/>
      <w:marBottom w:val="0"/>
      <w:divBdr>
        <w:top w:val="none" w:sz="0" w:space="0" w:color="auto"/>
        <w:left w:val="none" w:sz="0" w:space="0" w:color="auto"/>
        <w:bottom w:val="none" w:sz="0" w:space="0" w:color="auto"/>
        <w:right w:val="none" w:sz="0" w:space="0" w:color="auto"/>
      </w:divBdr>
    </w:div>
    <w:div w:id="1436051596">
      <w:bodyDiv w:val="1"/>
      <w:marLeft w:val="0"/>
      <w:marRight w:val="0"/>
      <w:marTop w:val="0"/>
      <w:marBottom w:val="0"/>
      <w:divBdr>
        <w:top w:val="none" w:sz="0" w:space="0" w:color="auto"/>
        <w:left w:val="none" w:sz="0" w:space="0" w:color="auto"/>
        <w:bottom w:val="none" w:sz="0" w:space="0" w:color="auto"/>
        <w:right w:val="none" w:sz="0" w:space="0" w:color="auto"/>
      </w:divBdr>
    </w:div>
    <w:div w:id="1442990800">
      <w:bodyDiv w:val="1"/>
      <w:marLeft w:val="0"/>
      <w:marRight w:val="0"/>
      <w:marTop w:val="0"/>
      <w:marBottom w:val="0"/>
      <w:divBdr>
        <w:top w:val="none" w:sz="0" w:space="0" w:color="auto"/>
        <w:left w:val="none" w:sz="0" w:space="0" w:color="auto"/>
        <w:bottom w:val="none" w:sz="0" w:space="0" w:color="auto"/>
        <w:right w:val="none" w:sz="0" w:space="0" w:color="auto"/>
      </w:divBdr>
    </w:div>
    <w:div w:id="1459453136">
      <w:bodyDiv w:val="1"/>
      <w:marLeft w:val="0"/>
      <w:marRight w:val="0"/>
      <w:marTop w:val="0"/>
      <w:marBottom w:val="0"/>
      <w:divBdr>
        <w:top w:val="none" w:sz="0" w:space="0" w:color="auto"/>
        <w:left w:val="none" w:sz="0" w:space="0" w:color="auto"/>
        <w:bottom w:val="none" w:sz="0" w:space="0" w:color="auto"/>
        <w:right w:val="none" w:sz="0" w:space="0" w:color="auto"/>
      </w:divBdr>
    </w:div>
    <w:div w:id="1465347936">
      <w:bodyDiv w:val="1"/>
      <w:marLeft w:val="0"/>
      <w:marRight w:val="0"/>
      <w:marTop w:val="0"/>
      <w:marBottom w:val="0"/>
      <w:divBdr>
        <w:top w:val="none" w:sz="0" w:space="0" w:color="auto"/>
        <w:left w:val="none" w:sz="0" w:space="0" w:color="auto"/>
        <w:bottom w:val="none" w:sz="0" w:space="0" w:color="auto"/>
        <w:right w:val="none" w:sz="0" w:space="0" w:color="auto"/>
      </w:divBdr>
    </w:div>
    <w:div w:id="1474372144">
      <w:bodyDiv w:val="1"/>
      <w:marLeft w:val="0"/>
      <w:marRight w:val="0"/>
      <w:marTop w:val="0"/>
      <w:marBottom w:val="0"/>
      <w:divBdr>
        <w:top w:val="none" w:sz="0" w:space="0" w:color="auto"/>
        <w:left w:val="none" w:sz="0" w:space="0" w:color="auto"/>
        <w:bottom w:val="none" w:sz="0" w:space="0" w:color="auto"/>
        <w:right w:val="none" w:sz="0" w:space="0" w:color="auto"/>
      </w:divBdr>
    </w:div>
    <w:div w:id="1485194053">
      <w:bodyDiv w:val="1"/>
      <w:marLeft w:val="0"/>
      <w:marRight w:val="0"/>
      <w:marTop w:val="0"/>
      <w:marBottom w:val="0"/>
      <w:divBdr>
        <w:top w:val="none" w:sz="0" w:space="0" w:color="auto"/>
        <w:left w:val="none" w:sz="0" w:space="0" w:color="auto"/>
        <w:bottom w:val="none" w:sz="0" w:space="0" w:color="auto"/>
        <w:right w:val="none" w:sz="0" w:space="0" w:color="auto"/>
      </w:divBdr>
    </w:div>
    <w:div w:id="1490368913">
      <w:bodyDiv w:val="1"/>
      <w:marLeft w:val="0"/>
      <w:marRight w:val="0"/>
      <w:marTop w:val="0"/>
      <w:marBottom w:val="0"/>
      <w:divBdr>
        <w:top w:val="none" w:sz="0" w:space="0" w:color="auto"/>
        <w:left w:val="none" w:sz="0" w:space="0" w:color="auto"/>
        <w:bottom w:val="none" w:sz="0" w:space="0" w:color="auto"/>
        <w:right w:val="none" w:sz="0" w:space="0" w:color="auto"/>
      </w:divBdr>
    </w:div>
    <w:div w:id="1508325848">
      <w:bodyDiv w:val="1"/>
      <w:marLeft w:val="0"/>
      <w:marRight w:val="0"/>
      <w:marTop w:val="0"/>
      <w:marBottom w:val="0"/>
      <w:divBdr>
        <w:top w:val="none" w:sz="0" w:space="0" w:color="auto"/>
        <w:left w:val="none" w:sz="0" w:space="0" w:color="auto"/>
        <w:bottom w:val="none" w:sz="0" w:space="0" w:color="auto"/>
        <w:right w:val="none" w:sz="0" w:space="0" w:color="auto"/>
      </w:divBdr>
    </w:div>
    <w:div w:id="1510827438">
      <w:bodyDiv w:val="1"/>
      <w:marLeft w:val="0"/>
      <w:marRight w:val="0"/>
      <w:marTop w:val="0"/>
      <w:marBottom w:val="0"/>
      <w:divBdr>
        <w:top w:val="none" w:sz="0" w:space="0" w:color="auto"/>
        <w:left w:val="none" w:sz="0" w:space="0" w:color="auto"/>
        <w:bottom w:val="none" w:sz="0" w:space="0" w:color="auto"/>
        <w:right w:val="none" w:sz="0" w:space="0" w:color="auto"/>
      </w:divBdr>
    </w:div>
    <w:div w:id="1510874855">
      <w:bodyDiv w:val="1"/>
      <w:marLeft w:val="0"/>
      <w:marRight w:val="0"/>
      <w:marTop w:val="0"/>
      <w:marBottom w:val="0"/>
      <w:divBdr>
        <w:top w:val="none" w:sz="0" w:space="0" w:color="auto"/>
        <w:left w:val="none" w:sz="0" w:space="0" w:color="auto"/>
        <w:bottom w:val="none" w:sz="0" w:space="0" w:color="auto"/>
        <w:right w:val="none" w:sz="0" w:space="0" w:color="auto"/>
      </w:divBdr>
    </w:div>
    <w:div w:id="1511137936">
      <w:bodyDiv w:val="1"/>
      <w:marLeft w:val="0"/>
      <w:marRight w:val="0"/>
      <w:marTop w:val="0"/>
      <w:marBottom w:val="0"/>
      <w:divBdr>
        <w:top w:val="none" w:sz="0" w:space="0" w:color="auto"/>
        <w:left w:val="none" w:sz="0" w:space="0" w:color="auto"/>
        <w:bottom w:val="none" w:sz="0" w:space="0" w:color="auto"/>
        <w:right w:val="none" w:sz="0" w:space="0" w:color="auto"/>
      </w:divBdr>
    </w:div>
    <w:div w:id="1544633054">
      <w:bodyDiv w:val="1"/>
      <w:marLeft w:val="0"/>
      <w:marRight w:val="0"/>
      <w:marTop w:val="0"/>
      <w:marBottom w:val="0"/>
      <w:divBdr>
        <w:top w:val="none" w:sz="0" w:space="0" w:color="auto"/>
        <w:left w:val="none" w:sz="0" w:space="0" w:color="auto"/>
        <w:bottom w:val="none" w:sz="0" w:space="0" w:color="auto"/>
        <w:right w:val="none" w:sz="0" w:space="0" w:color="auto"/>
      </w:divBdr>
    </w:div>
    <w:div w:id="1545168991">
      <w:bodyDiv w:val="1"/>
      <w:marLeft w:val="0"/>
      <w:marRight w:val="0"/>
      <w:marTop w:val="0"/>
      <w:marBottom w:val="0"/>
      <w:divBdr>
        <w:top w:val="none" w:sz="0" w:space="0" w:color="auto"/>
        <w:left w:val="none" w:sz="0" w:space="0" w:color="auto"/>
        <w:bottom w:val="none" w:sz="0" w:space="0" w:color="auto"/>
        <w:right w:val="none" w:sz="0" w:space="0" w:color="auto"/>
      </w:divBdr>
    </w:div>
    <w:div w:id="1573737595">
      <w:bodyDiv w:val="1"/>
      <w:marLeft w:val="0"/>
      <w:marRight w:val="0"/>
      <w:marTop w:val="0"/>
      <w:marBottom w:val="0"/>
      <w:divBdr>
        <w:top w:val="none" w:sz="0" w:space="0" w:color="auto"/>
        <w:left w:val="none" w:sz="0" w:space="0" w:color="auto"/>
        <w:bottom w:val="none" w:sz="0" w:space="0" w:color="auto"/>
        <w:right w:val="none" w:sz="0" w:space="0" w:color="auto"/>
      </w:divBdr>
    </w:div>
    <w:div w:id="1578859703">
      <w:bodyDiv w:val="1"/>
      <w:marLeft w:val="0"/>
      <w:marRight w:val="0"/>
      <w:marTop w:val="0"/>
      <w:marBottom w:val="0"/>
      <w:divBdr>
        <w:top w:val="none" w:sz="0" w:space="0" w:color="auto"/>
        <w:left w:val="none" w:sz="0" w:space="0" w:color="auto"/>
        <w:bottom w:val="none" w:sz="0" w:space="0" w:color="auto"/>
        <w:right w:val="none" w:sz="0" w:space="0" w:color="auto"/>
      </w:divBdr>
    </w:div>
    <w:div w:id="1581135305">
      <w:bodyDiv w:val="1"/>
      <w:marLeft w:val="0"/>
      <w:marRight w:val="0"/>
      <w:marTop w:val="0"/>
      <w:marBottom w:val="0"/>
      <w:divBdr>
        <w:top w:val="none" w:sz="0" w:space="0" w:color="auto"/>
        <w:left w:val="none" w:sz="0" w:space="0" w:color="auto"/>
        <w:bottom w:val="none" w:sz="0" w:space="0" w:color="auto"/>
        <w:right w:val="none" w:sz="0" w:space="0" w:color="auto"/>
      </w:divBdr>
    </w:div>
    <w:div w:id="1584683756">
      <w:bodyDiv w:val="1"/>
      <w:marLeft w:val="0"/>
      <w:marRight w:val="0"/>
      <w:marTop w:val="0"/>
      <w:marBottom w:val="0"/>
      <w:divBdr>
        <w:top w:val="none" w:sz="0" w:space="0" w:color="auto"/>
        <w:left w:val="none" w:sz="0" w:space="0" w:color="auto"/>
        <w:bottom w:val="none" w:sz="0" w:space="0" w:color="auto"/>
        <w:right w:val="none" w:sz="0" w:space="0" w:color="auto"/>
      </w:divBdr>
    </w:div>
    <w:div w:id="1599558326">
      <w:bodyDiv w:val="1"/>
      <w:marLeft w:val="0"/>
      <w:marRight w:val="0"/>
      <w:marTop w:val="0"/>
      <w:marBottom w:val="0"/>
      <w:divBdr>
        <w:top w:val="none" w:sz="0" w:space="0" w:color="auto"/>
        <w:left w:val="none" w:sz="0" w:space="0" w:color="auto"/>
        <w:bottom w:val="none" w:sz="0" w:space="0" w:color="auto"/>
        <w:right w:val="none" w:sz="0" w:space="0" w:color="auto"/>
      </w:divBdr>
    </w:div>
    <w:div w:id="1604263331">
      <w:bodyDiv w:val="1"/>
      <w:marLeft w:val="0"/>
      <w:marRight w:val="0"/>
      <w:marTop w:val="0"/>
      <w:marBottom w:val="0"/>
      <w:divBdr>
        <w:top w:val="none" w:sz="0" w:space="0" w:color="auto"/>
        <w:left w:val="none" w:sz="0" w:space="0" w:color="auto"/>
        <w:bottom w:val="none" w:sz="0" w:space="0" w:color="auto"/>
        <w:right w:val="none" w:sz="0" w:space="0" w:color="auto"/>
      </w:divBdr>
    </w:div>
    <w:div w:id="1618565859">
      <w:bodyDiv w:val="1"/>
      <w:marLeft w:val="0"/>
      <w:marRight w:val="0"/>
      <w:marTop w:val="0"/>
      <w:marBottom w:val="0"/>
      <w:divBdr>
        <w:top w:val="none" w:sz="0" w:space="0" w:color="auto"/>
        <w:left w:val="none" w:sz="0" w:space="0" w:color="auto"/>
        <w:bottom w:val="none" w:sz="0" w:space="0" w:color="auto"/>
        <w:right w:val="none" w:sz="0" w:space="0" w:color="auto"/>
      </w:divBdr>
    </w:div>
    <w:div w:id="1635865900">
      <w:bodyDiv w:val="1"/>
      <w:marLeft w:val="0"/>
      <w:marRight w:val="0"/>
      <w:marTop w:val="0"/>
      <w:marBottom w:val="0"/>
      <w:divBdr>
        <w:top w:val="none" w:sz="0" w:space="0" w:color="auto"/>
        <w:left w:val="none" w:sz="0" w:space="0" w:color="auto"/>
        <w:bottom w:val="none" w:sz="0" w:space="0" w:color="auto"/>
        <w:right w:val="none" w:sz="0" w:space="0" w:color="auto"/>
      </w:divBdr>
    </w:div>
    <w:div w:id="1636905420">
      <w:bodyDiv w:val="1"/>
      <w:marLeft w:val="0"/>
      <w:marRight w:val="0"/>
      <w:marTop w:val="0"/>
      <w:marBottom w:val="0"/>
      <w:divBdr>
        <w:top w:val="none" w:sz="0" w:space="0" w:color="auto"/>
        <w:left w:val="none" w:sz="0" w:space="0" w:color="auto"/>
        <w:bottom w:val="none" w:sz="0" w:space="0" w:color="auto"/>
        <w:right w:val="none" w:sz="0" w:space="0" w:color="auto"/>
      </w:divBdr>
    </w:div>
    <w:div w:id="1643316205">
      <w:bodyDiv w:val="1"/>
      <w:marLeft w:val="0"/>
      <w:marRight w:val="0"/>
      <w:marTop w:val="0"/>
      <w:marBottom w:val="0"/>
      <w:divBdr>
        <w:top w:val="none" w:sz="0" w:space="0" w:color="auto"/>
        <w:left w:val="none" w:sz="0" w:space="0" w:color="auto"/>
        <w:bottom w:val="none" w:sz="0" w:space="0" w:color="auto"/>
        <w:right w:val="none" w:sz="0" w:space="0" w:color="auto"/>
      </w:divBdr>
    </w:div>
    <w:div w:id="1657227843">
      <w:bodyDiv w:val="1"/>
      <w:marLeft w:val="0"/>
      <w:marRight w:val="0"/>
      <w:marTop w:val="0"/>
      <w:marBottom w:val="0"/>
      <w:divBdr>
        <w:top w:val="none" w:sz="0" w:space="0" w:color="auto"/>
        <w:left w:val="none" w:sz="0" w:space="0" w:color="auto"/>
        <w:bottom w:val="none" w:sz="0" w:space="0" w:color="auto"/>
        <w:right w:val="none" w:sz="0" w:space="0" w:color="auto"/>
      </w:divBdr>
    </w:div>
    <w:div w:id="1663388678">
      <w:bodyDiv w:val="1"/>
      <w:marLeft w:val="0"/>
      <w:marRight w:val="0"/>
      <w:marTop w:val="0"/>
      <w:marBottom w:val="0"/>
      <w:divBdr>
        <w:top w:val="none" w:sz="0" w:space="0" w:color="auto"/>
        <w:left w:val="none" w:sz="0" w:space="0" w:color="auto"/>
        <w:bottom w:val="none" w:sz="0" w:space="0" w:color="auto"/>
        <w:right w:val="none" w:sz="0" w:space="0" w:color="auto"/>
      </w:divBdr>
    </w:div>
    <w:div w:id="1670014757">
      <w:bodyDiv w:val="1"/>
      <w:marLeft w:val="0"/>
      <w:marRight w:val="0"/>
      <w:marTop w:val="0"/>
      <w:marBottom w:val="0"/>
      <w:divBdr>
        <w:top w:val="none" w:sz="0" w:space="0" w:color="auto"/>
        <w:left w:val="none" w:sz="0" w:space="0" w:color="auto"/>
        <w:bottom w:val="none" w:sz="0" w:space="0" w:color="auto"/>
        <w:right w:val="none" w:sz="0" w:space="0" w:color="auto"/>
      </w:divBdr>
    </w:div>
    <w:div w:id="1675767833">
      <w:bodyDiv w:val="1"/>
      <w:marLeft w:val="0"/>
      <w:marRight w:val="0"/>
      <w:marTop w:val="0"/>
      <w:marBottom w:val="0"/>
      <w:divBdr>
        <w:top w:val="none" w:sz="0" w:space="0" w:color="auto"/>
        <w:left w:val="none" w:sz="0" w:space="0" w:color="auto"/>
        <w:bottom w:val="none" w:sz="0" w:space="0" w:color="auto"/>
        <w:right w:val="none" w:sz="0" w:space="0" w:color="auto"/>
      </w:divBdr>
    </w:div>
    <w:div w:id="1689521189">
      <w:bodyDiv w:val="1"/>
      <w:marLeft w:val="0"/>
      <w:marRight w:val="0"/>
      <w:marTop w:val="0"/>
      <w:marBottom w:val="0"/>
      <w:divBdr>
        <w:top w:val="none" w:sz="0" w:space="0" w:color="auto"/>
        <w:left w:val="none" w:sz="0" w:space="0" w:color="auto"/>
        <w:bottom w:val="none" w:sz="0" w:space="0" w:color="auto"/>
        <w:right w:val="none" w:sz="0" w:space="0" w:color="auto"/>
      </w:divBdr>
    </w:div>
    <w:div w:id="1693258777">
      <w:bodyDiv w:val="1"/>
      <w:marLeft w:val="0"/>
      <w:marRight w:val="0"/>
      <w:marTop w:val="0"/>
      <w:marBottom w:val="0"/>
      <w:divBdr>
        <w:top w:val="none" w:sz="0" w:space="0" w:color="auto"/>
        <w:left w:val="none" w:sz="0" w:space="0" w:color="auto"/>
        <w:bottom w:val="none" w:sz="0" w:space="0" w:color="auto"/>
        <w:right w:val="none" w:sz="0" w:space="0" w:color="auto"/>
      </w:divBdr>
    </w:div>
    <w:div w:id="1694529173">
      <w:bodyDiv w:val="1"/>
      <w:marLeft w:val="0"/>
      <w:marRight w:val="0"/>
      <w:marTop w:val="0"/>
      <w:marBottom w:val="0"/>
      <w:divBdr>
        <w:top w:val="none" w:sz="0" w:space="0" w:color="auto"/>
        <w:left w:val="none" w:sz="0" w:space="0" w:color="auto"/>
        <w:bottom w:val="none" w:sz="0" w:space="0" w:color="auto"/>
        <w:right w:val="none" w:sz="0" w:space="0" w:color="auto"/>
      </w:divBdr>
    </w:div>
    <w:div w:id="1698579770">
      <w:bodyDiv w:val="1"/>
      <w:marLeft w:val="0"/>
      <w:marRight w:val="0"/>
      <w:marTop w:val="0"/>
      <w:marBottom w:val="0"/>
      <w:divBdr>
        <w:top w:val="none" w:sz="0" w:space="0" w:color="auto"/>
        <w:left w:val="none" w:sz="0" w:space="0" w:color="auto"/>
        <w:bottom w:val="none" w:sz="0" w:space="0" w:color="auto"/>
        <w:right w:val="none" w:sz="0" w:space="0" w:color="auto"/>
      </w:divBdr>
    </w:div>
    <w:div w:id="1699432864">
      <w:bodyDiv w:val="1"/>
      <w:marLeft w:val="0"/>
      <w:marRight w:val="0"/>
      <w:marTop w:val="0"/>
      <w:marBottom w:val="0"/>
      <w:divBdr>
        <w:top w:val="none" w:sz="0" w:space="0" w:color="auto"/>
        <w:left w:val="none" w:sz="0" w:space="0" w:color="auto"/>
        <w:bottom w:val="none" w:sz="0" w:space="0" w:color="auto"/>
        <w:right w:val="none" w:sz="0" w:space="0" w:color="auto"/>
      </w:divBdr>
    </w:div>
    <w:div w:id="1699503875">
      <w:bodyDiv w:val="1"/>
      <w:marLeft w:val="0"/>
      <w:marRight w:val="0"/>
      <w:marTop w:val="0"/>
      <w:marBottom w:val="0"/>
      <w:divBdr>
        <w:top w:val="none" w:sz="0" w:space="0" w:color="auto"/>
        <w:left w:val="none" w:sz="0" w:space="0" w:color="auto"/>
        <w:bottom w:val="none" w:sz="0" w:space="0" w:color="auto"/>
        <w:right w:val="none" w:sz="0" w:space="0" w:color="auto"/>
      </w:divBdr>
    </w:div>
    <w:div w:id="1706758130">
      <w:bodyDiv w:val="1"/>
      <w:marLeft w:val="0"/>
      <w:marRight w:val="0"/>
      <w:marTop w:val="0"/>
      <w:marBottom w:val="0"/>
      <w:divBdr>
        <w:top w:val="none" w:sz="0" w:space="0" w:color="auto"/>
        <w:left w:val="none" w:sz="0" w:space="0" w:color="auto"/>
        <w:bottom w:val="none" w:sz="0" w:space="0" w:color="auto"/>
        <w:right w:val="none" w:sz="0" w:space="0" w:color="auto"/>
      </w:divBdr>
    </w:div>
    <w:div w:id="1707411111">
      <w:bodyDiv w:val="1"/>
      <w:marLeft w:val="0"/>
      <w:marRight w:val="0"/>
      <w:marTop w:val="0"/>
      <w:marBottom w:val="0"/>
      <w:divBdr>
        <w:top w:val="none" w:sz="0" w:space="0" w:color="auto"/>
        <w:left w:val="none" w:sz="0" w:space="0" w:color="auto"/>
        <w:bottom w:val="none" w:sz="0" w:space="0" w:color="auto"/>
        <w:right w:val="none" w:sz="0" w:space="0" w:color="auto"/>
      </w:divBdr>
    </w:div>
    <w:div w:id="1708333273">
      <w:bodyDiv w:val="1"/>
      <w:marLeft w:val="0"/>
      <w:marRight w:val="0"/>
      <w:marTop w:val="0"/>
      <w:marBottom w:val="0"/>
      <w:divBdr>
        <w:top w:val="none" w:sz="0" w:space="0" w:color="auto"/>
        <w:left w:val="none" w:sz="0" w:space="0" w:color="auto"/>
        <w:bottom w:val="none" w:sz="0" w:space="0" w:color="auto"/>
        <w:right w:val="none" w:sz="0" w:space="0" w:color="auto"/>
      </w:divBdr>
    </w:div>
    <w:div w:id="1710688433">
      <w:bodyDiv w:val="1"/>
      <w:marLeft w:val="0"/>
      <w:marRight w:val="0"/>
      <w:marTop w:val="0"/>
      <w:marBottom w:val="0"/>
      <w:divBdr>
        <w:top w:val="none" w:sz="0" w:space="0" w:color="auto"/>
        <w:left w:val="none" w:sz="0" w:space="0" w:color="auto"/>
        <w:bottom w:val="none" w:sz="0" w:space="0" w:color="auto"/>
        <w:right w:val="none" w:sz="0" w:space="0" w:color="auto"/>
      </w:divBdr>
    </w:div>
    <w:div w:id="1715501946">
      <w:bodyDiv w:val="1"/>
      <w:marLeft w:val="0"/>
      <w:marRight w:val="0"/>
      <w:marTop w:val="0"/>
      <w:marBottom w:val="0"/>
      <w:divBdr>
        <w:top w:val="none" w:sz="0" w:space="0" w:color="auto"/>
        <w:left w:val="none" w:sz="0" w:space="0" w:color="auto"/>
        <w:bottom w:val="none" w:sz="0" w:space="0" w:color="auto"/>
        <w:right w:val="none" w:sz="0" w:space="0" w:color="auto"/>
      </w:divBdr>
    </w:div>
    <w:div w:id="1716539679">
      <w:bodyDiv w:val="1"/>
      <w:marLeft w:val="0"/>
      <w:marRight w:val="0"/>
      <w:marTop w:val="0"/>
      <w:marBottom w:val="0"/>
      <w:divBdr>
        <w:top w:val="none" w:sz="0" w:space="0" w:color="auto"/>
        <w:left w:val="none" w:sz="0" w:space="0" w:color="auto"/>
        <w:bottom w:val="none" w:sz="0" w:space="0" w:color="auto"/>
        <w:right w:val="none" w:sz="0" w:space="0" w:color="auto"/>
      </w:divBdr>
    </w:div>
    <w:div w:id="1726416900">
      <w:bodyDiv w:val="1"/>
      <w:marLeft w:val="0"/>
      <w:marRight w:val="0"/>
      <w:marTop w:val="0"/>
      <w:marBottom w:val="0"/>
      <w:divBdr>
        <w:top w:val="none" w:sz="0" w:space="0" w:color="auto"/>
        <w:left w:val="none" w:sz="0" w:space="0" w:color="auto"/>
        <w:bottom w:val="none" w:sz="0" w:space="0" w:color="auto"/>
        <w:right w:val="none" w:sz="0" w:space="0" w:color="auto"/>
      </w:divBdr>
    </w:div>
    <w:div w:id="1727871647">
      <w:bodyDiv w:val="1"/>
      <w:marLeft w:val="0"/>
      <w:marRight w:val="0"/>
      <w:marTop w:val="0"/>
      <w:marBottom w:val="0"/>
      <w:divBdr>
        <w:top w:val="none" w:sz="0" w:space="0" w:color="auto"/>
        <w:left w:val="none" w:sz="0" w:space="0" w:color="auto"/>
        <w:bottom w:val="none" w:sz="0" w:space="0" w:color="auto"/>
        <w:right w:val="none" w:sz="0" w:space="0" w:color="auto"/>
      </w:divBdr>
    </w:div>
    <w:div w:id="1733119068">
      <w:bodyDiv w:val="1"/>
      <w:marLeft w:val="0"/>
      <w:marRight w:val="0"/>
      <w:marTop w:val="0"/>
      <w:marBottom w:val="0"/>
      <w:divBdr>
        <w:top w:val="none" w:sz="0" w:space="0" w:color="auto"/>
        <w:left w:val="none" w:sz="0" w:space="0" w:color="auto"/>
        <w:bottom w:val="none" w:sz="0" w:space="0" w:color="auto"/>
        <w:right w:val="none" w:sz="0" w:space="0" w:color="auto"/>
      </w:divBdr>
    </w:div>
    <w:div w:id="1753040971">
      <w:bodyDiv w:val="1"/>
      <w:marLeft w:val="0"/>
      <w:marRight w:val="0"/>
      <w:marTop w:val="0"/>
      <w:marBottom w:val="0"/>
      <w:divBdr>
        <w:top w:val="none" w:sz="0" w:space="0" w:color="auto"/>
        <w:left w:val="none" w:sz="0" w:space="0" w:color="auto"/>
        <w:bottom w:val="none" w:sz="0" w:space="0" w:color="auto"/>
        <w:right w:val="none" w:sz="0" w:space="0" w:color="auto"/>
      </w:divBdr>
    </w:div>
    <w:div w:id="1758667590">
      <w:bodyDiv w:val="1"/>
      <w:marLeft w:val="0"/>
      <w:marRight w:val="0"/>
      <w:marTop w:val="0"/>
      <w:marBottom w:val="0"/>
      <w:divBdr>
        <w:top w:val="none" w:sz="0" w:space="0" w:color="auto"/>
        <w:left w:val="none" w:sz="0" w:space="0" w:color="auto"/>
        <w:bottom w:val="none" w:sz="0" w:space="0" w:color="auto"/>
        <w:right w:val="none" w:sz="0" w:space="0" w:color="auto"/>
      </w:divBdr>
    </w:div>
    <w:div w:id="1759787475">
      <w:bodyDiv w:val="1"/>
      <w:marLeft w:val="0"/>
      <w:marRight w:val="0"/>
      <w:marTop w:val="0"/>
      <w:marBottom w:val="0"/>
      <w:divBdr>
        <w:top w:val="none" w:sz="0" w:space="0" w:color="auto"/>
        <w:left w:val="none" w:sz="0" w:space="0" w:color="auto"/>
        <w:bottom w:val="none" w:sz="0" w:space="0" w:color="auto"/>
        <w:right w:val="none" w:sz="0" w:space="0" w:color="auto"/>
      </w:divBdr>
    </w:div>
    <w:div w:id="1761218558">
      <w:bodyDiv w:val="1"/>
      <w:marLeft w:val="0"/>
      <w:marRight w:val="0"/>
      <w:marTop w:val="0"/>
      <w:marBottom w:val="0"/>
      <w:divBdr>
        <w:top w:val="none" w:sz="0" w:space="0" w:color="auto"/>
        <w:left w:val="none" w:sz="0" w:space="0" w:color="auto"/>
        <w:bottom w:val="none" w:sz="0" w:space="0" w:color="auto"/>
        <w:right w:val="none" w:sz="0" w:space="0" w:color="auto"/>
      </w:divBdr>
    </w:div>
    <w:div w:id="1788814317">
      <w:bodyDiv w:val="1"/>
      <w:marLeft w:val="0"/>
      <w:marRight w:val="0"/>
      <w:marTop w:val="0"/>
      <w:marBottom w:val="0"/>
      <w:divBdr>
        <w:top w:val="none" w:sz="0" w:space="0" w:color="auto"/>
        <w:left w:val="none" w:sz="0" w:space="0" w:color="auto"/>
        <w:bottom w:val="none" w:sz="0" w:space="0" w:color="auto"/>
        <w:right w:val="none" w:sz="0" w:space="0" w:color="auto"/>
      </w:divBdr>
    </w:div>
    <w:div w:id="1791627732">
      <w:bodyDiv w:val="1"/>
      <w:marLeft w:val="0"/>
      <w:marRight w:val="0"/>
      <w:marTop w:val="0"/>
      <w:marBottom w:val="0"/>
      <w:divBdr>
        <w:top w:val="none" w:sz="0" w:space="0" w:color="auto"/>
        <w:left w:val="none" w:sz="0" w:space="0" w:color="auto"/>
        <w:bottom w:val="none" w:sz="0" w:space="0" w:color="auto"/>
        <w:right w:val="none" w:sz="0" w:space="0" w:color="auto"/>
      </w:divBdr>
    </w:div>
    <w:div w:id="1796024466">
      <w:bodyDiv w:val="1"/>
      <w:marLeft w:val="0"/>
      <w:marRight w:val="0"/>
      <w:marTop w:val="0"/>
      <w:marBottom w:val="0"/>
      <w:divBdr>
        <w:top w:val="none" w:sz="0" w:space="0" w:color="auto"/>
        <w:left w:val="none" w:sz="0" w:space="0" w:color="auto"/>
        <w:bottom w:val="none" w:sz="0" w:space="0" w:color="auto"/>
        <w:right w:val="none" w:sz="0" w:space="0" w:color="auto"/>
      </w:divBdr>
    </w:div>
    <w:div w:id="1796748497">
      <w:bodyDiv w:val="1"/>
      <w:marLeft w:val="0"/>
      <w:marRight w:val="0"/>
      <w:marTop w:val="0"/>
      <w:marBottom w:val="0"/>
      <w:divBdr>
        <w:top w:val="none" w:sz="0" w:space="0" w:color="auto"/>
        <w:left w:val="none" w:sz="0" w:space="0" w:color="auto"/>
        <w:bottom w:val="none" w:sz="0" w:space="0" w:color="auto"/>
        <w:right w:val="none" w:sz="0" w:space="0" w:color="auto"/>
      </w:divBdr>
    </w:div>
    <w:div w:id="1798068118">
      <w:bodyDiv w:val="1"/>
      <w:marLeft w:val="0"/>
      <w:marRight w:val="0"/>
      <w:marTop w:val="0"/>
      <w:marBottom w:val="0"/>
      <w:divBdr>
        <w:top w:val="none" w:sz="0" w:space="0" w:color="auto"/>
        <w:left w:val="none" w:sz="0" w:space="0" w:color="auto"/>
        <w:bottom w:val="none" w:sz="0" w:space="0" w:color="auto"/>
        <w:right w:val="none" w:sz="0" w:space="0" w:color="auto"/>
      </w:divBdr>
    </w:div>
    <w:div w:id="1799450272">
      <w:bodyDiv w:val="1"/>
      <w:marLeft w:val="0"/>
      <w:marRight w:val="0"/>
      <w:marTop w:val="0"/>
      <w:marBottom w:val="0"/>
      <w:divBdr>
        <w:top w:val="none" w:sz="0" w:space="0" w:color="auto"/>
        <w:left w:val="none" w:sz="0" w:space="0" w:color="auto"/>
        <w:bottom w:val="none" w:sz="0" w:space="0" w:color="auto"/>
        <w:right w:val="none" w:sz="0" w:space="0" w:color="auto"/>
      </w:divBdr>
    </w:div>
    <w:div w:id="1802728036">
      <w:bodyDiv w:val="1"/>
      <w:marLeft w:val="0"/>
      <w:marRight w:val="0"/>
      <w:marTop w:val="0"/>
      <w:marBottom w:val="0"/>
      <w:divBdr>
        <w:top w:val="none" w:sz="0" w:space="0" w:color="auto"/>
        <w:left w:val="none" w:sz="0" w:space="0" w:color="auto"/>
        <w:bottom w:val="none" w:sz="0" w:space="0" w:color="auto"/>
        <w:right w:val="none" w:sz="0" w:space="0" w:color="auto"/>
      </w:divBdr>
    </w:div>
    <w:div w:id="1826968290">
      <w:bodyDiv w:val="1"/>
      <w:marLeft w:val="0"/>
      <w:marRight w:val="0"/>
      <w:marTop w:val="0"/>
      <w:marBottom w:val="0"/>
      <w:divBdr>
        <w:top w:val="none" w:sz="0" w:space="0" w:color="auto"/>
        <w:left w:val="none" w:sz="0" w:space="0" w:color="auto"/>
        <w:bottom w:val="none" w:sz="0" w:space="0" w:color="auto"/>
        <w:right w:val="none" w:sz="0" w:space="0" w:color="auto"/>
      </w:divBdr>
    </w:div>
    <w:div w:id="1840194062">
      <w:bodyDiv w:val="1"/>
      <w:marLeft w:val="0"/>
      <w:marRight w:val="0"/>
      <w:marTop w:val="0"/>
      <w:marBottom w:val="0"/>
      <w:divBdr>
        <w:top w:val="none" w:sz="0" w:space="0" w:color="auto"/>
        <w:left w:val="none" w:sz="0" w:space="0" w:color="auto"/>
        <w:bottom w:val="none" w:sz="0" w:space="0" w:color="auto"/>
        <w:right w:val="none" w:sz="0" w:space="0" w:color="auto"/>
      </w:divBdr>
    </w:div>
    <w:div w:id="1846819799">
      <w:bodyDiv w:val="1"/>
      <w:marLeft w:val="0"/>
      <w:marRight w:val="0"/>
      <w:marTop w:val="0"/>
      <w:marBottom w:val="0"/>
      <w:divBdr>
        <w:top w:val="none" w:sz="0" w:space="0" w:color="auto"/>
        <w:left w:val="none" w:sz="0" w:space="0" w:color="auto"/>
        <w:bottom w:val="none" w:sz="0" w:space="0" w:color="auto"/>
        <w:right w:val="none" w:sz="0" w:space="0" w:color="auto"/>
      </w:divBdr>
    </w:div>
    <w:div w:id="1861384331">
      <w:bodyDiv w:val="1"/>
      <w:marLeft w:val="0"/>
      <w:marRight w:val="0"/>
      <w:marTop w:val="0"/>
      <w:marBottom w:val="0"/>
      <w:divBdr>
        <w:top w:val="none" w:sz="0" w:space="0" w:color="auto"/>
        <w:left w:val="none" w:sz="0" w:space="0" w:color="auto"/>
        <w:bottom w:val="none" w:sz="0" w:space="0" w:color="auto"/>
        <w:right w:val="none" w:sz="0" w:space="0" w:color="auto"/>
      </w:divBdr>
    </w:div>
    <w:div w:id="1862431178">
      <w:bodyDiv w:val="1"/>
      <w:marLeft w:val="0"/>
      <w:marRight w:val="0"/>
      <w:marTop w:val="0"/>
      <w:marBottom w:val="0"/>
      <w:divBdr>
        <w:top w:val="none" w:sz="0" w:space="0" w:color="auto"/>
        <w:left w:val="none" w:sz="0" w:space="0" w:color="auto"/>
        <w:bottom w:val="none" w:sz="0" w:space="0" w:color="auto"/>
        <w:right w:val="none" w:sz="0" w:space="0" w:color="auto"/>
      </w:divBdr>
    </w:div>
    <w:div w:id="1870756344">
      <w:bodyDiv w:val="1"/>
      <w:marLeft w:val="0"/>
      <w:marRight w:val="0"/>
      <w:marTop w:val="0"/>
      <w:marBottom w:val="0"/>
      <w:divBdr>
        <w:top w:val="none" w:sz="0" w:space="0" w:color="auto"/>
        <w:left w:val="none" w:sz="0" w:space="0" w:color="auto"/>
        <w:bottom w:val="none" w:sz="0" w:space="0" w:color="auto"/>
        <w:right w:val="none" w:sz="0" w:space="0" w:color="auto"/>
      </w:divBdr>
    </w:div>
    <w:div w:id="1871717632">
      <w:bodyDiv w:val="1"/>
      <w:marLeft w:val="0"/>
      <w:marRight w:val="0"/>
      <w:marTop w:val="0"/>
      <w:marBottom w:val="0"/>
      <w:divBdr>
        <w:top w:val="none" w:sz="0" w:space="0" w:color="auto"/>
        <w:left w:val="none" w:sz="0" w:space="0" w:color="auto"/>
        <w:bottom w:val="none" w:sz="0" w:space="0" w:color="auto"/>
        <w:right w:val="none" w:sz="0" w:space="0" w:color="auto"/>
      </w:divBdr>
    </w:div>
    <w:div w:id="1873958591">
      <w:bodyDiv w:val="1"/>
      <w:marLeft w:val="0"/>
      <w:marRight w:val="0"/>
      <w:marTop w:val="0"/>
      <w:marBottom w:val="0"/>
      <w:divBdr>
        <w:top w:val="none" w:sz="0" w:space="0" w:color="auto"/>
        <w:left w:val="none" w:sz="0" w:space="0" w:color="auto"/>
        <w:bottom w:val="none" w:sz="0" w:space="0" w:color="auto"/>
        <w:right w:val="none" w:sz="0" w:space="0" w:color="auto"/>
      </w:divBdr>
    </w:div>
    <w:div w:id="1874951961">
      <w:bodyDiv w:val="1"/>
      <w:marLeft w:val="0"/>
      <w:marRight w:val="0"/>
      <w:marTop w:val="0"/>
      <w:marBottom w:val="0"/>
      <w:divBdr>
        <w:top w:val="none" w:sz="0" w:space="0" w:color="auto"/>
        <w:left w:val="none" w:sz="0" w:space="0" w:color="auto"/>
        <w:bottom w:val="none" w:sz="0" w:space="0" w:color="auto"/>
        <w:right w:val="none" w:sz="0" w:space="0" w:color="auto"/>
      </w:divBdr>
    </w:div>
    <w:div w:id="1879000877">
      <w:bodyDiv w:val="1"/>
      <w:marLeft w:val="0"/>
      <w:marRight w:val="0"/>
      <w:marTop w:val="0"/>
      <w:marBottom w:val="0"/>
      <w:divBdr>
        <w:top w:val="none" w:sz="0" w:space="0" w:color="auto"/>
        <w:left w:val="none" w:sz="0" w:space="0" w:color="auto"/>
        <w:bottom w:val="none" w:sz="0" w:space="0" w:color="auto"/>
        <w:right w:val="none" w:sz="0" w:space="0" w:color="auto"/>
      </w:divBdr>
    </w:div>
    <w:div w:id="1880049407">
      <w:bodyDiv w:val="1"/>
      <w:marLeft w:val="0"/>
      <w:marRight w:val="0"/>
      <w:marTop w:val="0"/>
      <w:marBottom w:val="0"/>
      <w:divBdr>
        <w:top w:val="none" w:sz="0" w:space="0" w:color="auto"/>
        <w:left w:val="none" w:sz="0" w:space="0" w:color="auto"/>
        <w:bottom w:val="none" w:sz="0" w:space="0" w:color="auto"/>
        <w:right w:val="none" w:sz="0" w:space="0" w:color="auto"/>
      </w:divBdr>
    </w:div>
    <w:div w:id="1880127435">
      <w:bodyDiv w:val="1"/>
      <w:marLeft w:val="0"/>
      <w:marRight w:val="0"/>
      <w:marTop w:val="0"/>
      <w:marBottom w:val="0"/>
      <w:divBdr>
        <w:top w:val="none" w:sz="0" w:space="0" w:color="auto"/>
        <w:left w:val="none" w:sz="0" w:space="0" w:color="auto"/>
        <w:bottom w:val="none" w:sz="0" w:space="0" w:color="auto"/>
        <w:right w:val="none" w:sz="0" w:space="0" w:color="auto"/>
      </w:divBdr>
    </w:div>
    <w:div w:id="1882396969">
      <w:bodyDiv w:val="1"/>
      <w:marLeft w:val="0"/>
      <w:marRight w:val="0"/>
      <w:marTop w:val="0"/>
      <w:marBottom w:val="0"/>
      <w:divBdr>
        <w:top w:val="none" w:sz="0" w:space="0" w:color="auto"/>
        <w:left w:val="none" w:sz="0" w:space="0" w:color="auto"/>
        <w:bottom w:val="none" w:sz="0" w:space="0" w:color="auto"/>
        <w:right w:val="none" w:sz="0" w:space="0" w:color="auto"/>
      </w:divBdr>
    </w:div>
    <w:div w:id="1885554769">
      <w:bodyDiv w:val="1"/>
      <w:marLeft w:val="0"/>
      <w:marRight w:val="0"/>
      <w:marTop w:val="0"/>
      <w:marBottom w:val="0"/>
      <w:divBdr>
        <w:top w:val="none" w:sz="0" w:space="0" w:color="auto"/>
        <w:left w:val="none" w:sz="0" w:space="0" w:color="auto"/>
        <w:bottom w:val="none" w:sz="0" w:space="0" w:color="auto"/>
        <w:right w:val="none" w:sz="0" w:space="0" w:color="auto"/>
      </w:divBdr>
    </w:div>
    <w:div w:id="1899590086">
      <w:bodyDiv w:val="1"/>
      <w:marLeft w:val="0"/>
      <w:marRight w:val="0"/>
      <w:marTop w:val="0"/>
      <w:marBottom w:val="0"/>
      <w:divBdr>
        <w:top w:val="none" w:sz="0" w:space="0" w:color="auto"/>
        <w:left w:val="none" w:sz="0" w:space="0" w:color="auto"/>
        <w:bottom w:val="none" w:sz="0" w:space="0" w:color="auto"/>
        <w:right w:val="none" w:sz="0" w:space="0" w:color="auto"/>
      </w:divBdr>
    </w:div>
    <w:div w:id="1947153880">
      <w:bodyDiv w:val="1"/>
      <w:marLeft w:val="0"/>
      <w:marRight w:val="0"/>
      <w:marTop w:val="0"/>
      <w:marBottom w:val="0"/>
      <w:divBdr>
        <w:top w:val="none" w:sz="0" w:space="0" w:color="auto"/>
        <w:left w:val="none" w:sz="0" w:space="0" w:color="auto"/>
        <w:bottom w:val="none" w:sz="0" w:space="0" w:color="auto"/>
        <w:right w:val="none" w:sz="0" w:space="0" w:color="auto"/>
      </w:divBdr>
    </w:div>
    <w:div w:id="1947809471">
      <w:bodyDiv w:val="1"/>
      <w:marLeft w:val="0"/>
      <w:marRight w:val="0"/>
      <w:marTop w:val="0"/>
      <w:marBottom w:val="0"/>
      <w:divBdr>
        <w:top w:val="none" w:sz="0" w:space="0" w:color="auto"/>
        <w:left w:val="none" w:sz="0" w:space="0" w:color="auto"/>
        <w:bottom w:val="none" w:sz="0" w:space="0" w:color="auto"/>
        <w:right w:val="none" w:sz="0" w:space="0" w:color="auto"/>
      </w:divBdr>
    </w:div>
    <w:div w:id="1951356363">
      <w:bodyDiv w:val="1"/>
      <w:marLeft w:val="0"/>
      <w:marRight w:val="0"/>
      <w:marTop w:val="0"/>
      <w:marBottom w:val="0"/>
      <w:divBdr>
        <w:top w:val="none" w:sz="0" w:space="0" w:color="auto"/>
        <w:left w:val="none" w:sz="0" w:space="0" w:color="auto"/>
        <w:bottom w:val="none" w:sz="0" w:space="0" w:color="auto"/>
        <w:right w:val="none" w:sz="0" w:space="0" w:color="auto"/>
      </w:divBdr>
    </w:div>
    <w:div w:id="1955138650">
      <w:bodyDiv w:val="1"/>
      <w:marLeft w:val="0"/>
      <w:marRight w:val="0"/>
      <w:marTop w:val="0"/>
      <w:marBottom w:val="0"/>
      <w:divBdr>
        <w:top w:val="none" w:sz="0" w:space="0" w:color="auto"/>
        <w:left w:val="none" w:sz="0" w:space="0" w:color="auto"/>
        <w:bottom w:val="none" w:sz="0" w:space="0" w:color="auto"/>
        <w:right w:val="none" w:sz="0" w:space="0" w:color="auto"/>
      </w:divBdr>
    </w:div>
    <w:div w:id="1961523094">
      <w:bodyDiv w:val="1"/>
      <w:marLeft w:val="0"/>
      <w:marRight w:val="0"/>
      <w:marTop w:val="0"/>
      <w:marBottom w:val="0"/>
      <w:divBdr>
        <w:top w:val="none" w:sz="0" w:space="0" w:color="auto"/>
        <w:left w:val="none" w:sz="0" w:space="0" w:color="auto"/>
        <w:bottom w:val="none" w:sz="0" w:space="0" w:color="auto"/>
        <w:right w:val="none" w:sz="0" w:space="0" w:color="auto"/>
      </w:divBdr>
    </w:div>
    <w:div w:id="1985891839">
      <w:bodyDiv w:val="1"/>
      <w:marLeft w:val="0"/>
      <w:marRight w:val="0"/>
      <w:marTop w:val="0"/>
      <w:marBottom w:val="0"/>
      <w:divBdr>
        <w:top w:val="none" w:sz="0" w:space="0" w:color="auto"/>
        <w:left w:val="none" w:sz="0" w:space="0" w:color="auto"/>
        <w:bottom w:val="none" w:sz="0" w:space="0" w:color="auto"/>
        <w:right w:val="none" w:sz="0" w:space="0" w:color="auto"/>
      </w:divBdr>
    </w:div>
    <w:div w:id="1986660402">
      <w:bodyDiv w:val="1"/>
      <w:marLeft w:val="0"/>
      <w:marRight w:val="0"/>
      <w:marTop w:val="0"/>
      <w:marBottom w:val="0"/>
      <w:divBdr>
        <w:top w:val="none" w:sz="0" w:space="0" w:color="auto"/>
        <w:left w:val="none" w:sz="0" w:space="0" w:color="auto"/>
        <w:bottom w:val="none" w:sz="0" w:space="0" w:color="auto"/>
        <w:right w:val="none" w:sz="0" w:space="0" w:color="auto"/>
      </w:divBdr>
    </w:div>
    <w:div w:id="1995329275">
      <w:bodyDiv w:val="1"/>
      <w:marLeft w:val="0"/>
      <w:marRight w:val="0"/>
      <w:marTop w:val="0"/>
      <w:marBottom w:val="0"/>
      <w:divBdr>
        <w:top w:val="none" w:sz="0" w:space="0" w:color="auto"/>
        <w:left w:val="none" w:sz="0" w:space="0" w:color="auto"/>
        <w:bottom w:val="none" w:sz="0" w:space="0" w:color="auto"/>
        <w:right w:val="none" w:sz="0" w:space="0" w:color="auto"/>
      </w:divBdr>
    </w:div>
    <w:div w:id="2002276199">
      <w:bodyDiv w:val="1"/>
      <w:marLeft w:val="0"/>
      <w:marRight w:val="0"/>
      <w:marTop w:val="0"/>
      <w:marBottom w:val="0"/>
      <w:divBdr>
        <w:top w:val="none" w:sz="0" w:space="0" w:color="auto"/>
        <w:left w:val="none" w:sz="0" w:space="0" w:color="auto"/>
        <w:bottom w:val="none" w:sz="0" w:space="0" w:color="auto"/>
        <w:right w:val="none" w:sz="0" w:space="0" w:color="auto"/>
      </w:divBdr>
    </w:div>
    <w:div w:id="2013871143">
      <w:bodyDiv w:val="1"/>
      <w:marLeft w:val="0"/>
      <w:marRight w:val="0"/>
      <w:marTop w:val="0"/>
      <w:marBottom w:val="0"/>
      <w:divBdr>
        <w:top w:val="none" w:sz="0" w:space="0" w:color="auto"/>
        <w:left w:val="none" w:sz="0" w:space="0" w:color="auto"/>
        <w:bottom w:val="none" w:sz="0" w:space="0" w:color="auto"/>
        <w:right w:val="none" w:sz="0" w:space="0" w:color="auto"/>
      </w:divBdr>
    </w:div>
    <w:div w:id="2021469858">
      <w:bodyDiv w:val="1"/>
      <w:marLeft w:val="0"/>
      <w:marRight w:val="0"/>
      <w:marTop w:val="0"/>
      <w:marBottom w:val="0"/>
      <w:divBdr>
        <w:top w:val="none" w:sz="0" w:space="0" w:color="auto"/>
        <w:left w:val="none" w:sz="0" w:space="0" w:color="auto"/>
        <w:bottom w:val="none" w:sz="0" w:space="0" w:color="auto"/>
        <w:right w:val="none" w:sz="0" w:space="0" w:color="auto"/>
      </w:divBdr>
    </w:div>
    <w:div w:id="2023823137">
      <w:bodyDiv w:val="1"/>
      <w:marLeft w:val="0"/>
      <w:marRight w:val="0"/>
      <w:marTop w:val="0"/>
      <w:marBottom w:val="0"/>
      <w:divBdr>
        <w:top w:val="none" w:sz="0" w:space="0" w:color="auto"/>
        <w:left w:val="none" w:sz="0" w:space="0" w:color="auto"/>
        <w:bottom w:val="none" w:sz="0" w:space="0" w:color="auto"/>
        <w:right w:val="none" w:sz="0" w:space="0" w:color="auto"/>
      </w:divBdr>
    </w:div>
    <w:div w:id="2034073021">
      <w:bodyDiv w:val="1"/>
      <w:marLeft w:val="0"/>
      <w:marRight w:val="0"/>
      <w:marTop w:val="0"/>
      <w:marBottom w:val="0"/>
      <w:divBdr>
        <w:top w:val="none" w:sz="0" w:space="0" w:color="auto"/>
        <w:left w:val="none" w:sz="0" w:space="0" w:color="auto"/>
        <w:bottom w:val="none" w:sz="0" w:space="0" w:color="auto"/>
        <w:right w:val="none" w:sz="0" w:space="0" w:color="auto"/>
      </w:divBdr>
    </w:div>
    <w:div w:id="2048023864">
      <w:bodyDiv w:val="1"/>
      <w:marLeft w:val="0"/>
      <w:marRight w:val="0"/>
      <w:marTop w:val="0"/>
      <w:marBottom w:val="0"/>
      <w:divBdr>
        <w:top w:val="none" w:sz="0" w:space="0" w:color="auto"/>
        <w:left w:val="none" w:sz="0" w:space="0" w:color="auto"/>
        <w:bottom w:val="none" w:sz="0" w:space="0" w:color="auto"/>
        <w:right w:val="none" w:sz="0" w:space="0" w:color="auto"/>
      </w:divBdr>
    </w:div>
    <w:div w:id="2059278678">
      <w:bodyDiv w:val="1"/>
      <w:marLeft w:val="0"/>
      <w:marRight w:val="0"/>
      <w:marTop w:val="0"/>
      <w:marBottom w:val="0"/>
      <w:divBdr>
        <w:top w:val="none" w:sz="0" w:space="0" w:color="auto"/>
        <w:left w:val="none" w:sz="0" w:space="0" w:color="auto"/>
        <w:bottom w:val="none" w:sz="0" w:space="0" w:color="auto"/>
        <w:right w:val="none" w:sz="0" w:space="0" w:color="auto"/>
      </w:divBdr>
    </w:div>
    <w:div w:id="2064016410">
      <w:bodyDiv w:val="1"/>
      <w:marLeft w:val="0"/>
      <w:marRight w:val="0"/>
      <w:marTop w:val="0"/>
      <w:marBottom w:val="0"/>
      <w:divBdr>
        <w:top w:val="none" w:sz="0" w:space="0" w:color="auto"/>
        <w:left w:val="none" w:sz="0" w:space="0" w:color="auto"/>
        <w:bottom w:val="none" w:sz="0" w:space="0" w:color="auto"/>
        <w:right w:val="none" w:sz="0" w:space="0" w:color="auto"/>
      </w:divBdr>
    </w:div>
    <w:div w:id="2077583464">
      <w:bodyDiv w:val="1"/>
      <w:marLeft w:val="0"/>
      <w:marRight w:val="0"/>
      <w:marTop w:val="0"/>
      <w:marBottom w:val="0"/>
      <w:divBdr>
        <w:top w:val="none" w:sz="0" w:space="0" w:color="auto"/>
        <w:left w:val="none" w:sz="0" w:space="0" w:color="auto"/>
        <w:bottom w:val="none" w:sz="0" w:space="0" w:color="auto"/>
        <w:right w:val="none" w:sz="0" w:space="0" w:color="auto"/>
      </w:divBdr>
    </w:div>
    <w:div w:id="2079279427">
      <w:bodyDiv w:val="1"/>
      <w:marLeft w:val="0"/>
      <w:marRight w:val="0"/>
      <w:marTop w:val="0"/>
      <w:marBottom w:val="0"/>
      <w:divBdr>
        <w:top w:val="none" w:sz="0" w:space="0" w:color="auto"/>
        <w:left w:val="none" w:sz="0" w:space="0" w:color="auto"/>
        <w:bottom w:val="none" w:sz="0" w:space="0" w:color="auto"/>
        <w:right w:val="none" w:sz="0" w:space="0" w:color="auto"/>
      </w:divBdr>
    </w:div>
    <w:div w:id="2081711835">
      <w:bodyDiv w:val="1"/>
      <w:marLeft w:val="0"/>
      <w:marRight w:val="0"/>
      <w:marTop w:val="0"/>
      <w:marBottom w:val="0"/>
      <w:divBdr>
        <w:top w:val="none" w:sz="0" w:space="0" w:color="auto"/>
        <w:left w:val="none" w:sz="0" w:space="0" w:color="auto"/>
        <w:bottom w:val="none" w:sz="0" w:space="0" w:color="auto"/>
        <w:right w:val="none" w:sz="0" w:space="0" w:color="auto"/>
      </w:divBdr>
    </w:div>
    <w:div w:id="2099210924">
      <w:bodyDiv w:val="1"/>
      <w:marLeft w:val="0"/>
      <w:marRight w:val="0"/>
      <w:marTop w:val="0"/>
      <w:marBottom w:val="0"/>
      <w:divBdr>
        <w:top w:val="none" w:sz="0" w:space="0" w:color="auto"/>
        <w:left w:val="none" w:sz="0" w:space="0" w:color="auto"/>
        <w:bottom w:val="none" w:sz="0" w:space="0" w:color="auto"/>
        <w:right w:val="none" w:sz="0" w:space="0" w:color="auto"/>
      </w:divBdr>
    </w:div>
    <w:div w:id="2099716138">
      <w:bodyDiv w:val="1"/>
      <w:marLeft w:val="0"/>
      <w:marRight w:val="0"/>
      <w:marTop w:val="0"/>
      <w:marBottom w:val="0"/>
      <w:divBdr>
        <w:top w:val="none" w:sz="0" w:space="0" w:color="auto"/>
        <w:left w:val="none" w:sz="0" w:space="0" w:color="auto"/>
        <w:bottom w:val="none" w:sz="0" w:space="0" w:color="auto"/>
        <w:right w:val="none" w:sz="0" w:space="0" w:color="auto"/>
      </w:divBdr>
    </w:div>
    <w:div w:id="2102989691">
      <w:bodyDiv w:val="1"/>
      <w:marLeft w:val="0"/>
      <w:marRight w:val="0"/>
      <w:marTop w:val="0"/>
      <w:marBottom w:val="0"/>
      <w:divBdr>
        <w:top w:val="none" w:sz="0" w:space="0" w:color="auto"/>
        <w:left w:val="none" w:sz="0" w:space="0" w:color="auto"/>
        <w:bottom w:val="none" w:sz="0" w:space="0" w:color="auto"/>
        <w:right w:val="none" w:sz="0" w:space="0" w:color="auto"/>
      </w:divBdr>
    </w:div>
    <w:div w:id="2108841871">
      <w:bodyDiv w:val="1"/>
      <w:marLeft w:val="0"/>
      <w:marRight w:val="0"/>
      <w:marTop w:val="0"/>
      <w:marBottom w:val="0"/>
      <w:divBdr>
        <w:top w:val="none" w:sz="0" w:space="0" w:color="auto"/>
        <w:left w:val="none" w:sz="0" w:space="0" w:color="auto"/>
        <w:bottom w:val="none" w:sz="0" w:space="0" w:color="auto"/>
        <w:right w:val="none" w:sz="0" w:space="0" w:color="auto"/>
      </w:divBdr>
    </w:div>
    <w:div w:id="2110195806">
      <w:bodyDiv w:val="1"/>
      <w:marLeft w:val="0"/>
      <w:marRight w:val="0"/>
      <w:marTop w:val="0"/>
      <w:marBottom w:val="0"/>
      <w:divBdr>
        <w:top w:val="none" w:sz="0" w:space="0" w:color="auto"/>
        <w:left w:val="none" w:sz="0" w:space="0" w:color="auto"/>
        <w:bottom w:val="none" w:sz="0" w:space="0" w:color="auto"/>
        <w:right w:val="none" w:sz="0" w:space="0" w:color="auto"/>
      </w:divBdr>
    </w:div>
    <w:div w:id="2114008472">
      <w:bodyDiv w:val="1"/>
      <w:marLeft w:val="0"/>
      <w:marRight w:val="0"/>
      <w:marTop w:val="0"/>
      <w:marBottom w:val="0"/>
      <w:divBdr>
        <w:top w:val="none" w:sz="0" w:space="0" w:color="auto"/>
        <w:left w:val="none" w:sz="0" w:space="0" w:color="auto"/>
        <w:bottom w:val="none" w:sz="0" w:space="0" w:color="auto"/>
        <w:right w:val="none" w:sz="0" w:space="0" w:color="auto"/>
      </w:divBdr>
    </w:div>
    <w:div w:id="2116050107">
      <w:bodyDiv w:val="1"/>
      <w:marLeft w:val="0"/>
      <w:marRight w:val="0"/>
      <w:marTop w:val="0"/>
      <w:marBottom w:val="0"/>
      <w:divBdr>
        <w:top w:val="none" w:sz="0" w:space="0" w:color="auto"/>
        <w:left w:val="none" w:sz="0" w:space="0" w:color="auto"/>
        <w:bottom w:val="none" w:sz="0" w:space="0" w:color="auto"/>
        <w:right w:val="none" w:sz="0" w:space="0" w:color="auto"/>
      </w:divBdr>
    </w:div>
    <w:div w:id="2126390388">
      <w:bodyDiv w:val="1"/>
      <w:marLeft w:val="0"/>
      <w:marRight w:val="0"/>
      <w:marTop w:val="0"/>
      <w:marBottom w:val="0"/>
      <w:divBdr>
        <w:top w:val="none" w:sz="0" w:space="0" w:color="auto"/>
        <w:left w:val="none" w:sz="0" w:space="0" w:color="auto"/>
        <w:bottom w:val="none" w:sz="0" w:space="0" w:color="auto"/>
        <w:right w:val="none" w:sz="0" w:space="0" w:color="auto"/>
      </w:divBdr>
    </w:div>
    <w:div w:id="21417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eur-lex.europa.eu/legal-content/EN/TXT/?uri=uriserv:OJ.L_.2019.204.01.0075.01.ENG&amp;toc=OJ:L:2019:204:TOC" TargetMode="External"/><Relationship Id="rId21" Type="http://schemas.openxmlformats.org/officeDocument/2006/relationships/footer" Target="footer6.xml"/><Relationship Id="rId34" Type="http://schemas.openxmlformats.org/officeDocument/2006/relationships/hyperlink" Target="https://eur-lex.europa.eu/legal-content/EN/TXT/?uri=uriserv:OJ.L_.2019.204.01.0065.01.ENG&amp;toc=OJ:L:2019:204:TOC" TargetMode="External"/><Relationship Id="rId42" Type="http://schemas.openxmlformats.org/officeDocument/2006/relationships/hyperlink" Target="https://eur-lex.europa.eu/legal-content/EN/TXT/?uri=uriserv:OJ.L_.2019.316.01.0068.01.ENG&amp;toc=OJ:L:2019:316:TOC" TargetMode="External"/><Relationship Id="rId47" Type="http://schemas.openxmlformats.org/officeDocument/2006/relationships/hyperlink" Target="https://eur-lex.europa.eu/legal-content/EN/TXT/?uri=uriserv:OJ.L_.2019.316.01.0094.01.ENG&amp;toc=OJ:L:2019:316:TOC" TargetMode="External"/><Relationship Id="rId50" Type="http://schemas.openxmlformats.org/officeDocument/2006/relationships/footer" Target="footer10.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yperlink" Target="https://eur-lex.europa.eu/legal-content/EN/TXT/?uri=uriserv:OJ.L_.2019.204.01.0054.01.ENG&amp;toc=OJ:L:2019:204:TOC" TargetMode="External"/><Relationship Id="rId38" Type="http://schemas.openxmlformats.org/officeDocument/2006/relationships/hyperlink" Target="https://eur-lex.europa.eu/legal-content/EN/TXT/?uri=uriserv:OJ.L_.2019.204.01.0090.01.ENG&amp;toc=OJ:L:2019:204:TOC" TargetMode="External"/><Relationship Id="rId46" Type="http://schemas.openxmlformats.org/officeDocument/2006/relationships/hyperlink" Target="https://eur-lex.europa.eu/legal-content/EN/TXT/?uri=uriserv:OJ.L_.2019.316.01.0080.01.ENG&amp;toc=OJ:L:2019:316:TOC"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eur-lex.europa.eu/legal-content/EN/TXT/?uri=uriserv:OJ.C_.2019.096.01.0035.01.ENG&amp;toc=OJ:C:2019:096:TOC" TargetMode="External"/><Relationship Id="rId41" Type="http://schemas.openxmlformats.org/officeDocument/2006/relationships/hyperlink" Target="https://eur-lex.europa.eu/legal-content/EN/TXT/?uri=uriserv:OJ.L_.2019.316.01.0062.01.ENG&amp;toc=OJ:L:2019:316:T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s://eur-lex.europa.eu/legal-content/EN/TXT/?uri=uriserv:OJ.L_.2019.204.01.0081.01.ENG&amp;toc=OJ:L:2019:204:TOC" TargetMode="External"/><Relationship Id="rId37" Type="http://schemas.openxmlformats.org/officeDocument/2006/relationships/hyperlink" Target="https://eur-lex.europa.eu/legal-content/EN/TXT/?uri=uriserv:OJ.L_.2019.160.01.0011.01.ENG&amp;toc=OJ:L:2019:160:TOC" TargetMode="External"/><Relationship Id="rId40" Type="http://schemas.openxmlformats.org/officeDocument/2006/relationships/hyperlink" Target="https://eur-lex.europa.eu/legal-content/EN/TXT/?uri=uriserv:OJ.L_.2019.316.01.0051.01.ENG&amp;toc=OJ:L:2019:316:TOC" TargetMode="External"/><Relationship Id="rId45" Type="http://schemas.openxmlformats.org/officeDocument/2006/relationships/hyperlink" Target="https://eur-lex.europa.eu/legal-content/EN/TXT/?uri=uriserv:OJ.L_.2019.316.01.0087.01.ENG&amp;toc=OJ:L:2019:316:TOC" TargetMode="External"/><Relationship Id="rId53"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eur-lex.europa.eu/legal-content/EN/TXT/?uri=uriserv:OJ.L_.2019.204.01.0069.01.ENG&amp;toc=OJ:L:2019:204:TOC" TargetMode="External"/><Relationship Id="rId49"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eur-lex.europa.eu/legal-content/EN/TXT/?uri=uriserv:OJ.L_.2019.204.01.0060.01.ENG&amp;toc=OJ:L:2019:204:TOC" TargetMode="External"/><Relationship Id="rId44" Type="http://schemas.openxmlformats.org/officeDocument/2006/relationships/hyperlink" Target="https://eur-lex.europa.eu/legal-content/EN/TXT/?uri=uriserv:OJ.L_.2019.316.01.0057.01.ENG&amp;toc=OJ:L:2019:316:TOC" TargetMode="External"/><Relationship Id="rId52"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transparency/regcomitology/index_en.htm" TargetMode="External"/><Relationship Id="rId27" Type="http://schemas.openxmlformats.org/officeDocument/2006/relationships/header" Target="header9.xml"/><Relationship Id="rId30" Type="http://schemas.openxmlformats.org/officeDocument/2006/relationships/hyperlink" Target="https://eur-lex.europa.eu/legal-content/EN/TXT/?uri=uriserv:OJ.L_.2019.204.01.0050.01.ENG&amp;toc=OJ:L:2019:204:TOC" TargetMode="External"/><Relationship Id="rId35" Type="http://schemas.openxmlformats.org/officeDocument/2006/relationships/hyperlink" Target="https://eur-lex.europa.eu/legal-content/EN/TXT/?uri=uriserv:OJ.L_.2019.204.01.0085.01.ENG&amp;toc=OJ:L:2019:204:TOC" TargetMode="External"/><Relationship Id="rId43" Type="http://schemas.openxmlformats.org/officeDocument/2006/relationships/hyperlink" Target="https://eur-lex.europa.eu/legal-content/EN/TXT/?uri=uriserv:OJ.L_.2019.316.01.0074.01.ENG&amp;toc=OJ:L:2019:316:TOC" TargetMode="External"/><Relationship Id="rId48"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footer" Target="footer1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4C4D-B775-4B70-86A1-B6337CCC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20257</Words>
  <Characters>107771</Characters>
  <Application>Microsoft Office Word</Application>
  <DocSecurity>0</DocSecurity>
  <Lines>8980</Lines>
  <Paragraphs>7531</Paragraphs>
  <ScaleCrop>false</ScaleCrop>
  <HeadingPairs>
    <vt:vector size="2" baseType="variant">
      <vt:variant>
        <vt:lpstr>Title</vt:lpstr>
      </vt:variant>
      <vt:variant>
        <vt:i4>1</vt:i4>
      </vt:variant>
    </vt:vector>
  </HeadingPairs>
  <TitlesOfParts>
    <vt:vector size="1" baseType="lpstr">
      <vt:lpstr>TABLE OF CONTENTS</vt:lpstr>
    </vt:vector>
  </TitlesOfParts>
  <Manager/>
  <Company/>
  <LinksUpToDate>false</LinksUpToDate>
  <CharactersWithSpaces>120497</CharactersWithSpaces>
  <SharedDoc>false</SharedDoc>
  <HLinks>
    <vt:vector size="6" baseType="variant">
      <vt:variant>
        <vt:i4>7864337</vt:i4>
      </vt:variant>
      <vt:variant>
        <vt:i4>0</vt:i4>
      </vt:variant>
      <vt:variant>
        <vt:i4>0</vt:i4>
      </vt:variant>
      <vt:variant>
        <vt:i4>5</vt:i4>
      </vt:variant>
      <vt:variant>
        <vt:lpwstr>http://ec.europa.eu/transparency/regcomitology/index_en.htm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
  <cp:lastModifiedBy>WES PDFC Administrator</cp:lastModifiedBy>
  <cp:revision>18</cp:revision>
  <cp:lastPrinted>2019-08-06T14:55:00Z</cp:lastPrinted>
  <dcterms:created xsi:type="dcterms:W3CDTF">2021-02-09T16:41:00Z</dcterms:created>
  <dcterms:modified xsi:type="dcterms:W3CDTF">2021-02-17T08:10:00Z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CP-025</vt:lpwstr>
  </property>
</Properties>
</file>