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3F9518D-95BB-43C6-A7D2-5ACD2B10151C" style="width:450.6pt;height:348.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120"/>
        <w:jc w:val="center"/>
        <w:rPr>
          <w:b/>
          <w:noProof/>
        </w:rPr>
      </w:pPr>
      <w:bookmarkStart w:id="1" w:name="_GoBack"/>
      <w:bookmarkEnd w:id="1"/>
      <w:r>
        <w:rPr>
          <w:b/>
          <w:noProof/>
        </w:rPr>
        <w:lastRenderedPageBreak/>
        <w:t xml:space="preserve">Преглед на търговската политика — </w:t>
      </w:r>
    </w:p>
    <w:p>
      <w:pPr>
        <w:spacing w:after="120"/>
        <w:jc w:val="center"/>
        <w:rPr>
          <w:b/>
          <w:noProof/>
          <w:u w:val="single"/>
        </w:rPr>
      </w:pPr>
      <w:r>
        <w:rPr>
          <w:b/>
          <w:noProof/>
        </w:rPr>
        <w:t>отворена, устойчива и решителна търговска политика</w:t>
      </w:r>
    </w:p>
    <w:p>
      <w:pPr>
        <w:spacing w:after="120"/>
        <w:jc w:val="center"/>
        <w:rPr>
          <w:b/>
          <w:noProof/>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b/>
          <w:smallCaps/>
          <w:noProof/>
          <w:sz w:val="24"/>
          <w:szCs w:val="24"/>
          <w:u w:val="single"/>
        </w:rPr>
        <w:t>Европейската търговска политика във времена на икономическа трансформация и геополитическа нестабилност:</w:t>
      </w:r>
      <w:r>
        <w:rPr>
          <w:rFonts w:ascii="Times New Roman" w:hAnsi="Times New Roman"/>
          <w:noProof/>
          <w:sz w:val="24"/>
          <w:szCs w:val="24"/>
        </w:rPr>
        <w:t xml:space="preserve"> </w:t>
      </w:r>
      <w:r>
        <w:rPr>
          <w:rFonts w:ascii="Times New Roman" w:hAnsi="Times New Roman"/>
          <w:b/>
          <w:smallCaps/>
          <w:noProof/>
          <w:sz w:val="24"/>
          <w:szCs w:val="24"/>
          <w:u w:val="single"/>
        </w:rPr>
        <w:t>подготовка за световната обстановка през 2030 година</w:t>
      </w:r>
    </w:p>
    <w:p>
      <w:pPr>
        <w:spacing w:after="120"/>
        <w:jc w:val="both"/>
        <w:rPr>
          <w:noProof/>
        </w:rPr>
      </w:pPr>
      <w:r>
        <w:rPr>
          <w:noProof/>
        </w:rPr>
        <w:t>Търговията е един от най-мощните инструменти на ЕС. Тя стои в центъра на икономическия просперитет и конкурентоспособността на Европа, като поддържа оживен вътрешен пазар и решителна външна дейност. В резултат на отвореността на нашия търговски режим ЕС е най-големият в света търговец на селскостопански и промишлени стоки и услуги и се нарежда на първо място по отношение както на входящите, така и на изходящите международни инвестиции. Благодарение на общата търговска политика ЕС изразява единни позиции на световната сцена. Това е единствен по рода си лост за въздействие.</w:t>
      </w:r>
    </w:p>
    <w:p>
      <w:pPr>
        <w:spacing w:after="120"/>
        <w:jc w:val="both"/>
        <w:rPr>
          <w:noProof/>
        </w:rPr>
      </w:pPr>
      <w:r>
        <w:rPr>
          <w:noProof/>
        </w:rPr>
        <w:t>С оглед на новите външни и вътрешни предизвикателства, и по-специално на новия модел за по-устойчив растеж, определен в Европейския зелен пакт и европейската стратегия в областта на цифрови технологии, ЕС се нуждае от нова стратегия за търговската политика — такава, която ще подкрепя постигането на целите на вътрешната и външната политика на ЕС и ще способства за увеличаване на устойчивостта в съответствие с ангажиментите му за цялостно изпълнение на целите на ООН за устойчиво развитие. Търговската политика трябва да играе в пълнота своята роля за възстановяването след пандемията от COVID-19, за екологичната и цифровата трансформация на икономиката, както и за изграждането на по-гъвкава Европа на световната сцена.</w:t>
      </w:r>
    </w:p>
    <w:p>
      <w:pPr>
        <w:spacing w:after="120"/>
        <w:jc w:val="both"/>
        <w:rPr>
          <w:noProof/>
        </w:rPr>
      </w:pPr>
      <w:r>
        <w:rPr>
          <w:b/>
          <w:noProof/>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-84455</wp:posOffset>
                </wp:positionH>
                <wp:positionV relativeFrom="paragraph">
                  <wp:posOffset>365760</wp:posOffset>
                </wp:positionV>
                <wp:extent cx="2322830" cy="2842260"/>
                <wp:effectExtent l="0" t="0" r="2032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2842260"/>
                        </a:xfrm>
                        <a:prstGeom prst="rect">
                          <a:avLst/>
                        </a:prstGeom>
                        <a:solidFill>
                          <a:srgbClr val="FFFFFF"/>
                        </a:solidFill>
                        <a:ln w="9525">
                          <a:solidFill>
                            <a:srgbClr val="000000"/>
                          </a:solidFill>
                          <a:miter lim="800000"/>
                          <a:headEnd/>
                          <a:tailEnd/>
                        </a:ln>
                      </wps:spPr>
                      <wps:txbx>
                        <w:txbxContent>
                          <w:p>
                            <w:pPr>
                              <w:jc w:val="both"/>
                            </w:pPr>
                            <w:r>
                              <w:t>Ограниченията, наложени през периода 2017—2019 г., вече засегнаха търговски потоци с по-висока стойност, отколкото през периода 2009—2016 г., а според МВФ напрежението в търговските отношения все още представлява сериозен риск за световната икономика, и то в момент на особена слабост.</w:t>
                            </w:r>
                          </w:p>
                          <w:p>
                            <w:pPr>
                              <w:rPr>
                                <w:lang w:val="en-IE"/>
                              </w:rPr>
                            </w:pPr>
                          </w:p>
                          <w:p>
                            <w:pPr>
                              <w:rPr>
                                <w:i/>
                                <w:sz w:val="16"/>
                                <w:szCs w:val="16"/>
                              </w:rPr>
                            </w:pPr>
                            <w:r>
                              <w:rPr>
                                <w:i/>
                                <w:sz w:val="16"/>
                                <w:szCs w:val="16"/>
                              </w:rPr>
                              <w:t>Отдел „Стратегия, политика и преглед“ на МВФ, 2020 г., Developments in Global Trade Policy: Broadening Conflict May Hinder Recovery (Тенденции в световната търговска политика: разширяването на конфликта може да създаде пречки пред възстановяването), 1 октомври 2020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28.8pt;width:182.9pt;height:22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">
                <v:textbox>
                  <w:txbxContent>
                    <w:p>
                      <w:pPr>
                        <w:jc w:val="both"/>
                      </w:pPr>
                      <w:r>
                        <w:t>Ограниченията, наложени през периода 2017—2019 г., вече засегнаха търговски потоци с по-висока стойност, отколкото през периода 2009—2016 г., а според МВФ напрежението в търговските отношения все още представлява сериозен риск за световната икономика, и то в момент на особена слабост.</w:t>
                      </w:r>
                    </w:p>
                    <w:p>
                      <w:pPr>
                        <w:rPr>
                          <w:lang w:val="en-IE"/>
                        </w:rPr>
                      </w:pPr>
                    </w:p>
                    <w:p>
                      <w:pPr>
                        <w:rPr>
                          <w:i/>
                          <w:sz w:val="16"/>
                          <w:szCs w:val="16"/>
                        </w:rPr>
                      </w:pPr>
                      <w:r>
                        <w:rPr>
                          <w:i/>
                          <w:sz w:val="16"/>
                          <w:szCs w:val="16"/>
                        </w:rPr>
                        <w:t>Отдел „Стратегия, политика и преглед“ на МВФ, 2020 г., Developments in Global Trade Policy: Broadening Conflict May Hinder Recovery (Тенденции в световната търговска политика: разширяването на конфликта може да създаде пречки пред възстановяването), 1 октомври 2020 г.</w:t>
                      </w:r>
                    </w:p>
                  </w:txbxContent>
                </v:textbox>
                <w10:wrap type="square"/>
              </v:shape>
            </w:pict>
          </mc:Fallback>
        </mc:AlternateContent>
      </w:r>
      <w:r>
        <w:rPr>
          <w:noProof/>
        </w:rPr>
        <w:t>Да се направи правилният избор на политики при разработването на търговска политика за световната обстановка през 2030 г. означава да се вземат предвид последните политически, икономически, технологични, екологични и социални промени и произтичащите от тях световни тенденции</w:t>
      </w:r>
      <w:r>
        <w:rPr>
          <w:rStyle w:val="FootnoteReference"/>
          <w:noProof/>
        </w:rPr>
        <w:footnoteReference w:id="2"/>
      </w:r>
      <w:r>
        <w:rPr>
          <w:noProof/>
        </w:rPr>
        <w:t xml:space="preserve">. </w:t>
      </w:r>
    </w:p>
    <w:p>
      <w:pPr>
        <w:spacing w:after="120"/>
        <w:jc w:val="both"/>
        <w:rPr>
          <w:noProof/>
        </w:rPr>
      </w:pPr>
      <w:r>
        <w:rPr>
          <w:b/>
          <w:noProof/>
        </w:rPr>
        <w:t>Несигурността в световен мащаб</w:t>
      </w:r>
      <w:r>
        <w:rPr>
          <w:noProof/>
        </w:rPr>
        <w:t xml:space="preserve"> се увеличава, подхранвана от политическо и геоикономическо напрежение. Вместо международно сътрудничество и многостранно управление, все повече се засилва </w:t>
      </w:r>
      <w:r>
        <w:rPr>
          <w:b/>
          <w:noProof/>
        </w:rPr>
        <w:t>едностранният подход</w:t>
      </w:r>
      <w:r>
        <w:rPr>
          <w:noProof/>
        </w:rPr>
        <w:t xml:space="preserve">, вследствие на което се отслабват или заобикалят многостранните институции. Тези тенденции се коренят в няколко промени. </w:t>
      </w:r>
    </w:p>
    <w:p>
      <w:pPr>
        <w:spacing w:after="120"/>
        <w:jc w:val="both"/>
        <w:rPr>
          <w:noProof/>
        </w:rPr>
      </w:pPr>
      <w:r>
        <w:rPr>
          <w:noProof/>
        </w:rPr>
        <w:t xml:space="preserve">На първо място, </w:t>
      </w:r>
      <w:r>
        <w:rPr>
          <w:b/>
          <w:noProof/>
        </w:rPr>
        <w:t>глобализацията, развитието на технологиите</w:t>
      </w:r>
      <w:r>
        <w:rPr>
          <w:noProof/>
        </w:rPr>
        <w:t xml:space="preserve"> и изграждането на глобални вериги за създаване на стойност оказаха двояко въздействие върху икономиките и обществата. От една страна, благодарение на тях е постигнато огромно увеличаване на ефективността, което е дало тласък на устойчив и воден от търговията икономически растеж в много части от света. Това е помогнало милиони хора да бъдат избавени от бедността. От друга страна, тези промени понякога са оказали силно дестабилизиращо въздействие, водещо до нарастване на неравенствата и изоставане на някои отделни лица и общности. Това, което се очакваше да бъдат временни разходи за </w:t>
      </w:r>
      <w:r>
        <w:rPr>
          <w:noProof/>
        </w:rPr>
        <w:lastRenderedPageBreak/>
        <w:t xml:space="preserve">приспособяване, в някои случаи се е превърнало в трайно влошаване на жизнения стандарт, загуби на възможности за заетост или заплати и други условия на труд. В много случаи се смята, че правителствата не са реагирали в достатъчна степен на </w:t>
      </w:r>
      <w:r>
        <w:rPr>
          <w:b/>
          <w:noProof/>
        </w:rPr>
        <w:t>приспособяването на икономиката</w:t>
      </w:r>
      <w:r>
        <w:rPr>
          <w:noProof/>
        </w:rPr>
        <w:t xml:space="preserve"> и не са смекчавали отрицателните му последици</w:t>
      </w:r>
      <w:r>
        <w:rPr>
          <w:rStyle w:val="FootnoteReference"/>
          <w:noProof/>
        </w:rPr>
        <w:footnoteReference w:id="3"/>
      </w:r>
      <w:r>
        <w:rPr>
          <w:noProof/>
        </w:rPr>
        <w:t xml:space="preserve">. Това доведе до призиви за деглобализация и засилване на ориентираните навътре и изолационистки реакции. </w:t>
      </w:r>
    </w:p>
    <w:p>
      <w:pPr>
        <w:spacing w:after="120"/>
        <w:jc w:val="both"/>
        <w:rPr>
          <w:noProof/>
        </w:rPr>
      </w:pPr>
      <w:r>
        <w:rPr>
          <w:noProof/>
        </w:rPr>
        <w:t xml:space="preserve">На второ място, бързият </w:t>
      </w:r>
      <w:r>
        <w:rPr>
          <w:b/>
          <w:noProof/>
        </w:rPr>
        <w:t>възход на Китай</w:t>
      </w:r>
      <w:r>
        <w:rPr>
          <w:noProof/>
        </w:rPr>
        <w:t>, който демонстрира глобални амбиции и прилага различен модел на държавен капитализъм, коренно промени глобалния икономически и политически ред. Това създава нарастващи предизвикателства пред установената система на глобално икономическо управление и засяга еднаквите условия на конкуренция за европейските предприятия, които се конкурират в световен мащаб и у дома</w:t>
      </w:r>
      <w:r>
        <w:rPr>
          <w:rStyle w:val="FootnoteReference"/>
          <w:noProof/>
        </w:rPr>
        <w:footnoteReference w:id="4"/>
      </w:r>
      <w:r>
        <w:rPr>
          <w:noProof/>
        </w:rPr>
        <w:t xml:space="preserve">. </w:t>
      </w:r>
    </w:p>
    <w:p>
      <w:pPr>
        <w:spacing w:after="120"/>
        <w:jc w:val="both"/>
        <w:rPr>
          <w:noProof/>
        </w:rPr>
      </w:pPr>
      <w:r>
        <w:rPr>
          <w:noProof/>
          <w:lang w:val="en-GB" w:eastAsia="en-GB"/>
        </w:rPr>
        <mc:AlternateContent>
          <mc:Choice Requires="wps">
            <w:drawing>
              <wp:anchor distT="0" distB="0" distL="114300" distR="114300" simplePos="0" relativeHeight="251658247" behindDoc="0" locked="0" layoutInCell="1" allowOverlap="1">
                <wp:simplePos x="0" y="0"/>
                <wp:positionH relativeFrom="column">
                  <wp:posOffset>-160655</wp:posOffset>
                </wp:positionH>
                <wp:positionV relativeFrom="paragraph">
                  <wp:posOffset>2540635</wp:posOffset>
                </wp:positionV>
                <wp:extent cx="323088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30880" cy="635"/>
                        </a:xfrm>
                        <a:prstGeom prst="rect">
                          <a:avLst/>
                        </a:prstGeom>
                        <a:solidFill>
                          <a:prstClr val="white"/>
                        </a:solidFill>
                        <a:ln>
                          <a:noFill/>
                        </a:ln>
                      </wps:spPr>
                      <wps:txbx>
                        <w:txbxContent>
                          <w:p>
                            <w:pPr>
                              <w:pStyle w:val="Caption"/>
                              <w:rPr>
                                <w:noProof/>
                                <w:sz w:val="24"/>
                                <w:szCs w:val="24"/>
                              </w:rPr>
                            </w:pPr>
                            <w:r>
                              <w:t>Източник: Световни икономически перспективи, МВФ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12.65pt;margin-top:200.05pt;width:254.4pt;height:.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" stroked="f">
                <v:textbox style="mso-fit-shape-to-text:t" inset="0,0,0,0">
                  <w:txbxContent>
                    <w:p>
                      <w:pPr>
                        <w:pStyle w:val="Caption"/>
                        <w:rPr>
                          <w:noProof/>
                          <w:sz w:val="24"/>
                          <w:szCs w:val="24"/>
                        </w:rPr>
                      </w:pPr>
                      <w:r>
                        <w:t>Източник: Световни икономически перспективи, МВФ</w:t>
                      </w:r>
                    </w:p>
                  </w:txbxContent>
                </v:textbox>
                <w10:wrap type="square"/>
              </v:shape>
            </w:pict>
          </mc:Fallback>
        </mc:AlternateContent>
      </w:r>
      <w:r>
        <w:rPr>
          <w:noProof/>
          <w:lang w:val="en-GB" w:eastAsia="en-GB"/>
        </w:rPr>
        <w:drawing>
          <wp:anchor distT="0" distB="0" distL="114300" distR="114300" simplePos="0" relativeHeight="251658249" behindDoc="0" locked="0" layoutInCell="1" allowOverlap="1">
            <wp:simplePos x="0" y="0"/>
            <wp:positionH relativeFrom="column">
              <wp:posOffset>-160655</wp:posOffset>
            </wp:positionH>
            <wp:positionV relativeFrom="paragraph">
              <wp:posOffset>60325</wp:posOffset>
            </wp:positionV>
            <wp:extent cx="3230880" cy="2423160"/>
            <wp:effectExtent l="0" t="0" r="7620" b="1524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t xml:space="preserve">На трето място, ускоряването на </w:t>
      </w:r>
      <w:r>
        <w:rPr>
          <w:b/>
          <w:noProof/>
        </w:rPr>
        <w:t>изменението на климата</w:t>
      </w:r>
      <w:r>
        <w:rPr>
          <w:noProof/>
        </w:rPr>
        <w:t xml:space="preserve">, заедно със загубата на биологично разнообразие и влошаването на състоянието на околната среда, подплатени с осезаеми примери за опустошителното им въздействие, доведоха до признаването на постигането на екологичен преход като определящата цел на нашето време. </w:t>
      </w:r>
    </w:p>
    <w:p>
      <w:pPr>
        <w:spacing w:after="120"/>
        <w:jc w:val="both"/>
        <w:rPr>
          <w:noProof/>
        </w:rPr>
      </w:pPr>
      <w:r>
        <w:rPr>
          <w:noProof/>
        </w:rPr>
        <w:t>Европейският зелен пакт е новата стратегия на ЕС за растеж, чрез която се улеснява приспособяването на нашата икономическа политика, за да отговаря по-успешно на предизвикателствата на ХХІ</w:t>
      </w:r>
      <w:r>
        <w:rPr>
          <w:noProof/>
          <w:vertAlign w:val="superscript"/>
        </w:rPr>
        <w:t>-ви</w:t>
      </w:r>
      <w:r>
        <w:rPr>
          <w:noProof/>
        </w:rPr>
        <w:t xml:space="preserve"> век. Неговата обща цел е преходът до 2050 г. към неутрална по отношение на климата, екологично устойчива и гъвкава икономика с ефективно използване на ресурсите, като стремежът е до 2030 г. емисиите на парникови газове да бъдат намалени с най-малко 55 %, както и защитата, опазването и увеличаването на природния капитал на ЕС. В този смисъл той ще бъде движещата сила на нашата конкурентоспособност и ще доведе до </w:t>
      </w:r>
      <w:r>
        <w:rPr>
          <w:b/>
          <w:noProof/>
        </w:rPr>
        <w:t>постепенна, но дълбока трансформация на нашите икономики</w:t>
      </w:r>
      <w:r>
        <w:rPr>
          <w:noProof/>
        </w:rPr>
        <w:t xml:space="preserve">, което на свой ред ще даде силно отражение върху моделите на търговия. </w:t>
      </w:r>
    </w:p>
    <w:p>
      <w:pPr>
        <w:spacing w:after="120"/>
        <w:jc w:val="both"/>
        <w:rPr>
          <w:noProof/>
        </w:rPr>
      </w:pPr>
      <w:r>
        <w:rPr>
          <w:noProof/>
        </w:rPr>
        <w:t xml:space="preserve">Екологичният преход трябва да върви ръка за ръка със социалната справедливост. Продължава да съществува </w:t>
      </w:r>
      <w:r>
        <w:rPr>
          <w:b/>
          <w:noProof/>
        </w:rPr>
        <w:t>сериозен дефицит по отношение на достойния труд</w:t>
      </w:r>
      <w:r>
        <w:rPr>
          <w:noProof/>
        </w:rPr>
        <w:t xml:space="preserve"> в глобалните вериги на доставки в много части на света</w:t>
      </w:r>
      <w:r>
        <w:rPr>
          <w:rStyle w:val="FootnoteReference"/>
          <w:noProof/>
        </w:rPr>
        <w:footnoteReference w:id="5"/>
      </w:r>
      <w:r>
        <w:rPr>
          <w:noProof/>
        </w:rPr>
        <w:t>, като се започне от тежки нарушения на правото на свободно сдружаване и се стигне до лоши условия на труд</w:t>
      </w:r>
      <w:r>
        <w:rPr>
          <w:rStyle w:val="FootnoteReference"/>
          <w:noProof/>
        </w:rPr>
        <w:footnoteReference w:id="6"/>
      </w:r>
      <w:r>
        <w:rPr>
          <w:noProof/>
        </w:rPr>
        <w:t xml:space="preserve">. Лишаването на работниците от техните основни права оказва натиск за влошаване на социалните условия в световен мащаб и подхранва разочарованието на хората от глобализацията и отворената търговия. </w:t>
      </w:r>
    </w:p>
    <w:p>
      <w:pPr>
        <w:spacing w:after="120"/>
        <w:jc w:val="both"/>
        <w:rPr>
          <w:noProof/>
        </w:rPr>
      </w:pPr>
      <w:r>
        <w:rPr>
          <w:noProof/>
        </w:rPr>
        <w:t xml:space="preserve">На четвърто място, </w:t>
      </w:r>
      <w:r>
        <w:rPr>
          <w:b/>
          <w:noProof/>
        </w:rPr>
        <w:t>цифровата трансформация</w:t>
      </w:r>
      <w:r>
        <w:rPr>
          <w:noProof/>
        </w:rPr>
        <w:t xml:space="preserve"> е друг ключов фактор за устойчивото развитие, но и пространство на конкуренция и неадекватно многостранно управление. В началото на цифровото десетилетие на Европа подкрепата за нейната цифрова трансформация е приоритет както за вътрешните, така и за външните политики, включително търговската политика и търговските инструменти. В същото време </w:t>
      </w:r>
      <w:r>
        <w:rPr>
          <w:b/>
          <w:bCs/>
          <w:noProof/>
        </w:rPr>
        <w:t>естеството на търговията ще продължи да търпи развитие</w:t>
      </w:r>
      <w:r>
        <w:rPr>
          <w:noProof/>
        </w:rPr>
        <w:t>. Тя ще бъде движена във все по-голяма степен от иновациите, ще бъде подкрепена от защита на правата върху интелектуална собственост (ПИС), като ролята на търговията с услуги в сравнение с търговията със стоки ще се увеличава</w:t>
      </w:r>
      <w:r>
        <w:rPr>
          <w:rStyle w:val="FootnoteReference"/>
          <w:noProof/>
        </w:rPr>
        <w:footnoteReference w:id="7"/>
      </w:r>
      <w:r>
        <w:rPr>
          <w:noProof/>
        </w:rPr>
        <w:t xml:space="preserve">. Освен че допринасят пряко за веригата за създаване на стойност (финансови услуги, далекосъобщителни услуги, ИТ, превози и логистика), услугите допринасят — често това е дори по-важно — и като се интегрират в производството на продуктите. Все по-голямото значение на услугите в икономиката и подемът при цифровите технологии създадоха добре платени и висококачествени работни места и дадоха тласък на икономическия растеж. </w:t>
      </w:r>
    </w:p>
    <w:p>
      <w:pPr>
        <w:spacing w:after="120"/>
        <w:jc w:val="both"/>
        <w:rPr>
          <w:noProof/>
        </w:rPr>
      </w:pPr>
      <w:r>
        <w:rPr>
          <w:b/>
          <w:noProof/>
        </w:rPr>
        <w:t>Пандемията от СOVID-19</w:t>
      </w:r>
      <w:r>
        <w:rPr>
          <w:noProof/>
        </w:rPr>
        <w:t xml:space="preserve"> ускори и фокусира вниманието върху тези промени, като едновременно с това създаде свои собствени предизвикателства. Чрез нея пролича взаимосвързаният характер на икономиките, които се осланят на стабилни и предвидими международни правила и гъвкави транспортни канали. Тя разкри риска от срив на глобалното сътрудничество и доверие. Пандемията също така повдигна въпроси относно правилния комплекс от политики от гледна точка на диверсификацията на външните и вътрешните източници на доставки и изграждането на стратегически производствени мощности и резерви. Тя показа също така важността на разширяването на производството на здравни продукти в кризисна ситуация и необходимостта от сътрудничество за осигуряване на равен достъп за по-уязвимите групи от населението. Нещо повече, пандемията доведе до съществено увеличаване на подкрепата и участието на държавата в икономиката, което е необходимо за оздравяване на жизнеспособните предприятия и запазване на работните места, но може да не е устойчиво в дългосрочен план и е възможно да породи напрежение. </w:t>
      </w:r>
    </w:p>
    <w:p>
      <w:pPr>
        <w:spacing w:after="120"/>
        <w:jc w:val="both"/>
        <w:rPr>
          <w:noProof/>
        </w:rPr>
      </w:pPr>
      <w:r>
        <w:rPr>
          <w:noProof/>
        </w:rPr>
        <w:t>И накрая, необходимо е да се вземат предвид икономическите перспективи в глобален мащаб. ЕС ще запази позицията си на световна икономическа сила и лидер в устойчивия растеж. Последните дългосрочни прогнози на ОИСР показват, че реалният БВП в еврозоната ще нараства с 1,4 % годишно (общ годишен темп на нарастване) през следващите 10 години</w:t>
      </w:r>
      <w:r>
        <w:rPr>
          <w:rStyle w:val="FootnoteReference"/>
          <w:noProof/>
        </w:rPr>
        <w:footnoteReference w:id="8"/>
      </w:r>
      <w:r>
        <w:rPr>
          <w:noProof/>
        </w:rPr>
        <w:t xml:space="preserve">. Независимо от това тези перспективи за растеж ще бъдат засенчени от тенденциите в други региони и относителната позиция на Европа в международната икономика ще се промени. Очаква се още през 2024 г. 85 % от растежа на световния БВП да се генерира извън ЕС. Продължаващият възход на Китай ще даде силно отражение върху световното икономическо развитие през следващите 10 години — според прогнозите на ОИСР БВП на Китай ще нараства с 4,7 % годишно. </w:t>
      </w:r>
    </w:p>
    <w:p>
      <w:pPr>
        <w:spacing w:after="120"/>
        <w:jc w:val="both"/>
        <w:rPr>
          <w:noProof/>
        </w:rPr>
      </w:pPr>
      <w:r>
        <w:rPr>
          <w:noProof/>
        </w:rPr>
        <w:t>Търговската политика на ЕС трябва да бъде съобразена с тези световни тенденции и предизвикателства, за да отразява амбициозната политическа цел за „по-силна Европа на световната сцена“</w:t>
      </w:r>
      <w:r>
        <w:rPr>
          <w:rStyle w:val="FootnoteReference"/>
          <w:noProof/>
        </w:rPr>
        <w:footnoteReference w:id="9"/>
      </w:r>
      <w:r>
        <w:rPr>
          <w:noProof/>
        </w:rPr>
        <w:t>. Тя следва също така да отговаря на очакванията на заинтересованите страни, посочени в рамките на дискусиите с държавите членки, резолюцията, приета от Европейския парламент</w:t>
      </w:r>
      <w:r>
        <w:rPr>
          <w:rStyle w:val="FootnoteReference"/>
          <w:noProof/>
        </w:rPr>
        <w:footnoteReference w:id="10"/>
      </w:r>
      <w:r>
        <w:rPr>
          <w:noProof/>
        </w:rPr>
        <w:t>, и вижданията, изразени по време на обществената консултация</w:t>
      </w:r>
      <w:r>
        <w:rPr>
          <w:rStyle w:val="FootnoteReference"/>
          <w:noProof/>
        </w:rPr>
        <w:footnoteReference w:id="11"/>
      </w:r>
      <w:r>
        <w:rPr>
          <w:noProof/>
        </w:rPr>
        <w:t xml:space="preserve">. </w:t>
      </w:r>
    </w:p>
    <w:p>
      <w:pPr>
        <w:spacing w:after="120"/>
        <w:jc w:val="both"/>
        <w:rPr>
          <w:noProof/>
        </w:rPr>
      </w:pPr>
    </w:p>
    <w:p>
      <w:pPr>
        <w:spacing w:after="120"/>
        <w:jc w:val="both"/>
        <w:rPr>
          <w:noProof/>
        </w:rPr>
      </w:pPr>
      <w:r>
        <w:rPr>
          <w:noProof/>
          <w:lang w:val="en-GB" w:eastAsia="en-GB"/>
        </w:rPr>
        <w:drawing>
          <wp:inline distT="0" distB="0" distL="0" distR="0">
            <wp:extent cx="5760720" cy="17524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1752404"/>
                    </a:xfrm>
                    <a:prstGeom prst="rect">
                      <a:avLst/>
                    </a:prstGeom>
                    <a:noFill/>
                    <a:ln>
                      <a:noFill/>
                    </a:ln>
                  </pic:spPr>
                </pic:pic>
              </a:graphicData>
            </a:graphic>
          </wp:inline>
        </w:drawing>
      </w:r>
    </w:p>
    <w:p>
      <w:pPr>
        <w:spacing w:after="120"/>
        <w:jc w:val="both"/>
        <w:rPr>
          <w:b/>
          <w:smallCaps/>
          <w:noProof/>
          <w:u w:val="single"/>
        </w:rPr>
      </w:pPr>
      <w:r>
        <w:rPr>
          <w:rFonts w:asciiTheme="minorHAnsi" w:hAnsiTheme="minorHAnsi" w:cstheme="minorBidi"/>
          <w:noProof/>
          <w:sz w:val="22"/>
          <w:szCs w:val="22"/>
          <w:lang w:val="en-GB"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250825</wp:posOffset>
                </wp:positionV>
                <wp:extent cx="301942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wps:spPr>
                      <wps:txbx>
                        <w:txbxContent>
                          <w:p>
                            <w:pPr>
                              <w:pStyle w:val="Caption"/>
                            </w:pPr>
                            <w:r>
                              <w:t>Източник: ОИСР, Real GDP Long Term Forecasts („Дългосрочна прогноза за реалния БВП“)</w:t>
                            </w:r>
                          </w:p>
                          <w:p/>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8" type="#_x0000_t202" style="position:absolute;left:0;text-align:left;margin-left:0;margin-top:19.75pt;width:237.75pt;height:.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" stroked="f">
                <v:textbox style="mso-fit-shape-to-text:t" inset="0,0,0,0">
                  <w:txbxContent>
                    <w:p>
                      <w:pPr>
                        <w:pStyle w:val="Caption"/>
                      </w:pPr>
                      <w:r>
                        <w:t>Източник: ОИСР, Real GDP Long Term Forecasts („Дългосрочна прогноза за реалния БВП“)</w:t>
                      </w:r>
                    </w:p>
                    <w:p/>
                    <w:p/>
                  </w:txbxContent>
                </v:textbox>
                <w10:wrap type="square"/>
              </v:shape>
            </w:pict>
          </mc:Fallback>
        </mc:AlternateContent>
      </w:r>
      <w:r>
        <w:rPr>
          <w:b/>
          <w:smallCaps/>
          <w:noProof/>
          <w:u w:val="single"/>
        </w:rPr>
        <w:br w:type="page"/>
      </w:r>
    </w:p>
    <w:p>
      <w:pPr>
        <w:pStyle w:val="ListParagraph"/>
        <w:spacing w:after="120" w:line="240" w:lineRule="auto"/>
        <w:ind w:left="360"/>
        <w:contextualSpacing w:val="0"/>
        <w:jc w:val="both"/>
        <w:rPr>
          <w:rFonts w:ascii="Times New Roman" w:hAnsi="Times New Roman" w:cs="Times New Roman"/>
          <w:b/>
          <w:smallCaps/>
          <w:noProof/>
          <w:sz w:val="24"/>
          <w:szCs w:val="24"/>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b/>
          <w:smallCaps/>
          <w:noProof/>
          <w:sz w:val="24"/>
          <w:szCs w:val="24"/>
          <w:u w:val="single"/>
        </w:rPr>
        <w:t>Търговска политика, която подкрепя отворената стратегическа автономност на ЕС</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Отворена стратегическа автономност </w:t>
      </w:r>
    </w:p>
    <w:p>
      <w:pPr>
        <w:spacing w:after="120"/>
        <w:jc w:val="both"/>
        <w:rPr>
          <w:noProof/>
        </w:rPr>
      </w:pPr>
      <w:r>
        <w:rPr>
          <w:noProof/>
          <w:lang w:val="en-GB" w:eastAsia="en-GB"/>
        </w:rPr>
        <w:drawing>
          <wp:anchor distT="0" distB="0" distL="114300" distR="114300" simplePos="0" relativeHeight="251658241" behindDoc="1" locked="0" layoutInCell="1" allowOverlap="1">
            <wp:simplePos x="0" y="0"/>
            <wp:positionH relativeFrom="column">
              <wp:posOffset>2704354</wp:posOffset>
            </wp:positionH>
            <wp:positionV relativeFrom="paragraph">
              <wp:posOffset>244116</wp:posOffset>
            </wp:positionV>
            <wp:extent cx="2950845" cy="272097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Pr>
          <w:noProof/>
        </w:rPr>
        <w:t xml:space="preserve">За постигането на по-силен и гъвкав Европейски съюз са необходими обединени </w:t>
      </w:r>
      <w:r>
        <w:rPr>
          <w:b/>
          <w:noProof/>
        </w:rPr>
        <w:t>вътрешни и външни действия</w:t>
      </w:r>
      <w:r>
        <w:rPr>
          <w:noProof/>
        </w:rPr>
        <w:t xml:space="preserve"> в множество области на политиката, при което всички инструменти на търговията се привеждат в съответствие и се използват в подкрепа на интересите и целите на политиката на ЕС. Изисква се да използваме силните си страни, но същевременно и да се ангажираме с партньори. Принципът на „отворена стратегическа автономност“ отговаря на тази необходимост. </w:t>
      </w:r>
      <w:r>
        <w:rPr>
          <w:b/>
          <w:noProof/>
        </w:rPr>
        <w:t>Чрез отворената стратегическа автономност</w:t>
      </w:r>
      <w:r>
        <w:rPr>
          <w:rStyle w:val="FootnoteReference"/>
          <w:b/>
          <w:noProof/>
        </w:rPr>
        <w:footnoteReference w:id="12"/>
      </w:r>
      <w:r>
        <w:rPr>
          <w:b/>
          <w:noProof/>
        </w:rPr>
        <w:t xml:space="preserve"> се подчертава способността на ЕС да прави собствен избор и да формира заобикалящия го свят в унисон със своите стратегически интереси и ценности чрез лидерство и ангажираност. </w:t>
      </w:r>
      <w:r>
        <w:rPr>
          <w:noProof/>
        </w:rPr>
        <w:t xml:space="preserve">Тази концепция отразява фундаменталното за ЕС разбиране, че за справяне с предизвикателствата на съвремието е нужно повече, а не по-малко глобално сътрудничество. Тя освен това означава, че ЕС ще продължи да се възползва от възможностите в международен план, като същевременно решително защитава интересите и икономиката си от нелоялни търговски практики, и гарантира еднакви условия на конкуренция. И накрая, тя предполага подкрепа на вътрешните политики за укрепване на икономиката на ЕС и способстване за позиционирането му като световен лидер в усилията за реформиране на основаната на правила система за управление на глобалната търговия. </w:t>
      </w:r>
    </w:p>
    <w:p>
      <w:pPr>
        <w:spacing w:after="120"/>
        <w:jc w:val="both"/>
        <w:rPr>
          <w:noProof/>
        </w:rPr>
      </w:pPr>
      <w:r>
        <w:rPr>
          <w:noProof/>
        </w:rPr>
        <w:t xml:space="preserve">Отворената стратегическа автономност представлява избор на политика, но и начин на мислене за лицата, взимащи решения. С нея се надгражда значението на </w:t>
      </w:r>
      <w:r>
        <w:rPr>
          <w:b/>
          <w:noProof/>
        </w:rPr>
        <w:t>отвореността</w:t>
      </w:r>
      <w:r>
        <w:rPr>
          <w:noProof/>
        </w:rPr>
        <w:t>, като се припомня ангажиментът на ЕС за отворена и справедлива търговия с добре функциониращи, диверсифицирани и устойчиви глобални вериги за създаване на стойност. Принципът обхваща:</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гъвкавост и конкурентоспособност</w:t>
      </w:r>
      <w:r>
        <w:rPr>
          <w:rFonts w:ascii="Times New Roman" w:hAnsi="Times New Roman"/>
          <w:noProof/>
          <w:sz w:val="24"/>
          <w:szCs w:val="24"/>
        </w:rPr>
        <w:t xml:space="preserve"> с цел укрепване на икономиката на ЕС;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устойчивост и справедливост</w:t>
      </w:r>
      <w:r>
        <w:rPr>
          <w:rFonts w:ascii="Times New Roman" w:hAnsi="Times New Roman"/>
          <w:noProof/>
          <w:sz w:val="24"/>
          <w:szCs w:val="24"/>
        </w:rPr>
        <w:t xml:space="preserve"> в отражение на необходимостта от отговорни и справедливи действия на равнище ЕС;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решителност и основано на правила сътрудничество</w:t>
      </w:r>
      <w:r>
        <w:rPr>
          <w:rFonts w:ascii="Times New Roman" w:hAnsi="Times New Roman"/>
          <w:noProof/>
          <w:sz w:val="24"/>
          <w:szCs w:val="24"/>
        </w:rPr>
        <w:t xml:space="preserve">, за да се демонстрира предпочитанието на ЕС към международно сътрудничество и диалог, но също така, когато е необходимо, готовността му да противодейства на нелоялните практики и да използва автономни инструменти за постигане на своите интереси. </w:t>
      </w:r>
    </w:p>
    <w:p>
      <w:pPr>
        <w:pStyle w:val="ListParagraph"/>
        <w:spacing w:after="120" w:line="240" w:lineRule="auto"/>
        <w:jc w:val="both"/>
        <w:rPr>
          <w:rFonts w:ascii="Times New Roman" w:hAnsi="Times New Roman" w:cs="Times New Roman"/>
          <w:noProof/>
          <w:sz w:val="24"/>
          <w:szCs w:val="24"/>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Отвореността и ангажираността като стратегически избор</w:t>
      </w:r>
    </w:p>
    <w:p>
      <w:pPr>
        <w:spacing w:after="120"/>
        <w:jc w:val="both"/>
        <w:rPr>
          <w:noProof/>
        </w:rPr>
      </w:pPr>
      <w:r>
        <w:rPr>
          <w:noProof/>
          <w:lang w:val="en-GB" w:eastAsia="en-GB"/>
        </w:rPr>
        <mc:AlternateContent>
          <mc:Choice Requires="wps">
            <w:drawing>
              <wp:anchor distT="45720" distB="45720" distL="114300" distR="114300" simplePos="0" relativeHeight="251658244" behindDoc="0" locked="0" layoutInCell="1" allowOverlap="1">
                <wp:simplePos x="0" y="0"/>
                <wp:positionH relativeFrom="column">
                  <wp:posOffset>-635</wp:posOffset>
                </wp:positionH>
                <wp:positionV relativeFrom="paragraph">
                  <wp:posOffset>167005</wp:posOffset>
                </wp:positionV>
                <wp:extent cx="2019300" cy="21031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103120"/>
                        </a:xfrm>
                        <a:prstGeom prst="rect">
                          <a:avLst/>
                        </a:prstGeom>
                        <a:solidFill>
                          <a:srgbClr val="FFFFFF"/>
                        </a:solidFill>
                        <a:ln w="9525">
                          <a:solidFill>
                            <a:srgbClr val="000000"/>
                          </a:solidFill>
                          <a:miter lim="800000"/>
                          <a:headEnd/>
                          <a:tailEnd/>
                        </a:ln>
                      </wps:spPr>
                      <wps:txbx>
                        <w:txbxContent>
                          <w:p>
                            <w:pPr>
                              <w:jc w:val="both"/>
                              <w:rPr>
                                <w:b/>
                                <w:i/>
                              </w:rPr>
                            </w:pPr>
                            <w:r>
                              <w:rPr>
                                <w:b/>
                                <w:i/>
                              </w:rPr>
                              <w:t>През 2019 г. ЕС е изнесъл стоки и услуги на стойност над 3,1 трилиона евро и е внесъл стоки и услуги на стойност 2,8 трилиона евро. Взети заедно, износът и вносът правят ЕС най-големия участник на сцената на световната търговия.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5pt;margin-top:13.15pt;width:159pt;height:165.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tRJQIAAEw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">
                <v:textbox>
                  <w:txbxContent>
                    <w:p>
                      <w:pPr>
                        <w:jc w:val="both"/>
                        <w:rPr>
                          <w:b/>
                          <w:i/>
                        </w:rPr>
                      </w:pPr>
                      <w:r>
                        <w:rPr>
                          <w:b/>
                          <w:i/>
                        </w:rPr>
                        <w:t>През 2019 г. ЕС е изнесъл стоки и услуги на стойност над 3,1 трилиона евро и е внесъл стоки и услуги на стойност 2,8 трилиона евро. Взети заедно, износът и вносът правят ЕС най-големия участник на сцената на световната търговия.</w:t>
                      </w:r>
                    </w:p>
                  </w:txbxContent>
                </v:textbox>
                <w10:wrap type="square"/>
              </v:shape>
            </w:pict>
          </mc:Fallback>
        </mc:AlternateContent>
      </w:r>
      <w:r>
        <w:rPr>
          <w:b/>
          <w:noProof/>
        </w:rPr>
        <w:t>ЕС се гради на отвореност както във вътрешен, така и във външен план</w:t>
      </w:r>
      <w:r>
        <w:rPr>
          <w:noProof/>
        </w:rPr>
        <w:t>. Той е най-големият износител и вносител на стоки и услуги в световен мащаб. Сред големите икономики ЕС е икономиката, в която търговията заема най-голям дял. Износът на ЕС поддържа 35 милиона работни места на негова територия, в сравнение с 20 милиона през 2000 г.</w:t>
      </w:r>
      <w:r>
        <w:rPr>
          <w:rStyle w:val="FootnoteReference"/>
          <w:noProof/>
        </w:rPr>
        <w:footnoteReference w:id="13"/>
      </w:r>
      <w:r>
        <w:rPr>
          <w:noProof/>
        </w:rPr>
        <w:t xml:space="preserve"> Икономиката на ЕС разчита в същата степен на вноса, чрез който се осигурява достъп до суровини от изключителна важност и други входящи ресурси. 60 % от вноса в ЕС всъщност се използват за производство на съюзни стоки и по-голямата отвореност на ЕС към вноса от 1995 г. насам е увеличила дохода на Съюза с приблизително 550 милиарда евро. ЕС също така е основна дестинация за износа от държави с нисък доход — по-специално от Африка и от съседните на ЕС държави, което спомага за насърчаване на развитието и икономическия растеж в световен мащаб. Точно както след последната икономическа и финансова криза, търговията ще бъде от решаващо значение за екологосъобразното възстановяване на ЕС от икономическия спад вследствие на COVID-19. </w:t>
      </w:r>
    </w:p>
    <w:p>
      <w:pPr>
        <w:spacing w:after="120"/>
        <w:jc w:val="both"/>
        <w:rPr>
          <w:noProof/>
        </w:rPr>
      </w:pPr>
      <w:r>
        <w:rPr>
          <w:noProof/>
          <w:lang w:val="en-GB" w:eastAsia="en-GB"/>
        </w:rPr>
        <w:drawing>
          <wp:inline distT="0" distB="0" distL="0" distR="0">
            <wp:extent cx="5638800" cy="26289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3051175</wp:posOffset>
                </wp:positionV>
                <wp:extent cx="550545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505450" cy="635"/>
                        </a:xfrm>
                        <a:prstGeom prst="rect">
                          <a:avLst/>
                        </a:prstGeom>
                        <a:solidFill>
                          <a:prstClr val="white"/>
                        </a:solidFill>
                        <a:ln>
                          <a:noFill/>
                        </a:ln>
                      </wps:spPr>
                      <wps:txbx>
                        <w:txbxContent>
                          <w:p>
                            <w:pPr>
                              <w:pStyle w:val="Caption"/>
                              <w:rPr>
                                <w:noProof/>
                                <w:sz w:val="24"/>
                                <w:szCs w:val="24"/>
                              </w:rPr>
                            </w:pPr>
                            <w:r>
                              <w:t>Източник: COMEXT, Евростат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4" o:spid="_x0000_s1030" type="#_x0000_t202" style="position:absolute;left:0;text-align:left;margin-left:0;margin-top:240.25pt;width:433.5pt;height:.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" stroked="f">
                <v:textbox style="mso-fit-shape-to-text:t" inset="0,0,0,0">
                  <w:txbxContent>
                    <w:p>
                      <w:pPr>
                        <w:pStyle w:val="Caption"/>
                        <w:rPr>
                          <w:noProof/>
                          <w:sz w:val="24"/>
                          <w:szCs w:val="24"/>
                        </w:rPr>
                      </w:pPr>
                      <w:r>
                        <w:t>Източник: COMEXT, Евростат</w:t>
                      </w:r>
                    </w:p>
                  </w:txbxContent>
                </v:textbox>
                <w10:wrap type="square"/>
              </v:shape>
            </w:pict>
          </mc:Fallback>
        </mc:AlternateContent>
      </w:r>
    </w:p>
    <w:p>
      <w:pPr>
        <w:spacing w:after="120"/>
        <w:jc w:val="both"/>
        <w:rPr>
          <w:noProof/>
        </w:rPr>
      </w:pPr>
    </w:p>
    <w:p>
      <w:pPr>
        <w:spacing w:after="120"/>
        <w:jc w:val="both"/>
        <w:rPr>
          <w:noProof/>
        </w:rPr>
      </w:pPr>
      <w:r>
        <w:rPr>
          <w:noProof/>
        </w:rPr>
        <w:t xml:space="preserve">За да може ЕС да засили гъвкавостта и да подкрепи конкурентоспособността на различните си икономически сектори, трябва да осигурим отворен и незасегнат от изкривявания достъп до международните пазари, включително нов достъп до пазара и отворени търговски потоци в полза на нашата промишленост, както и на работната сила и гражданите. Промишлените екосистеми на ЕС, които обхващат всички участници в дадена верига за създаване на стойност, от земеделски стопани и производители до доставчици на услуги и от глобални многонационални предприятия до МСП и новосъздадени предприятия, играят решаваща роля за интернационализацията на икономиката на ЕС. </w:t>
      </w:r>
    </w:p>
    <w:p>
      <w:pPr>
        <w:spacing w:after="120"/>
        <w:jc w:val="both"/>
        <w:rPr>
          <w:noProof/>
        </w:rPr>
      </w:pPr>
      <w:r>
        <w:rPr>
          <w:noProof/>
          <w:lang w:val="en-GB" w:eastAsia="en-GB"/>
        </w:rPr>
        <mc:AlternateContent>
          <mc:Choice Requires="wps">
            <w:drawing>
              <wp:anchor distT="45720" distB="45720" distL="114300" distR="114300" simplePos="0" relativeHeight="251658245" behindDoc="0" locked="0" layoutInCell="1" allowOverlap="1">
                <wp:simplePos x="0" y="0"/>
                <wp:positionH relativeFrom="column">
                  <wp:posOffset>-8255</wp:posOffset>
                </wp:positionH>
                <wp:positionV relativeFrom="paragraph">
                  <wp:posOffset>845185</wp:posOffset>
                </wp:positionV>
                <wp:extent cx="1958340" cy="1760220"/>
                <wp:effectExtent l="0" t="0" r="2286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760220"/>
                        </a:xfrm>
                        <a:prstGeom prst="rect">
                          <a:avLst/>
                        </a:prstGeom>
                        <a:solidFill>
                          <a:srgbClr val="FFFFFF"/>
                        </a:solidFill>
                        <a:ln w="9525">
                          <a:solidFill>
                            <a:srgbClr val="000000"/>
                          </a:solidFill>
                          <a:miter lim="800000"/>
                          <a:headEnd/>
                          <a:tailEnd/>
                        </a:ln>
                      </wps:spPr>
                      <wps:txbx>
                        <w:txbxContent>
                          <w:p>
                            <w:pPr>
                              <w:rPr>
                                <w:b/>
                                <w:i/>
                              </w:rPr>
                            </w:pPr>
                            <w:r>
                              <w:rPr>
                                <w:b/>
                                <w:i/>
                              </w:rPr>
                              <w:t xml:space="preserve">ЕС е търговски партньор </w:t>
                            </w:r>
                            <w:r>
                              <w:rPr>
                                <w:b/>
                                <w:i/>
                                <w:u w:val="single"/>
                              </w:rPr>
                              <w:t>номер едно</w:t>
                            </w:r>
                            <w:r>
                              <w:rPr>
                                <w:b/>
                                <w:i/>
                              </w:rPr>
                              <w:t xml:space="preserve"> за 74 държави по света. Съюзът е търговски партньор номер едно за Азия, Африка, САЩ, Западните Балкани и съседните на ЕС държави.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5pt;margin-top:66.55pt;width:154.2pt;height:138.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WJQIAAE0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">
                <v:textbox>
                  <w:txbxContent>
                    <w:p>
                      <w:pPr>
                        <w:rPr>
                          <w:b/>
                          <w:i/>
                        </w:rPr>
                      </w:pPr>
                      <w:r>
                        <w:rPr>
                          <w:b/>
                          <w:i/>
                        </w:rPr>
                        <w:t xml:space="preserve">ЕС е търговски партньор </w:t>
                      </w:r>
                      <w:r>
                        <w:rPr>
                          <w:b/>
                          <w:i/>
                          <w:u w:val="single"/>
                        </w:rPr>
                        <w:t>номер едно</w:t>
                      </w:r>
                      <w:r>
                        <w:rPr>
                          <w:b/>
                          <w:i/>
                        </w:rPr>
                        <w:t xml:space="preserve"> за 74 държави по света. Съюзът е търговски партньор номер едно за Азия, Африка, САЩ, Западните Балкани и съседните на ЕС държави. </w:t>
                      </w:r>
                    </w:p>
                  </w:txbxContent>
                </v:textbox>
                <w10:wrap type="square"/>
              </v:shape>
            </w:pict>
          </mc:Fallback>
        </mc:AlternateContent>
      </w:r>
      <w:r>
        <w:rPr>
          <w:noProof/>
        </w:rPr>
        <w:t xml:space="preserve">ЕС е и </w:t>
      </w:r>
      <w:r>
        <w:rPr>
          <w:b/>
          <w:bCs/>
          <w:noProof/>
        </w:rPr>
        <w:t>най-големият доставчик в света за целите на подпомагането на търговията</w:t>
      </w:r>
      <w:r>
        <w:rPr>
          <w:rStyle w:val="FootnoteReference"/>
          <w:noProof/>
        </w:rPr>
        <w:footnoteReference w:id="14"/>
      </w:r>
      <w:r>
        <w:rPr>
          <w:noProof/>
        </w:rPr>
        <w:t>.</w:t>
      </w:r>
      <w:r>
        <w:rPr>
          <w:noProof/>
          <w:sz w:val="20"/>
          <w:szCs w:val="20"/>
        </w:rPr>
        <w:t xml:space="preserve"> </w:t>
      </w:r>
      <w:r>
        <w:rPr>
          <w:noProof/>
        </w:rPr>
        <w:t>Вследствие на пандемията от COVID-19 се засили необходимостта от цялостно изпълнение на Съвместната стратегия на ЕС за подпомагане на търговията от 2017 г. Действително ЕС има стратегически интерес да подкрепи засилената интеграция в световната икономика на уязвими развиващи се държави, много от които са разположени в географска близост до Европа.</w:t>
      </w:r>
    </w:p>
    <w:p>
      <w:pPr>
        <w:spacing w:after="120"/>
        <w:jc w:val="both"/>
        <w:rPr>
          <w:noProof/>
        </w:rPr>
      </w:pPr>
      <w:r>
        <w:rPr>
          <w:noProof/>
        </w:rPr>
        <w:t xml:space="preserve">ЕС трябва да използва пълноценно </w:t>
      </w:r>
      <w:r>
        <w:rPr>
          <w:b/>
          <w:noProof/>
        </w:rPr>
        <w:t>силните си страни, осигурени от отвореността на Съюза и привлекателността на неговия единен пазар</w:t>
      </w:r>
      <w:r>
        <w:rPr>
          <w:noProof/>
        </w:rPr>
        <w:t>. Отвореността и ангажираността на ЕС на международната сцена го правят надежден поддръжник на международното сътрудничество, многостранното сътрудничество и основания на правила ред, които от своя страна са от решаващо значение за интересите на ЕС. ЕС работи с партньори, за да гарантира зачитането на всеобщите ценности, по-специално насърчаването и защитата на правата на човека. Това включва основните трудови норми и социалната закрила в съответствие с Европейския стълб на социалните права, равенството между половете</w:t>
      </w:r>
      <w:r>
        <w:rPr>
          <w:rStyle w:val="FootnoteReference"/>
          <w:noProof/>
        </w:rPr>
        <w:footnoteReference w:id="15"/>
      </w:r>
      <w:r>
        <w:rPr>
          <w:noProof/>
        </w:rPr>
        <w:t xml:space="preserve"> и борбата срещу изменението на климата и загубата на биологично разнообразие. </w:t>
      </w:r>
    </w:p>
    <w:p>
      <w:pPr>
        <w:spacing w:after="120"/>
        <w:jc w:val="both"/>
        <w:rPr>
          <w:noProof/>
        </w:rPr>
      </w:pPr>
      <w:r>
        <w:rPr>
          <w:b/>
          <w:noProof/>
        </w:rPr>
        <w:t>Справяне с изменението на климата и други екологични предизвикателства може да се постигне единствено чрез отвореност, ангажираност и сътрудничество на глобално равнище.</w:t>
      </w:r>
      <w:r>
        <w:rPr>
          <w:noProof/>
        </w:rPr>
        <w:t xml:space="preserve"> ЕС няма да спечели борбата срещу изменението на климата чрез самостоятелни действия. За да успеем, е важно да допринасяме за постигане на разбиране сред нашите партньори, че екологичната трансформация е не само необходимост в средносрочен план, но и плод на интелигентна икономическа политика още от днес. ЕС трябва да извлече ползи от своята отвореност и да ангажира партньорите си, особено най-големите източници на емисии и замърсители, така че те да участват със справедлив дял в усилията за смекчаване на последиците от изменението на климата. Аналогично, опазването на биологичното разнообразие е глобално предизвикателство, което изисква глобални усилия. </w:t>
      </w:r>
    </w:p>
    <w:p>
      <w:pPr>
        <w:spacing w:after="120"/>
        <w:jc w:val="both"/>
        <w:rPr>
          <w:noProof/>
        </w:rPr>
      </w:pPr>
      <w:r>
        <w:rPr>
          <w:b/>
          <w:noProof/>
        </w:rPr>
        <w:t>Отвореността и ангажираността са стратегически избор</w:t>
      </w:r>
      <w:r>
        <w:rPr>
          <w:noProof/>
        </w:rPr>
        <w:t xml:space="preserve">, който също така обслужва разбираните по правилен начин собствени интереси на Европейския съюз. Отвореността носи със себе си просперитет, конкурентоспособност и динамика. В същото време отворената икономика трябва да се съчетава с решителни действия за смекчаване на последиците от изменението на климата и адаптиране към него, опазване на околната среда и стабилни политики в социалната област и в областта на заетостта в отговор на очакванията на гражданите на ЕС. Единствено това ще ни позволи да разпространим ползите от отвореността по справедлив начин и ще улесни приспособяването към трансформациите на световната икономика, така че никой да не е изоставен. </w:t>
      </w:r>
    </w:p>
    <w:p>
      <w:pPr>
        <w:spacing w:after="120"/>
        <w:jc w:val="both"/>
        <w:rPr>
          <w:noProof/>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Подобряване на гъвкавостта и устойчивостта на веригите за създаване на стойност </w:t>
      </w:r>
    </w:p>
    <w:p>
      <w:pPr>
        <w:spacing w:after="120"/>
        <w:jc w:val="both"/>
        <w:rPr>
          <w:noProof/>
        </w:rPr>
      </w:pPr>
      <w:r>
        <w:rPr>
          <w:noProof/>
          <w:highlight w:val="yellow"/>
          <w:lang w:val="en-GB" w:eastAsia="en-GB"/>
        </w:rPr>
        <mc:AlternateContent>
          <mc:Choice Requires="wps">
            <w:drawing>
              <wp:anchor distT="0" distB="0" distL="114300" distR="114300" simplePos="0" relativeHeight="251659776" behindDoc="0" locked="0" layoutInCell="1" allowOverlap="1">
                <wp:simplePos x="0" y="0"/>
                <wp:positionH relativeFrom="column">
                  <wp:posOffset>-61595</wp:posOffset>
                </wp:positionH>
                <wp:positionV relativeFrom="paragraph">
                  <wp:posOffset>3954145</wp:posOffset>
                </wp:positionV>
                <wp:extent cx="3962400" cy="179832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98320"/>
                        </a:xfrm>
                        <a:prstGeom prst="rect">
                          <a:avLst/>
                        </a:prstGeom>
                        <a:solidFill>
                          <a:srgbClr val="FFFFFF"/>
                        </a:solidFill>
                        <a:ln w="9525">
                          <a:solidFill>
                            <a:srgbClr val="000000"/>
                          </a:solidFill>
                          <a:miter lim="800000"/>
                          <a:headEnd/>
                          <a:tailEnd/>
                        </a:ln>
                      </wps:spPr>
                      <wps:txbx>
                        <w:txbxContent>
                          <w:p>
                            <w:pPr>
                              <w:pStyle w:val="ListParagraph"/>
                              <w:numPr>
                                <w:ilvl w:val="0"/>
                                <w:numId w:val="2"/>
                              </w:numPr>
                              <w:jc w:val="both"/>
                              <w:rPr>
                                <w:i/>
                                <w:sz w:val="16"/>
                                <w:szCs w:val="16"/>
                              </w:rPr>
                            </w:pPr>
                            <w:r>
                              <w:rPr>
                                <w:i/>
                                <w:sz w:val="16"/>
                                <w:szCs w:val="16"/>
                              </w:rPr>
                              <w:t xml:space="preserve">В ситуация на безпрецедентно нарастване на търсенето, както в случая с предпазните маски, отвореността на търговията се оказа ключова за разширяването на спектъра на алтернативните източници на доставки;  </w:t>
                            </w:r>
                          </w:p>
                          <w:p>
                            <w:pPr>
                              <w:pStyle w:val="ListParagraph"/>
                              <w:numPr>
                                <w:ilvl w:val="0"/>
                                <w:numId w:val="2"/>
                              </w:numPr>
                              <w:jc w:val="both"/>
                              <w:rPr>
                                <w:i/>
                                <w:sz w:val="16"/>
                                <w:szCs w:val="16"/>
                              </w:rPr>
                            </w:pPr>
                            <w:r>
                              <w:rPr>
                                <w:i/>
                                <w:sz w:val="16"/>
                                <w:szCs w:val="16"/>
                              </w:rPr>
                              <w:t>Прозрачността също е много важна, тъй като тя действително допринесе за гъвкавостта на веригите на доставки на храни; в този случай за уталожване на безпокойството относно сигурността на снабдяването с храни може да е била полезна Информационната система за селскостопанските пазари (AMIS). Готовността за действие при кризи ще бъде особено важна за селскостопанския сектор.</w:t>
                            </w:r>
                          </w:p>
                          <w:p>
                            <w:pPr>
                              <w:pStyle w:val="ListParagraph"/>
                              <w:numPr>
                                <w:ilvl w:val="0"/>
                                <w:numId w:val="2"/>
                              </w:numPr>
                              <w:jc w:val="both"/>
                              <w:rPr>
                                <w:i/>
                                <w:sz w:val="16"/>
                                <w:szCs w:val="16"/>
                              </w:rPr>
                            </w:pPr>
                            <w:r>
                              <w:rPr>
                                <w:i/>
                                <w:sz w:val="16"/>
                                <w:szCs w:val="16"/>
                              </w:rPr>
                              <w:t>не бива да се подценява рискът от ограничаващи търговията мерки, които възпрепятстват участието на развиващите се държави в глобалните вериги за създаване на стойност.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85pt;margin-top:311.35pt;width:312pt;height:14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UuJwIAAEw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">
                <v:textbox>
                  <w:txbxContent>
                    <w:p>
                      <w:pPr>
                        <w:pStyle w:val="ListParagraph"/>
                        <w:numPr>
                          <w:ilvl w:val="0"/>
                          <w:numId w:val="2"/>
                        </w:numPr>
                        <w:jc w:val="both"/>
                        <w:rPr>
                          <w:i/>
                          <w:sz w:val="16"/>
                          <w:szCs w:val="16"/>
                        </w:rPr>
                      </w:pPr>
                      <w:r>
                        <w:rPr>
                          <w:i/>
                          <w:sz w:val="16"/>
                          <w:szCs w:val="16"/>
                        </w:rPr>
                        <w:t xml:space="preserve">В ситуация на безпрецедентно нарастване на търсенето, както в случая с предпазните маски, отвореността на търговията се оказа ключова за разширяването на спектъра на алтернативните източници на доставки;  </w:t>
                      </w:r>
                    </w:p>
                    <w:p>
                      <w:pPr>
                        <w:pStyle w:val="ListParagraph"/>
                        <w:numPr>
                          <w:ilvl w:val="0"/>
                          <w:numId w:val="2"/>
                        </w:numPr>
                        <w:jc w:val="both"/>
                        <w:rPr>
                          <w:i/>
                          <w:sz w:val="16"/>
                          <w:szCs w:val="16"/>
                        </w:rPr>
                      </w:pPr>
                      <w:r>
                        <w:rPr>
                          <w:i/>
                          <w:sz w:val="16"/>
                          <w:szCs w:val="16"/>
                        </w:rPr>
                        <w:t>Прозрачността също е много важна, тъй като тя действително допринесе за гъвкавостта на веригите на доставки на храни; в този случай за уталожване на безпокойството относно сигурността на снабдяването с храни може да е била полезна Информационната система за селскостопанските пазари (AMIS). Готовността за действие при кризи ще бъде особено важна за селскостопанския сектор.</w:t>
                      </w:r>
                    </w:p>
                    <w:p>
                      <w:pPr>
                        <w:pStyle w:val="ListParagraph"/>
                        <w:numPr>
                          <w:ilvl w:val="0"/>
                          <w:numId w:val="2"/>
                        </w:numPr>
                        <w:jc w:val="both"/>
                        <w:rPr>
                          <w:i/>
                          <w:sz w:val="16"/>
                          <w:szCs w:val="16"/>
                        </w:rPr>
                      </w:pPr>
                      <w:r>
                        <w:rPr>
                          <w:i/>
                          <w:sz w:val="16"/>
                          <w:szCs w:val="16"/>
                        </w:rPr>
                        <w:t>не бива да се подценява рискът от ограничаващи търговията мерки, които възпрепятстват участието на развиващите се държави в глобалните вериги за създаване на стойност.</w:t>
                      </w:r>
                    </w:p>
                  </w:txbxContent>
                </v:textbox>
                <w10:wrap type="square"/>
              </v:shape>
            </w:pict>
          </mc:Fallback>
        </mc:AlternateContent>
      </w:r>
      <w:r>
        <w:rPr>
          <w:b/>
          <w:bCs/>
          <w:noProof/>
        </w:rPr>
        <w:t>Укрепването на гъвкавостта и устойчивостта на икономиката на ЕС</w:t>
      </w:r>
      <w:r>
        <w:rPr>
          <w:noProof/>
        </w:rPr>
        <w:t xml:space="preserve"> и нейните вериги на доставки е стълб на Европейския съюз в усилията за постигане на отворена стратегическа автономност</w:t>
      </w:r>
      <w:r>
        <w:rPr>
          <w:rStyle w:val="FootnoteReference"/>
          <w:noProof/>
        </w:rPr>
        <w:footnoteReference w:id="16"/>
      </w:r>
      <w:r>
        <w:rPr>
          <w:noProof/>
        </w:rPr>
        <w:t>. Пандемията от COVID-19 подложи на изпитание гъвкавостта на икономиките по света.</w:t>
      </w:r>
      <w:r>
        <w:rPr>
          <w:b/>
          <w:noProof/>
        </w:rPr>
        <w:t xml:space="preserve"> </w:t>
      </w:r>
      <w:r>
        <w:rPr>
          <w:noProof/>
        </w:rPr>
        <w:t>Първата поука, която трябва да извлечем от кризата, е, че при повечето вериги на доставки се наблюдава забележителна гъвкавост. При правилните условия предприятията са в състояние да увеличат глобалното производство и дистрибуция особено ако могат да разчитат на отворени вериги на доставки, подкрепени от стабилни, предвидими и прозрачни правила за търговия</w:t>
      </w:r>
      <w:r>
        <w:rPr>
          <w:noProof/>
          <w:vertAlign w:val="superscript"/>
        </w:rPr>
        <w:footnoteReference w:id="17"/>
      </w:r>
      <w:r>
        <w:rPr>
          <w:noProof/>
        </w:rPr>
        <w:t>.</w:t>
      </w:r>
      <w:r>
        <w:rPr>
          <w:b/>
          <w:noProof/>
        </w:rPr>
        <w:t xml:space="preserve"> </w:t>
      </w:r>
      <w:r>
        <w:rPr>
          <w:noProof/>
        </w:rPr>
        <w:t>Правителствата имат особена отговорност за създаването на такава среда, но и за оказването на подкрепа за справедливо и равноправно разпределяне на доставките, за които търсенето надвишава наличното предлагане. Доверието между държавите, но също така и между правителствата и частния сектор, е от решаващо значение в това отношение. В този контекст ЕС решително подкрепи глобалните усилия в рамките на Г-20, СТО и двустранните отношения за наблюдение и за поддържане на отворени и непрекъснати вериги на доставки от критично значение и осигуряване на справедлив и равноправен достъп до стоки от критично значение. Това е особено важно в контекста на въвеждането на ваксини срещу COVID-19, при което производството в ограничен брой държави трябва да отговори на търсенето на целия свят. ЕС възнамерява да засили сътрудничеството с други държави и с частния сектор, за да разшири производството и да подкрепи равноправен достъп до ваксини. Съюзът ще гарантира, че всички краткосрочни мерки, насочени към осигуряване на достъп до ваксини, не нарушават доставките за уязвимите държави и се прилагат по целенасочен, справедлив и прозрачен начин. Гъвкавият и устойчив транспорт играе ключова роля за улесняване на международната търговия и съхраняване на веригите на доставки на ЕС. Развитието на свързаността на ЕС има потенциала да повиши гъвкавостта на търговията на ЕС и да запази позицията на ЕС на световен център за свързаност, както се изтъква в Стратегията за устойчива и интелигентна мобилност.</w:t>
      </w:r>
    </w:p>
    <w:p>
      <w:pPr>
        <w:spacing w:after="120"/>
        <w:jc w:val="both"/>
        <w:rPr>
          <w:noProof/>
        </w:rPr>
      </w:pPr>
      <w:r>
        <w:rPr>
          <w:noProof/>
        </w:rPr>
        <w:t xml:space="preserve">Предвид мащаба на предизвиканата от COVID-19 криза и въздействието ѝ върху всички аспекти на икономическия и социалния живот, включително производството и мобилността, смущенията в някои сектори и продукти бяха неизбежни. Комбинацията от експоненциално нарастване на търсенето на някои свързани със здравето продукти от критично значение и недостига на предлагане поради ограничения на движението на гражданите или други ограничителни мерки разкри някои уязвимости в здравния сектор. Те трябва да бъдат внимателно анализирани и да се потърсят ефективни решения за тях в бъдеще. Решенията могат да варират от готовност за действия при криза до диверсификация на производството и веригите на доставки, осигуряване на стратегически резерви, както и насърчаване на производството и инвестициите, включително в съседните държави и Африка. </w:t>
      </w:r>
    </w:p>
    <w:p>
      <w:pPr>
        <w:spacing w:after="120"/>
        <w:jc w:val="both"/>
        <w:rPr>
          <w:noProof/>
        </w:rPr>
      </w:pPr>
      <w:r>
        <w:rPr>
          <w:noProof/>
        </w:rPr>
        <w:t xml:space="preserve">Частният сектор следва да играе централна роля при оценката на рисковете и намирането на баланс между производството на принципа „точно навреме“ и подходящите защитни мерки. Това е ключов фактор за осигуряване на гъвкавост в условия на смущения на предлагането или сътресения при търсенето, особено когато предприятията зависят от един доставчик. </w:t>
      </w:r>
    </w:p>
    <w:p>
      <w:pPr>
        <w:spacing w:after="120"/>
        <w:jc w:val="both"/>
        <w:rPr>
          <w:noProof/>
        </w:rPr>
      </w:pPr>
      <w:r>
        <w:rPr>
          <w:noProof/>
        </w:rPr>
        <w:t xml:space="preserve">Създателите на политики трябва също така да задълбочат своите познания за уязвимостите, да споделят информация и да насърчават сътрудничеството. Работата на Комисията по </w:t>
      </w:r>
      <w:r>
        <w:rPr>
          <w:b/>
          <w:noProof/>
        </w:rPr>
        <w:t>идентифициране на стратегически зависимости</w:t>
      </w:r>
      <w:r>
        <w:rPr>
          <w:noProof/>
        </w:rPr>
        <w:t>, особено в най-чувствителните промишлени екосистеми, като здравеопазването, ще осигури солидна основа за установяване на необходимите ответни действия в областта на политиката, както и за участие на промишлеността. Тази работа ще подпомогне, наред с другото, изпълнението на новата Фармацевтична стратегия</w:t>
      </w:r>
      <w:r>
        <w:rPr>
          <w:rStyle w:val="FootnoteReference"/>
          <w:noProof/>
        </w:rPr>
        <w:footnoteReference w:id="18"/>
      </w:r>
      <w:r>
        <w:rPr>
          <w:noProof/>
        </w:rPr>
        <w:t xml:space="preserve"> и подготовката на актуализираната стратегия за индустриалната политика. </w:t>
      </w:r>
    </w:p>
    <w:p>
      <w:pPr>
        <w:spacing w:after="120"/>
        <w:jc w:val="both"/>
        <w:rPr>
          <w:noProof/>
        </w:rPr>
      </w:pPr>
      <w:r>
        <w:rPr>
          <w:noProof/>
        </w:rPr>
        <w:t xml:space="preserve">Търговската политика може да допринесе за постигане на гъвкавост, като осигури </w:t>
      </w:r>
      <w:r>
        <w:rPr>
          <w:b/>
          <w:noProof/>
        </w:rPr>
        <w:t>стабилна, основана на правила рамка в областта на търговията, отваряне на нови пазари с цел диверсификация на източниците на доставки и разработване на рамки за сътрудничество за справедлив и равноправен достъп до доставки от критично значение</w:t>
      </w:r>
      <w:r>
        <w:rPr>
          <w:noProof/>
        </w:rPr>
        <w:t>. В този контекст ЕС се стреми заедно с партньорите си към инициатива в рамките на СТО относно търговията и здравеопазването.</w:t>
      </w:r>
    </w:p>
    <w:p>
      <w:pPr>
        <w:spacing w:after="120"/>
        <w:jc w:val="both"/>
        <w:rPr>
          <w:noProof/>
        </w:rPr>
      </w:pPr>
      <w:r>
        <w:rPr>
          <w:noProof/>
        </w:rPr>
        <w:t>Повишаването на гъвкавостта на веригите на доставки е свързано и с целта на ЕС за по-устойчиви вериги на доставки, по-специално като насърчава стандарти за устойчивост, които могат да се прилагат навсякъде в глобалните вериги за създаване на стойност. По-устойчивите вериги на доставки са по принцип и по-гъвкави</w:t>
      </w:r>
      <w:r>
        <w:rPr>
          <w:rStyle w:val="FootnoteReference"/>
          <w:noProof/>
        </w:rPr>
        <w:footnoteReference w:id="19"/>
      </w:r>
      <w:r>
        <w:rPr>
          <w:noProof/>
        </w:rPr>
        <w:t>. Търговската политика може да допринесе за постигането на тази цел и чрез насърчаване на отговорно професионално поведение, както и по-голяма прозрачност и проследимост във веригите на доставки. Предстоящите законодателни актове относно устойчивото управление на предприятията и относно обезлесяването ще бъдат важни междинни цели в това отношение.</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Търговската политика в подкрепа на геополитическите интереси на ЕС </w:t>
      </w:r>
    </w:p>
    <w:p>
      <w:pPr>
        <w:spacing w:after="120"/>
        <w:jc w:val="both"/>
        <w:rPr>
          <w:noProof/>
        </w:rPr>
      </w:pPr>
      <w:r>
        <w:rPr>
          <w:noProof/>
        </w:rPr>
        <w:t xml:space="preserve">Тясното сътрудничество с партньори ще бъде важно за </w:t>
      </w:r>
      <w:r>
        <w:rPr>
          <w:b/>
          <w:noProof/>
        </w:rPr>
        <w:t>подкрепата на многостранното сътрудничество</w:t>
      </w:r>
      <w:r>
        <w:rPr>
          <w:rStyle w:val="FootnoteReference"/>
          <w:b/>
          <w:noProof/>
        </w:rPr>
        <w:footnoteReference w:id="20"/>
      </w:r>
      <w:r>
        <w:rPr>
          <w:b/>
          <w:noProof/>
        </w:rPr>
        <w:t xml:space="preserve"> и основания на правила международен ред</w:t>
      </w:r>
      <w:r>
        <w:rPr>
          <w:noProof/>
        </w:rPr>
        <w:t xml:space="preserve">. Съществуващата международна рамка за икономическо управление е подкопана. Ако това продължи, ще бъдат засегнати икономическите отношения и търговията, както и сигурността и стабилността, които приемаме за даденост. По тези причини подкрепата за ефективно многостранно сътрудничество, основано на правила, е геополитически интерес на ЕС от ключово значение. Следователно реформата на СТО трябва да се разглежда в по-широкия контекст на приоритетите на ЕС да се гарантира, че функциониращи световни институции подкрепят глобалното икономическо възстановяване, достойните работни места, устойчивото развитие и екологичния преход. ЕС следва да засили работата си, за да изгради съюзи в подкрепа на ефективни многостранни институции. Във връзка с това ще бъде засилен диалогът със САЩ, групата от Отава, африканските държави, Индия и Китай. </w:t>
      </w:r>
    </w:p>
    <w:p>
      <w:pPr>
        <w:spacing w:after="120"/>
        <w:jc w:val="both"/>
        <w:rPr>
          <w:noProof/>
        </w:rPr>
      </w:pPr>
      <w:r>
        <w:rPr>
          <w:noProof/>
          <w:lang w:val="en-GB" w:eastAsia="en-GB"/>
        </w:rPr>
        <w:drawing>
          <wp:anchor distT="0" distB="0" distL="114300" distR="114300" simplePos="0" relativeHeight="251658253" behindDoc="0" locked="0" layoutInCell="1" allowOverlap="1">
            <wp:simplePos x="0" y="0"/>
            <wp:positionH relativeFrom="column">
              <wp:posOffset>2795905</wp:posOffset>
            </wp:positionH>
            <wp:positionV relativeFrom="paragraph">
              <wp:posOffset>15240</wp:posOffset>
            </wp:positionV>
            <wp:extent cx="2967990" cy="2407920"/>
            <wp:effectExtent l="0" t="0" r="3810" b="1143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t xml:space="preserve">ЕС ще трябва да </w:t>
      </w:r>
      <w:r>
        <w:rPr>
          <w:b/>
          <w:noProof/>
        </w:rPr>
        <w:t>функционира при нов многополюсен световен ред, който се характеризира с нарастващо напрежение между основните участници.</w:t>
      </w:r>
      <w:r>
        <w:rPr>
          <w:noProof/>
        </w:rPr>
        <w:t xml:space="preserve"> ЕС следва да насърчава подходи за намаляване на напрежението и да търси решения на базата на осъвременена рамка, основана на правила. Същевременно ЕС трябва да се снабди с инструменти, за да може ако е необходимо, да функционира в по-враждебна международна среда. </w:t>
      </w:r>
    </w:p>
    <w:p>
      <w:pPr>
        <w:spacing w:after="120"/>
        <w:jc w:val="both"/>
        <w:rPr>
          <w:noProof/>
        </w:rPr>
      </w:pPr>
      <w:r>
        <w:rPr>
          <w:b/>
          <w:noProof/>
        </w:rPr>
        <w:t>Трансатлантическите отношения</w:t>
      </w:r>
      <w:r>
        <w:rPr>
          <w:noProof/>
        </w:rPr>
        <w:t xml:space="preserve"> представляват най-голямото и най-значимото от икономическа гледна точка партньорство в света. В самата им основа стоят общи интереси и ценности</w:t>
      </w:r>
      <w:r>
        <w:rPr>
          <w:rStyle w:val="FootnoteReference"/>
          <w:noProof/>
        </w:rPr>
        <w:footnoteReference w:id="21"/>
      </w:r>
      <w:r>
        <w:rPr>
          <w:noProof/>
        </w:rPr>
        <w:t>. Новата администрация на САЩ предоставя възможност за съвместна работа по реформата на СТО, включително чрез укрепване на капацитета ѝ за справяне с нарушения на конкуренцията и за допринасяне за устойчивото развитие. Тя също така предлага нови перспективи за тясно сътрудничество във връзка с екологичната и цифровата трансформация на нашите икономики. Поради това ЕС ще отдаде приоритет на укрепването на партньорството си със САЩ.</w:t>
      </w:r>
    </w:p>
    <w:p>
      <w:pPr>
        <w:spacing w:after="120"/>
        <w:jc w:val="both"/>
        <w:rPr>
          <w:noProof/>
        </w:rPr>
      </w:pPr>
      <w:r>
        <w:rPr>
          <w:b/>
          <w:noProof/>
        </w:rPr>
        <w:t>Търговските и инвестиционните отношения на ЕС с Китай</w:t>
      </w:r>
      <w:r>
        <w:rPr>
          <w:noProof/>
        </w:rPr>
        <w:t xml:space="preserve"> са важни и изпълнени с предизвикателства</w:t>
      </w:r>
      <w:r>
        <w:rPr>
          <w:rStyle w:val="FootnoteReference"/>
          <w:noProof/>
        </w:rPr>
        <w:footnoteReference w:id="22"/>
      </w:r>
      <w:r>
        <w:rPr>
          <w:noProof/>
        </w:rPr>
        <w:t xml:space="preserve">. Политиката на ЕС е основана на съчетание от активна ангажираност, както на двустранно, така и на многостранно равнище, и успоредно с това, разработване и прилагане на самостоятелни инструменти, които са необходими за защитата на основните интереси и ценности на ЕС, при стриктно спазване на международните ангажименти на ЕС. Изграждането на по-справедливи и основани на правила икономически отношения с Китай е приоритет. От основно значение за усилията на ЕС за възстановяване на баланса в двустранните търговски отношения ще бъде да се гарантира, че Китай поема по-големи задължения във връзка с международната търговия и успоредно с това, да се преодолее разпространяването на отрицателните последици, причинени от неговата икономическа система на държавен капитализъм. Скорошното приключване на политическите преговори по всеобхватно споразумение за инвестиции е част от тези усилия. Работата по неговото ратифициране ще изисква ясен ангажимент по отношение на ефективното изпълнение на споразумението, достъпа до пазара, еднаквите условия на конкуренция и устойчивото развитие. </w:t>
      </w:r>
    </w:p>
    <w:p>
      <w:pPr>
        <w:spacing w:after="120"/>
        <w:jc w:val="both"/>
        <w:rPr>
          <w:noProof/>
        </w:rPr>
      </w:pPr>
      <w:r>
        <w:rPr>
          <w:noProof/>
        </w:rPr>
        <w:t xml:space="preserve">От една по-широка стратегическа перспектива, за ЕС ще бъде важно да засили отношенията си с </w:t>
      </w:r>
      <w:r>
        <w:rPr>
          <w:b/>
          <w:noProof/>
        </w:rPr>
        <w:t>държавите в Европа и съседните ѝ държави</w:t>
      </w:r>
      <w:r>
        <w:rPr>
          <w:noProof/>
        </w:rPr>
        <w:t xml:space="preserve"> и да задълбочи ангажираността си с </w:t>
      </w:r>
      <w:r>
        <w:rPr>
          <w:b/>
          <w:noProof/>
        </w:rPr>
        <w:t>Африка и африканските държави</w:t>
      </w:r>
      <w:r>
        <w:rPr>
          <w:noProof/>
        </w:rPr>
        <w:t xml:space="preserve">. Двата континента имат множество културни, икономически и политически връзки. Стабилността и просперитетът в Африка са от решаващо значение за стабилността и просперитета на ЕС и трябва да бъдат подкрепяни чрез по-тясна икономическа интеграция на двата континента, която да стимулира екологичния и цифровия преход съвместно с Африка. </w:t>
      </w:r>
    </w:p>
    <w:p>
      <w:pPr>
        <w:spacing w:after="120"/>
        <w:jc w:val="both"/>
        <w:rPr>
          <w:noProof/>
        </w:rPr>
      </w:pPr>
      <w:r>
        <w:rPr>
          <w:noProof/>
        </w:rPr>
        <w:t xml:space="preserve">За да подпомогне постигането на своите геополитически амбиции в световен мащаб, ЕС ще трябва да диверсифицира отношенията си и да изгради съюзи със съмишленици, </w:t>
      </w:r>
      <w:r>
        <w:rPr>
          <w:b/>
          <w:noProof/>
        </w:rPr>
        <w:t>включително чрез широката си мрежа от търговски споразумения</w:t>
      </w:r>
      <w:r>
        <w:rPr>
          <w:noProof/>
        </w:rPr>
        <w:t xml:space="preserve">. Тази мрежа е от съществено значение при всяко настоящо и бъдещо споразумение за изграждане на отношенията ни с партньори. Споразуменията за свободна търговия (ССТ) на ЕС са </w:t>
      </w:r>
      <w:r>
        <w:rPr>
          <w:b/>
          <w:noProof/>
        </w:rPr>
        <w:t>платформи за засилено сътрудничество, с помощта на които осъществяваме интересите и ценностите си.</w:t>
      </w:r>
      <w:r>
        <w:rPr>
          <w:noProof/>
        </w:rPr>
        <w:t xml:space="preserve"> Те са основата на ангажирането с важни пазари и държави в цял свят, по-специално в региона на Азия и Тихоокеанския басейн, Латинска Америка и Карибския басейн.</w:t>
      </w: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rPr>
      </w:pPr>
      <w:r>
        <w:rPr>
          <w:rFonts w:ascii="Times New Roman" w:hAnsi="Times New Roman"/>
          <w:b/>
          <w:smallCaps/>
          <w:noProof/>
          <w:sz w:val="24"/>
          <w:szCs w:val="24"/>
        </w:rPr>
        <w:t>Ориентираност на търговската политика в средносрочен план</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Три основни цели на търговската политика в средносрочен план </w:t>
      </w:r>
    </w:p>
    <w:p>
      <w:pPr>
        <w:spacing w:after="120"/>
        <w:jc w:val="both"/>
        <w:rPr>
          <w:noProof/>
        </w:rPr>
      </w:pPr>
      <w:r>
        <w:rPr>
          <w:noProof/>
        </w:rPr>
        <w:t>Търговската политика на ЕС трябва да бъде съсредоточена върху три основни цели.</w:t>
      </w:r>
    </w:p>
    <w:p>
      <w:pPr>
        <w:spacing w:after="120"/>
        <w:jc w:val="both"/>
        <w:rPr>
          <w:i/>
          <w:noProof/>
        </w:rPr>
      </w:pPr>
      <w:r>
        <w:rPr>
          <w:i/>
          <w:noProof/>
        </w:rPr>
        <w:t>На първо място,</w:t>
      </w:r>
      <w:r>
        <w:rPr>
          <w:b/>
          <w:i/>
          <w:noProof/>
        </w:rPr>
        <w:t xml:space="preserve"> оказване на подкрепа за възстановяването и коренната трансформация на икономиката на ЕС в съответствие с неговите екологични и цифрови цели.</w:t>
      </w:r>
      <w:r>
        <w:rPr>
          <w:i/>
          <w:noProof/>
        </w:rPr>
        <w:t xml:space="preserve"> </w:t>
      </w:r>
    </w:p>
    <w:p>
      <w:pPr>
        <w:spacing w:after="120"/>
        <w:jc w:val="both"/>
        <w:rPr>
          <w:noProof/>
        </w:rPr>
      </w:pPr>
      <w:r>
        <w:rPr>
          <w:noProof/>
        </w:rPr>
        <w:t>В контекста на усилията за възстановяване търговската политика на ЕС следва да продължи да изпълнява основната си функция на улесняване на обмена на стоки и услуги по начин, чрез който се създават възможности и икономическо благосъстояние. Акцентът трябва да бъде върху ползите за гражданите, работещите и предприятията. Същевременно с търговската политика на ЕС следва да се спомогне за преобразуването на икономиката на ЕС в съответствие с екологичния и цифровия преход. С нея следва недвусмислено да се подкрепи Зеленият пакт във всичките му измерения, включително амбицията за постигане на неутралност по отношение на климата до 2050 г. В същото време дългосрочната конкурентоспособност, просперитетът и позицията на ЕС на световната сцена ще зависят от неговата способност да поеме по пътя на цифровата трансформация и да се възползва от нея. Поради това екологичният и цифровият преход следва да бъде ключов приоритет за многостранната и двустранната търговска политика. За да може ЕС да запази и засили своето влияние при оформянето на необходимите в това отношение правила, той трябва да разработи по-стратегически подход към международното регулаторно сътрудничество. За това се изисква по-тясно интегриране на политиките между търговската политика и вътрешната политика на ЕС.</w:t>
      </w:r>
    </w:p>
    <w:p>
      <w:pPr>
        <w:spacing w:after="120"/>
        <w:jc w:val="both"/>
        <w:rPr>
          <w:b/>
          <w:i/>
          <w:noProof/>
        </w:rPr>
      </w:pPr>
      <w:r>
        <w:rPr>
          <w:i/>
          <w:noProof/>
        </w:rPr>
        <w:t xml:space="preserve">На второ място, </w:t>
      </w:r>
      <w:r>
        <w:rPr>
          <w:b/>
          <w:i/>
          <w:noProof/>
        </w:rPr>
        <w:t>оформяне на световни правила за по-устойчива и по-справедлива глобализация.</w:t>
      </w:r>
    </w:p>
    <w:p>
      <w:pPr>
        <w:spacing w:after="120"/>
        <w:jc w:val="both"/>
        <w:rPr>
          <w:noProof/>
        </w:rPr>
      </w:pPr>
      <w:r>
        <w:rPr>
          <w:noProof/>
        </w:rPr>
        <w:t xml:space="preserve">Световните търговски правила спешно се нуждаят от актуализиране, за да отразят днешната икономическа среда и предизвикателствата, пред които е изправена световната общност. Постигането на по-устойчива и по-справедлива глобализация следва да бъде основната движеща сила на търговската политика, с помощта на която се отговаря на очакванията на европейците и останалите хора по света. В рамките на търговската политика на ЕС следва да се използват всички налични инструменти, за да се подкрепят социалната справедливост и екологичната устойчивост. </w:t>
      </w:r>
    </w:p>
    <w:p>
      <w:pPr>
        <w:spacing w:after="120"/>
        <w:jc w:val="both"/>
        <w:rPr>
          <w:noProof/>
        </w:rPr>
      </w:pPr>
      <w:r>
        <w:rPr>
          <w:noProof/>
        </w:rPr>
        <w:t xml:space="preserve">Оглавяването на усилията за реформа на Световната търговска организация и подобряването на ефективността на многостранната рамка за управление на търговията следва да бъдат ключов приоритет за ЕС, за да постигне тази цел. Укрепването на стабилността и основаната на правила търговия ще бъде основният стълб на действията на ЕС, тъй като само в такава среда търговията може да процъфти и международното сътрудничество може да се развие в интерес на едно устойчиво бъдеще в световен план. В същото време е необходимо да се гарантира, че правилата отговарят на настоящата икономическа действителност и са добре пригодени за реагиране на нарушения на конкуренцията и за осигуряване на еднакви условия на конкуренция. </w:t>
      </w:r>
    </w:p>
    <w:p>
      <w:pPr>
        <w:spacing w:after="120"/>
        <w:jc w:val="both"/>
        <w:rPr>
          <w:i/>
          <w:noProof/>
        </w:rPr>
      </w:pPr>
      <w:r>
        <w:rPr>
          <w:i/>
          <w:noProof/>
        </w:rPr>
        <w:t xml:space="preserve">На трето място, </w:t>
      </w:r>
      <w:r>
        <w:rPr>
          <w:b/>
          <w:i/>
          <w:noProof/>
        </w:rPr>
        <w:t>увеличаване на капацитета на ЕС да преследва интересите си и да прилага правата си, включително самостоятелно, когато това е необходимо.</w:t>
      </w:r>
      <w:r>
        <w:rPr>
          <w:i/>
          <w:noProof/>
        </w:rPr>
        <w:t xml:space="preserve"> </w:t>
      </w:r>
    </w:p>
    <w:p>
      <w:pPr>
        <w:spacing w:after="120"/>
        <w:jc w:val="both"/>
        <w:rPr>
          <w:noProof/>
        </w:rPr>
      </w:pPr>
      <w:r>
        <w:rPr>
          <w:noProof/>
        </w:rPr>
        <w:t>Договарянето на търговски споразумения е важен инструмент за създаване на икономически възможности и насърчаване на устойчивостта; изпълнението на тези споразумения и прилагането на съдържащите се в тях права и задължения ще бъде още по-важно. Това ще включва гарантиране, че ЕС разполага с правилните инструменти, за да защитава работещите и предприятията от нелоялни практики. Това предполага и по-големи усилия за гарантиране на ефективното изпълнение и прилагане на главите за устойчивото развитие, предвидени в търговските споразумения на ЕС, и за изравняване на социалните, трудовите и екологичните стандарти в световен мащаб. С укрепването на изпълнението и прилагането на споразуменията на ЕС, чрез търговската политика на ЕС се създават условия предприятията да се развиват, да се разрастват и да правят нововъведения, както и да осигуряват висококачествени работни места в Европа и извън нея. Фактът, че ЕС подкрепя многостранното сътрудничество и е отворен за сътрудничество, не противоречи на това, че той е готов да действа решително, когато защитава интересите и прилага правата си. ЕС следва да укрепи своя инструментариум, доколкото е необходимо, за да се защити от нелоялни търговски практики или други враждебни действия, докато работи в съответствие със своите международни ангажименти.</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Шест области, които са от решаващо значение за постигането на целите на ЕС в средносрочен план </w:t>
      </w:r>
    </w:p>
    <w:p>
      <w:pPr>
        <w:spacing w:after="120"/>
        <w:jc w:val="both"/>
        <w:rPr>
          <w:noProof/>
        </w:rPr>
      </w:pPr>
      <w:r>
        <w:rPr>
          <w:noProof/>
        </w:rPr>
        <w:t xml:space="preserve">За да постигне трите цели, изложени по-горе, Комисията ще се съсредоточи върху </w:t>
      </w:r>
      <w:r>
        <w:rPr>
          <w:b/>
          <w:noProof/>
        </w:rPr>
        <w:t>шест области.</w:t>
      </w:r>
      <w:r>
        <w:rPr>
          <w:noProof/>
        </w:rPr>
        <w:t xml:space="preserve"> За всяка от тези области под съответните точки по-долу са уточнени някои основни действия, които трябва да бъдат изпълнени в рамките на настоящия мандат на Комисията.</w:t>
      </w:r>
    </w:p>
    <w:p>
      <w:pPr>
        <w:spacing w:after="120"/>
        <w:jc w:val="both"/>
        <w:rPr>
          <w:noProof/>
        </w:rPr>
      </w:pPr>
      <w:r>
        <w:rPr>
          <w:noProof/>
          <w:lang w:val="en-GB" w:eastAsia="en-GB"/>
        </w:rPr>
        <w:drawing>
          <wp:inline distT="0" distB="0" distL="0" distR="0">
            <wp:extent cx="5676900" cy="3124863"/>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pPr>
        <w:pStyle w:val="ListParagraph"/>
        <w:spacing w:after="120" w:line="240" w:lineRule="auto"/>
        <w:ind w:left="1224"/>
        <w:contextualSpacing w:val="0"/>
        <w:jc w:val="both"/>
        <w:rPr>
          <w:rFonts w:ascii="Times New Roman" w:hAnsi="Times New Roman" w:cs="Times New Roman"/>
          <w:i/>
          <w:noProof/>
          <w:sz w:val="24"/>
          <w:szCs w:val="24"/>
          <w:highlight w:val="yellow"/>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 Реформиране на СТО </w:t>
      </w:r>
    </w:p>
    <w:p>
      <w:pPr>
        <w:spacing w:after="120"/>
        <w:jc w:val="both"/>
        <w:rPr>
          <w:noProof/>
        </w:rPr>
      </w:pPr>
      <w:r>
        <w:rPr>
          <w:noProof/>
        </w:rPr>
        <w:t xml:space="preserve">От създаването си през 1995 г. насам СТО носи огромни ползи за своите членове. Тя е осигурила стабилна и предвидима търговска среда, която позволява сериозно разширяване на търговията в световен мащаб, като същевременно предоставя рамка за уреждане на търговски спорове посредством постановяване на решения. Понастоящем обаче СТО е изправена пред криза, вследствие на която не може да постига резултати при преговорите, чрез които да се разрешават предизвикателствата пред световната търговия. Нейната функция да разрешава търговски спорове не работи и системата ѝ за наблюдение трябва да бъде подобрена, за да се осигури прозрачност или да се предотврати появата на пречки пред търговията. </w:t>
      </w:r>
    </w:p>
    <w:p>
      <w:pPr>
        <w:spacing w:after="120"/>
        <w:jc w:val="both"/>
        <w:rPr>
          <w:noProof/>
        </w:rPr>
      </w:pPr>
      <w:r>
        <w:rPr>
          <w:noProof/>
        </w:rPr>
        <w:t xml:space="preserve">Комисията възнамерява да </w:t>
      </w:r>
      <w:r>
        <w:rPr>
          <w:b/>
          <w:noProof/>
        </w:rPr>
        <w:t>осъществи реформа на всички функции на СТО</w:t>
      </w:r>
      <w:r>
        <w:rPr>
          <w:noProof/>
        </w:rPr>
        <w:t>.</w:t>
      </w:r>
    </w:p>
    <w:p>
      <w:pPr>
        <w:spacing w:after="120"/>
        <w:jc w:val="both"/>
        <w:rPr>
          <w:noProof/>
        </w:rPr>
      </w:pPr>
      <w:r>
        <w:rPr>
          <w:noProof/>
        </w:rPr>
        <w:t>Правилата и практиките на СТО трябва да бъдат актуализирани и подобрени, за да отразяват днешната реалност в областта на търговията. Това следва да се направи въз основа на общите цели, споделяни от нейните членове: икономическо възстановяване и развитие и екологична и социална устойчивост. Осъвременяването на правилата и подобряването на функционирането на СТО — включително чрез плурилатерални споразумения от отворен тип — е от решаващо значение за справяне с изкривяването на конкуренцията и осигуряването на съгласувана рамка за цифрова и устойчива търговия.</w:t>
      </w:r>
    </w:p>
    <w:p>
      <w:pPr>
        <w:spacing w:after="120"/>
        <w:jc w:val="both"/>
        <w:rPr>
          <w:noProof/>
        </w:rPr>
      </w:pPr>
      <w:r>
        <w:rPr>
          <w:noProof/>
        </w:rPr>
        <w:t>Тъй като надеждността на основаната на правила система до голяма степен зависи от независима и общопризната система за уреждане на търговски спорове чрез постановяване на решения, възстановяването на системата за уреждане на спорове е жизненоважно.</w:t>
      </w:r>
    </w:p>
    <w:p>
      <w:pPr>
        <w:spacing w:after="120"/>
        <w:jc w:val="both"/>
        <w:rPr>
          <w:noProof/>
        </w:rPr>
      </w:pPr>
      <w:r>
        <w:rPr>
          <w:noProof/>
        </w:rPr>
        <w:t xml:space="preserve">В приложение I „Реформиране на СТО: постигане на устойчива и ефективна многостранна търговска система“ са изложени вижданията на ЕС относно приоритетите за реформата на СТО. </w:t>
      </w:r>
    </w:p>
    <w:p>
      <w:pPr>
        <w:spacing w:after="120"/>
        <w:jc w:val="both"/>
        <w:rPr>
          <w:noProof/>
        </w:rPr>
      </w:pPr>
      <w:r>
        <w:rPr>
          <w:noProof/>
        </w:rPr>
        <w:t xml:space="preserve">Комисията ще настоява за многостранна реформа и на други форуми, например относно създаването на многостранен съд за инвестиционни спорове в рамките на Комисията на ООН по международно търговско право. </w:t>
      </w:r>
    </w:p>
    <w:tbl>
      <w:tblPr>
        <w:tblStyle w:val="TableGrid"/>
        <w:tblW w:w="0" w:type="auto"/>
        <w:shd w:val="clear" w:color="auto" w:fill="D9D9D9" w:themeFill="background1" w:themeFillShade="D9"/>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rPr>
                <w:rFonts w:ascii="Times New Roman" w:hAnsi="Times New Roman" w:cs="Times New Roman"/>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ще се стреми да приеме първи набор от реформи на СТО</w:t>
            </w:r>
            <w:r>
              <w:rPr>
                <w:rFonts w:ascii="Times New Roman" w:hAnsi="Times New Roman"/>
                <w:noProof/>
                <w:sz w:val="24"/>
                <w:szCs w:val="24"/>
              </w:rPr>
              <w:t xml:space="preserve">, насочени към увеличаване на приноса на СТО за устойчивото развитие, и ще започне преговори за подсилени правила за избягване на изкривяването на конкуренцията поради държавна намеса. Тя ще отдаде приоритет на насърчаването на </w:t>
            </w:r>
            <w:r>
              <w:rPr>
                <w:rFonts w:ascii="Times New Roman" w:hAnsi="Times New Roman"/>
                <w:b/>
                <w:noProof/>
                <w:sz w:val="24"/>
                <w:szCs w:val="24"/>
              </w:rPr>
              <w:t>трансатлантическото сътрудничество</w:t>
            </w:r>
            <w:r>
              <w:rPr>
                <w:rFonts w:ascii="Times New Roman" w:hAnsi="Times New Roman"/>
                <w:noProof/>
                <w:sz w:val="24"/>
                <w:szCs w:val="24"/>
              </w:rPr>
              <w:t xml:space="preserve"> във връзка с реформата на СТО;</w:t>
            </w:r>
          </w:p>
          <w:p>
            <w:pPr>
              <w:pStyle w:val="ListParagraph"/>
              <w:numPr>
                <w:ilvl w:val="0"/>
                <w:numId w:val="4"/>
              </w:numPr>
              <w:spacing w:after="120" w:line="240" w:lineRule="auto"/>
              <w:jc w:val="both"/>
              <w:rPr>
                <w:rFonts w:ascii="Times New Roman" w:hAnsi="Times New Roman" w:cs="Times New Roman"/>
                <w:noProof/>
              </w:rPr>
            </w:pPr>
            <w:r>
              <w:rPr>
                <w:rFonts w:ascii="Times New Roman" w:hAnsi="Times New Roman"/>
                <w:noProof/>
                <w:sz w:val="24"/>
                <w:szCs w:val="24"/>
              </w:rPr>
              <w:t xml:space="preserve">ще работи по </w:t>
            </w:r>
            <w:r>
              <w:rPr>
                <w:rFonts w:ascii="Times New Roman" w:hAnsi="Times New Roman"/>
                <w:b/>
                <w:noProof/>
                <w:sz w:val="24"/>
                <w:szCs w:val="24"/>
              </w:rPr>
              <w:t>възстановяването на напълно функционираща система на СТО за уреждане на спорове</w:t>
            </w:r>
            <w:r>
              <w:rPr>
                <w:rFonts w:ascii="Times New Roman" w:hAnsi="Times New Roman"/>
                <w:noProof/>
                <w:sz w:val="24"/>
                <w:szCs w:val="24"/>
              </w:rPr>
              <w:t xml:space="preserve"> с реформиран Апелативен орган.</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i/>
          <w:noProof/>
          <w:sz w:val="24"/>
          <w:szCs w:val="24"/>
        </w:rPr>
        <w:t xml:space="preserve"> Подкрепяне на екологичния преход и насърчаване на отговорни и устойчиви вериги за създаване на стойност</w:t>
      </w:r>
    </w:p>
    <w:p>
      <w:pPr>
        <w:spacing w:after="120"/>
        <w:jc w:val="both"/>
        <w:rPr>
          <w:noProof/>
        </w:rPr>
      </w:pPr>
      <w:r>
        <w:rPr>
          <w:noProof/>
        </w:rPr>
        <w:t xml:space="preserve">Както е отразено в Европейския зелен пакт, борбата с </w:t>
      </w:r>
      <w:r>
        <w:rPr>
          <w:b/>
          <w:noProof/>
        </w:rPr>
        <w:t>изменението на климата и влошаването на състоянието на околната среда e основният приоритет на ЕС.</w:t>
      </w:r>
      <w:r>
        <w:rPr>
          <w:noProof/>
        </w:rPr>
        <w:t xml:space="preserve"> Всички политики на ЕС трябва да дадат принос, но напредъкът ще зависи от световните партньори и от големите източници на емисии и замърсители, които са готови да увеличат своето равнище на амбиция. Търговската политика ще има важна подкрепяща роля.</w:t>
      </w:r>
    </w:p>
    <w:p>
      <w:pPr>
        <w:spacing w:after="120"/>
        <w:jc w:val="both"/>
        <w:rPr>
          <w:noProof/>
        </w:rPr>
      </w:pPr>
      <w:r>
        <w:rPr>
          <w:noProof/>
        </w:rPr>
        <w:t>Стремежът на Комисията за следващото десетилетие е да се гарантира, че търговските инструменти придружават и подкрепят световния преход към неутрална по отношение на климата икономика, включително чрез ускоряване на инвестициите в чиста енергия, и насърчават вериги за създаване на стойност, които са кръгови, отговорни и устойчиви. Това включва насърчаване на отговорно професионално поведение и зачитане на екологичните стандарти, правата на човека и трудовите стандарти.</w:t>
      </w:r>
      <w:r>
        <w:rPr>
          <w:b/>
          <w:noProof/>
        </w:rPr>
        <w:t xml:space="preserve"> </w:t>
      </w:r>
      <w:r>
        <w:rPr>
          <w:noProof/>
        </w:rPr>
        <w:t xml:space="preserve">Същевременно това означава създаване на условия и възможности за устойчиви продукти и услуги. </w:t>
      </w:r>
    </w:p>
    <w:p>
      <w:pPr>
        <w:spacing w:after="120"/>
        <w:jc w:val="both"/>
        <w:rPr>
          <w:noProof/>
        </w:rPr>
      </w:pPr>
      <w:r>
        <w:rPr>
          <w:noProof/>
        </w:rPr>
        <w:t>За превръщането на тази визия в реалност ще са необходими действия на всички равнища</w:t>
      </w:r>
      <w:r>
        <w:rPr>
          <w:b/>
          <w:noProof/>
        </w:rPr>
        <w:t xml:space="preserve"> — многостранно, двустранно и самостоятелно</w:t>
      </w:r>
      <w:r>
        <w:rPr>
          <w:noProof/>
        </w:rPr>
        <w:t xml:space="preserve">. </w:t>
      </w:r>
    </w:p>
    <w:p>
      <w:pPr>
        <w:spacing w:after="120"/>
        <w:jc w:val="both"/>
        <w:rPr>
          <w:noProof/>
        </w:rPr>
      </w:pPr>
      <w:r>
        <w:rPr>
          <w:noProof/>
        </w:rPr>
        <w:t xml:space="preserve">Ще бъде необходима </w:t>
      </w:r>
      <w:r>
        <w:rPr>
          <w:b/>
          <w:bCs/>
          <w:noProof/>
        </w:rPr>
        <w:t>подобрена многостранна рамка</w:t>
      </w:r>
      <w:r>
        <w:rPr>
          <w:noProof/>
        </w:rPr>
        <w:t>, която да бъде в основата на екологичния преход към неутрална по отношение на климата, екологосъобразна и гъвкава икономика. ЕС ще се ангажира с единомислещи държави, за да постигне амбициозни екологични цели в рамките на СТО. Като част от това усилие ЕС ще предприеме допълнителни инициативи и действия, с които свързаните с климата и устойчивостта съображения се насърчават чрез различните функции на СТО, включително инициатива относно търговията и климата. Тези инициативи ще включват либерализация по отношение на избрани стоки и услуги, прозрачност и екологизиране на подпомагането на търговията. Това следва да включва и поетапното разработване на правила относно субсидиите за изкопаеми горива. ЕС ще насърчава и обсъжданията в рамките на СТО на това как търговията може да подкрепи достойния труд и социалната справедливост.</w:t>
      </w:r>
    </w:p>
    <w:p>
      <w:pPr>
        <w:spacing w:after="120"/>
        <w:jc w:val="both"/>
        <w:rPr>
          <w:noProof/>
        </w:rPr>
      </w:pPr>
      <w:r>
        <w:rPr>
          <w:noProof/>
        </w:rPr>
        <w:t xml:space="preserve">Широката </w:t>
      </w:r>
      <w:r>
        <w:rPr>
          <w:b/>
          <w:noProof/>
        </w:rPr>
        <w:t>мрежа на ЕС от двустранни търговски споразумения</w:t>
      </w:r>
      <w:r>
        <w:rPr>
          <w:noProof/>
        </w:rPr>
        <w:t xml:space="preserve"> улеснява търговията с екологични технологии, стоки, услуги и инвестиции. Освен че води до амбициозни глави относно търговията и устойчивото развитие, свързаното с устойчивостта измерение ще продължи да бъде отразено в много други аспекти на търговските и инвестиционните споразумения на ЕС. Споразуменията подкрепят разпространението на чисти и по-ефективни методи и технологии за производство и създават възможности за достъп до пазара на екологични стоки и услуги. Те спомагат за осигуряването на достъп до пазарите на трети държави за нашата промишленост за възобновяема енергия и гарантирането на незасегнати от изкривявания търговия и инвестиции в областта на суровините и енергийните стоки, които се изискват за обезпечаването на необходимите доставки в подкрепа на прехода към неутрални по отношение на климата икономики. В допълнение с тях се осигурява важна платформа за сътрудничество с нашите партньори в областта на изменението на климата, биологичното разнообразие, кръговата икономика, замърсяването, технологиите за чиста енергия, в т.ч. възобновяема енергия и енергийна ефективност, както и на прехода към устойчиви продоволствени системи. По отношение на бъдещите търговски споразумения Комисията ще предложи глава относно устойчивите продоволствени системи. ЕС ще предложи спазването на Парижкото споразумение да се счита за основен елемент на бъдещите търговски споразумения. В допълнение сключването на търговски и инвестиционни споразумения с държави от Г-20 следва да се основава на обща амбиция за възможно най-бързо постигане на неутралност по отношение на климата и да бъде в съответствие с препоръките на Междуправителствения комитет по изменение на климата (МКИК). Тази амбиция следва също така да бъде правилно отразена в национално определения принос (НОП), представян съгласно Парижкото споразумение. ЕС също така ще даде приоритет на ефективното изпълнение на Конвенцията за биологичното разнообразие в търговските и инвестиционните споразумения.</w:t>
      </w:r>
    </w:p>
    <w:p>
      <w:pPr>
        <w:spacing w:after="120"/>
        <w:jc w:val="both"/>
        <w:rPr>
          <w:noProof/>
        </w:rPr>
      </w:pPr>
      <w:r>
        <w:rPr>
          <w:noProof/>
        </w:rPr>
        <w:t xml:space="preserve">Търговските и инвестиционните споразумения на ЕС, както и Общата система за преференции (ОСП), също са изиграли важна роля за </w:t>
      </w:r>
      <w:r>
        <w:rPr>
          <w:b/>
          <w:noProof/>
        </w:rPr>
        <w:t>насърчаването на зачитането на основните права на човека и трудови права</w:t>
      </w:r>
      <w:r>
        <w:rPr>
          <w:noProof/>
        </w:rPr>
        <w:t>, както е отразено в основополагащите конвенции на ООН и на Международната организация на труда (МОТ). Специален приоритет ще бъде отдаден на изпълнението на тези ангажименти, включително на борбата срещу детския труд като част от по-широките действия на Комисията за гарантиране на нулева толерантност към детския труд. Една от ключовите задачи на предстоящия преглед на Общата система за преференции (ОСП) ще бъде да се увеличат допълнително възможностите за търговия за развиващите се държави с цел намаляване на бедността и създаване на работни места, основани на международни ценности и принципи, като например трудовите права и правата на човека.</w:t>
      </w:r>
    </w:p>
    <w:p>
      <w:pPr>
        <w:spacing w:after="120"/>
        <w:jc w:val="both"/>
        <w:rPr>
          <w:noProof/>
        </w:rPr>
      </w:pPr>
      <w:r>
        <w:rPr>
          <w:noProof/>
        </w:rPr>
        <w:t xml:space="preserve">Комисията ще засили допълнително измерението за устойчивост на съществуващите и бъдещите споразумения при изпълнението на всички глави. Тя ще укрепи </w:t>
      </w:r>
      <w:r>
        <w:rPr>
          <w:b/>
          <w:noProof/>
        </w:rPr>
        <w:t>прилагането на ангажиментите за търговия и устойчиво развитие</w:t>
      </w:r>
      <w:r>
        <w:rPr>
          <w:noProof/>
        </w:rPr>
        <w:t xml:space="preserve"> въз основа на жалбите, подадени до главния служител по правоприлагането в областта на търговията. Ще бъдат обмислени допълнителни действия в контекста на преглед на ранен етап през 2021 г. на плана за действие от 15 точки относно ефективното изпълнение и прилагане на главите за търговията и устойчивото развитие (ТУР) в търговските споразумения. Прегледът ще обхване всички съответни аспекти на прилагането и изпълнението по отношение на ТУР, включително обхвата на задълженията, механизмите за наблюдение, възможността за санкции за неспазване, клаузата за основните елементи, както и институционалната структура и необходимите ресурси.</w:t>
      </w:r>
    </w:p>
    <w:p>
      <w:pPr>
        <w:spacing w:after="120"/>
        <w:jc w:val="both"/>
        <w:rPr>
          <w:noProof/>
        </w:rPr>
      </w:pPr>
      <w:r>
        <w:rPr>
          <w:noProof/>
        </w:rPr>
        <w:t xml:space="preserve">В допълнение </w:t>
      </w:r>
      <w:r>
        <w:rPr>
          <w:b/>
          <w:noProof/>
        </w:rPr>
        <w:t>самостоятелните мерки</w:t>
      </w:r>
      <w:r>
        <w:rPr>
          <w:noProof/>
        </w:rPr>
        <w:t xml:space="preserve"> подкрепят целта, за да се гарантира, че търговията е устойчива, отговорна и съгласувана с нашите общи цели и ценности. Пример за това е Механизмът за корекция на въглеродните емисии на границите. Понастоящем Комисията работи по предложение за механизъм за корекция на въглеродните емисии на границите, за да избегне подкопаването на ефективността на нейните политики в областта на климата чрез изместване на въглеродни емисии. Друг пример е намерението на Комисията да предложи законодателство за справяне с обезлесяването и влошаването на състоянието на горите. Предложението на Комисията относно устойчиво управление на предприятията, включващо задължителна надлежна проверка на екологичните права, правата на човека и трудовите права, ще бъде важен елемент за гарантирането, че веригите на доставки са устойчиви и отговорни. В зависимост от оценката на въздействието това ще включва ефективни механизми за действие и правоприлагане, за да се гарантира, че принудителният труд не намира място във веригите за създаване на стойност на предприятията от ЕС. </w:t>
      </w:r>
    </w:p>
    <w:p>
      <w:pPr>
        <w:spacing w:after="120"/>
        <w:jc w:val="both"/>
        <w:rPr>
          <w:noProof/>
        </w:rPr>
      </w:pPr>
      <w:r>
        <w:rPr>
          <w:noProof/>
        </w:rPr>
        <w:t>Новият глобален режим за санкции в областта на правата на човека също ще играе роля за гарантиране на спазването на правата на човека. С помощта на този режим ЕС се снабди с рамка, която ще му позволи да се насочи към санкциониране на физически лица, образувания и органи — включително държавни и недържавни участници — които носят отговорност, участват или са свързани със сериозни нарушения и погазване на правата на човека по света</w:t>
      </w:r>
      <w:r>
        <w:rPr>
          <w:rStyle w:val="FootnoteReference"/>
          <w:noProof/>
        </w:rPr>
        <w:footnoteReference w:id="23"/>
      </w:r>
      <w:r>
        <w:rPr>
          <w:noProof/>
        </w:rPr>
        <w:t xml:space="preserve">. </w:t>
      </w:r>
    </w:p>
    <w:p>
      <w:pPr>
        <w:spacing w:after="120"/>
        <w:jc w:val="both"/>
        <w:rPr>
          <w:noProof/>
        </w:rPr>
      </w:pPr>
      <w:r>
        <w:rPr>
          <w:noProof/>
        </w:rPr>
        <w:t>Вносът трябва да отговаря на съответните разпоредби и стандарти на ЕС. Както показват примерите по-горе, при определени установени с правилата на СТО обстоятелства е подходящо ЕС да изисква внасяните продукти да съответстват на определени изисквания за производство. Правилата на световната търговия имат за цел да се осигури предвидима и недискриминационна рамка за търговия, като същевременно се защитава правото на всяка държава на регламентиране в съответствие с предпочитанията на нейното общество. Законосъобразността на прилагането на изисквания за производство към вноса се основава на необходимостта от опазване на околната среда като цяло или от справяне с проблеми от етично естество. Когато ЕС реши да приложи такива мерки по отношение на внасяни продукти, това ще се извърши при стриктно спазване на правилата на СТО, по-специално на принципа за недопускане на дискриминация и принципа на пропорционалност, с цел избягване на излишно нарушаване на търговията.</w:t>
      </w:r>
    </w:p>
    <w:p>
      <w:pPr>
        <w:spacing w:after="120"/>
        <w:jc w:val="both"/>
        <w:rPr>
          <w:noProof/>
        </w:rPr>
      </w:pPr>
      <w:r>
        <w:rPr>
          <w:noProof/>
        </w:rPr>
        <w:t xml:space="preserve">Комисията ще започне работа по разработването на стандарти за устойчив растеж и ще оформи международни стандарти в съответствие с Европейския зелен пакт, като същевременно се ангажира с партньорите си, за да разработи и приложи правила, които са също толкова амбициозни.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jc w:val="both"/>
              <w:rPr>
                <w:rFonts w:ascii="Times New Roman" w:hAnsi="Times New Roman" w:cs="Times New Roman"/>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предприеме допълнителни инициативи и действия, </w:t>
            </w:r>
            <w:r>
              <w:rPr>
                <w:rFonts w:ascii="Times New Roman" w:hAnsi="Times New Roman"/>
                <w:b/>
                <w:noProof/>
                <w:sz w:val="24"/>
                <w:szCs w:val="24"/>
              </w:rPr>
              <w:t>с които се насърчават съображенията, свързани с климата и устойчивостта, в рамките на СТО;</w:t>
            </w:r>
            <w:r>
              <w:rPr>
                <w:rFonts w:ascii="Times New Roman" w:hAnsi="Times New Roman"/>
                <w:noProof/>
                <w:sz w:val="24"/>
                <w:szCs w:val="24"/>
              </w:rPr>
              <w:t xml:space="preserve">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ще се стреми партньорите от Г-20 да поемат ангажименти</w:t>
            </w:r>
            <w:r>
              <w:rPr>
                <w:rFonts w:ascii="Times New Roman" w:hAnsi="Times New Roman"/>
                <w:noProof/>
                <w:sz w:val="24"/>
                <w:szCs w:val="24"/>
              </w:rPr>
              <w:t xml:space="preserve"> относно неутралността по отношение на климата, ще засили сътрудничеството по други </w:t>
            </w:r>
            <w:r>
              <w:rPr>
                <w:rFonts w:ascii="Times New Roman" w:hAnsi="Times New Roman"/>
                <w:b/>
                <w:bCs/>
                <w:noProof/>
                <w:sz w:val="24"/>
                <w:szCs w:val="24"/>
              </w:rPr>
              <w:t>аспекти на Зеления пакт, като биологичното разнообразие, политиката за устойчиви продоволствени системи, замърсяването и кръговата икономика</w:t>
            </w:r>
            <w:r>
              <w:rPr>
                <w:rFonts w:ascii="Times New Roman" w:hAnsi="Times New Roman"/>
                <w:noProof/>
                <w:sz w:val="24"/>
                <w:szCs w:val="24"/>
              </w:rPr>
              <w:t xml:space="preserve">, и ще предложи спазването на </w:t>
            </w:r>
            <w:r>
              <w:rPr>
                <w:rFonts w:ascii="Times New Roman" w:hAnsi="Times New Roman"/>
                <w:b/>
                <w:bCs/>
                <w:noProof/>
                <w:sz w:val="24"/>
                <w:szCs w:val="24"/>
              </w:rPr>
              <w:t>Парижкото споразумение да присъства като съществен елемент във всички бъдещи споразумения</w:t>
            </w:r>
            <w:r>
              <w:rPr>
                <w:rFonts w:ascii="Times New Roman" w:hAnsi="Times New Roman"/>
                <w:noProof/>
                <w:sz w:val="24"/>
                <w:szCs w:val="24"/>
              </w:rPr>
              <w:t>;</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подобри ефективното изпълнение и прилагане на главите за устойчивото развитие в търговските споразумения чрез </w:t>
            </w:r>
            <w:r>
              <w:rPr>
                <w:rFonts w:ascii="Times New Roman" w:hAnsi="Times New Roman"/>
                <w:b/>
                <w:noProof/>
                <w:sz w:val="24"/>
                <w:szCs w:val="24"/>
              </w:rPr>
              <w:t>прегледа на ранен етап през 2021 г.</w:t>
            </w:r>
            <w:r>
              <w:rPr>
                <w:rFonts w:ascii="Times New Roman" w:hAnsi="Times New Roman"/>
                <w:noProof/>
                <w:sz w:val="24"/>
                <w:szCs w:val="24"/>
              </w:rPr>
              <w:t xml:space="preserve"> на </w:t>
            </w:r>
            <w:r>
              <w:rPr>
                <w:rFonts w:ascii="Times New Roman" w:hAnsi="Times New Roman"/>
                <w:b/>
                <w:noProof/>
                <w:sz w:val="24"/>
                <w:szCs w:val="24"/>
              </w:rPr>
              <w:t>плана за действие от 15 точки</w:t>
            </w:r>
            <w:r>
              <w:rPr>
                <w:rFonts w:ascii="Times New Roman" w:hAnsi="Times New Roman"/>
                <w:noProof/>
                <w:sz w:val="24"/>
                <w:szCs w:val="24"/>
              </w:rPr>
              <w:t xml:space="preserve">. Резултатите от прегледа ще бъдат включени в текущите и бъдещите преговори;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ще насърчава устойчивите и отговорни вериги за създаване на стойност</w:t>
            </w:r>
            <w:r>
              <w:rPr>
                <w:rFonts w:ascii="Times New Roman" w:hAnsi="Times New Roman"/>
                <w:noProof/>
                <w:sz w:val="24"/>
                <w:szCs w:val="24"/>
              </w:rPr>
              <w:t xml:space="preserve">, като предложи задължителна надлежна проверка, включваща ефективни действия и механизми за правоприлагане, за да се гарантира, че принудителният труд няма място във веригите за създаване на стойност на предприятията в ЕС. До приемането на задължителни разпоредби Комисията ще предостави насоки за оказване на съдействие на предприятията от ЕС да предприемат още днес подходящи мерки в съответствие с международните насоки и принципи за надлежна проверка. </w:t>
            </w:r>
          </w:p>
        </w:tc>
      </w:tr>
    </w:tbl>
    <w:p>
      <w:pPr>
        <w:spacing w:after="120"/>
        <w:jc w:val="both"/>
        <w:rPr>
          <w:noProof/>
        </w:rPr>
      </w:pPr>
    </w:p>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Подкрепяне на цифровия преход и търговията с услуги</w:t>
      </w:r>
    </w:p>
    <w:p>
      <w:pPr>
        <w:spacing w:after="120"/>
        <w:jc w:val="both"/>
        <w:rPr>
          <w:noProof/>
        </w:rPr>
      </w:pPr>
      <w:r>
        <w:rPr>
          <w:noProof/>
        </w:rPr>
        <w:t xml:space="preserve">Търговската политика на ЕС трябва да спомогне за създаването на среда, в която доставчиците на услуги от ЕС могат да правят нововъведения и да се разрастват. Като приоритет </w:t>
      </w:r>
      <w:r>
        <w:rPr>
          <w:b/>
          <w:noProof/>
        </w:rPr>
        <w:t>е необходимо да бъде актуализирана глобалната рамка от международни правила</w:t>
      </w:r>
      <w:r>
        <w:rPr>
          <w:noProof/>
        </w:rPr>
        <w:t xml:space="preserve">. </w:t>
      </w:r>
    </w:p>
    <w:p>
      <w:pPr>
        <w:spacing w:after="120"/>
        <w:jc w:val="both"/>
        <w:rPr>
          <w:noProof/>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-635</wp:posOffset>
                </wp:positionH>
                <wp:positionV relativeFrom="paragraph">
                  <wp:posOffset>398780</wp:posOffset>
                </wp:positionV>
                <wp:extent cx="2400300" cy="2720340"/>
                <wp:effectExtent l="0" t="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20340"/>
                        </a:xfrm>
                        <a:prstGeom prst="rect">
                          <a:avLst/>
                        </a:prstGeom>
                        <a:solidFill>
                          <a:srgbClr val="FFFFFF"/>
                        </a:solidFill>
                        <a:ln w="9525">
                          <a:solidFill>
                            <a:srgbClr val="000000"/>
                          </a:solidFill>
                          <a:miter lim="800000"/>
                          <a:headEnd/>
                          <a:tailEnd/>
                        </a:ln>
                      </wps:spPr>
                      <wps:txbx>
                        <w:txbxContent>
                          <w:p>
                            <w:pPr>
                              <w:rPr>
                                <w:b/>
                                <w:i/>
                                <w:sz w:val="22"/>
                                <w:szCs w:val="22"/>
                              </w:rPr>
                            </w:pPr>
                            <w:r>
                              <w:rPr>
                                <w:b/>
                                <w:i/>
                                <w:sz w:val="22"/>
                                <w:szCs w:val="22"/>
                              </w:rPr>
                              <w:t xml:space="preserve">ЕС е най-големият търговец на услуги в света*. Търговията с услуги възлиза на 25 % от БВП на ЕС, като износът на услуги надхвърля 900 милиарда евро годишно. С нея също така пряко или непряко се подпомагат 21 милиона работни места в ЕС. </w:t>
                            </w:r>
                          </w:p>
                          <w:p>
                            <w:pPr>
                              <w:rPr>
                                <w:b/>
                                <w:i/>
                                <w:sz w:val="22"/>
                                <w:szCs w:val="22"/>
                              </w:rPr>
                            </w:pPr>
                            <w:r>
                              <w:rPr>
                                <w:b/>
                                <w:i/>
                                <w:sz w:val="22"/>
                                <w:szCs w:val="22"/>
                              </w:rPr>
                              <w:t>От всички преки чуждестранни инвестиции на ЕС към останалата част от света 60 % са за услуги, както и почти 90 % от преките чуждестранни инвестиции, влизащи в ЕС.</w:t>
                            </w:r>
                          </w:p>
                          <w:p>
                            <w:pPr>
                              <w:contextualSpacing/>
                              <w:rPr>
                                <w:b/>
                                <w:sz w:val="22"/>
                                <w:szCs w:val="22"/>
                              </w:rPr>
                            </w:pPr>
                            <w:r>
                              <w:rPr>
                                <w:b/>
                                <w:i/>
                                <w:sz w:val="22"/>
                                <w:szCs w:val="22"/>
                              </w:rPr>
                              <w:t xml:space="preserve">* https://data.oecd.org/trade/trade-in-services.htm.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5pt;margin-top:31.4pt;width:189pt;height:214.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">
                <v:textbox>
                  <w:txbxContent>
                    <w:p>
                      <w:pPr>
                        <w:rPr>
                          <w:b/>
                          <w:i/>
                          <w:sz w:val="22"/>
                          <w:szCs w:val="22"/>
                        </w:rPr>
                      </w:pPr>
                      <w:r>
                        <w:rPr>
                          <w:b/>
                          <w:i/>
                          <w:sz w:val="22"/>
                          <w:szCs w:val="22"/>
                        </w:rPr>
                        <w:t xml:space="preserve">ЕС е най-големият търговец на услуги в света*. Търговията с услуги възлиза на 25 % от БВП на ЕС, като износът на услуги надхвърля 900 милиарда евро годишно. С нея също така пряко или непряко се подпомагат 21 милиона работни места в ЕС. </w:t>
                      </w:r>
                    </w:p>
                    <w:p>
                      <w:pPr>
                        <w:rPr>
                          <w:b/>
                          <w:i/>
                          <w:sz w:val="22"/>
                          <w:szCs w:val="22"/>
                        </w:rPr>
                      </w:pPr>
                      <w:r>
                        <w:rPr>
                          <w:b/>
                          <w:i/>
                          <w:sz w:val="22"/>
                          <w:szCs w:val="22"/>
                        </w:rPr>
                        <w:t>От всички преки чуждестранни инвестиции на ЕС към останалата част от света 60 % са за услуги, както и почти 90 % от преките чуждестранни инвестиции, влизащи в ЕС.</w:t>
                      </w:r>
                    </w:p>
                    <w:p>
                      <w:pPr>
                        <w:contextualSpacing/>
                        <w:rPr>
                          <w:b/>
                          <w:sz w:val="22"/>
                          <w:szCs w:val="22"/>
                        </w:rPr>
                      </w:pPr>
                      <w:r>
                        <w:rPr>
                          <w:b/>
                          <w:i/>
                          <w:sz w:val="22"/>
                          <w:szCs w:val="22"/>
                        </w:rPr>
                        <w:t xml:space="preserve">* https://data.oecd.org/trade/trade-in-services.htm. </w:t>
                      </w:r>
                    </w:p>
                  </w:txbxContent>
                </v:textbox>
                <w10:wrap type="square"/>
              </v:shape>
            </w:pict>
          </mc:Fallback>
        </mc:AlternateContent>
      </w:r>
      <w:r>
        <w:rPr>
          <w:noProof/>
        </w:rPr>
        <w:t>В областта на цифровите технологии ще се наблюдава засилена световна конкуренция, която ще промени икономическите отношения в световен план. ЕС може да успее в цифровата трансформация само ако изгради своята програма в областта на цифровите технологии по начин, ориентиран към външния свят, като отчита в пълна степен глобалната среда, в която конкуренцията е все по-силна и ожесточена и която понякога поставя под въпрос основания на ценности подход на ЕС към цифровизацията. Търговската политика ще играе жизненоважна роля за постигането на целите на ЕС, свързани с цифровия преход. Европейските предприятия разчитат на цифровите услуги и това ще важи във все по-голяма степен. Данните са „спасително въже“ за много предприятия и са компонент от съществено значение за веригите на доставки на ЕС. Цифровите технологии осигуряват увеличаване на ефективността, която е необходима, за да се запази конкурентоспособността</w:t>
      </w:r>
      <w:r>
        <w:rPr>
          <w:rStyle w:val="FootnoteReference"/>
          <w:noProof/>
        </w:rPr>
        <w:footnoteReference w:id="24"/>
      </w:r>
      <w:r>
        <w:rPr>
          <w:noProof/>
        </w:rPr>
        <w:t xml:space="preserve">, но и преобразяват традиционните промишлени сектори, в които европейските предприятия ще трябва да запазят и засилят своята конкурентна позиция. В същото време цифровата трансформация и появата на нови технологии имат важно за Европа измерение по отношение на сигурността и ценностите и изискват внимателно адаптиран подход на политиката във вътрешен и външен план. По отношение на последиците от новите </w:t>
      </w:r>
      <w:r>
        <w:rPr>
          <w:b/>
          <w:noProof/>
        </w:rPr>
        <w:t>цифрови технологии, включително изкуствения интелект</w:t>
      </w:r>
      <w:r>
        <w:rPr>
          <w:noProof/>
        </w:rPr>
        <w:t xml:space="preserve">, трябва да бъдат предприети действия на световно равнище </w:t>
      </w:r>
      <w:r>
        <w:rPr>
          <w:b/>
          <w:noProof/>
        </w:rPr>
        <w:t>чрез по-амбициозни световни стандарти и правила</w:t>
      </w:r>
      <w:r>
        <w:rPr>
          <w:noProof/>
        </w:rPr>
        <w:t xml:space="preserve">. </w:t>
      </w:r>
    </w:p>
    <w:p>
      <w:pPr>
        <w:spacing w:after="120"/>
        <w:jc w:val="both"/>
        <w:rPr>
          <w:b/>
          <w:noProof/>
        </w:rPr>
      </w:pPr>
    </w:p>
    <w:p>
      <w:pPr>
        <w:spacing w:after="120"/>
        <w:jc w:val="both"/>
        <w:rPr>
          <w:noProof/>
        </w:rPr>
      </w:pPr>
      <w:r>
        <w:rPr>
          <w:b/>
          <w:noProof/>
        </w:rPr>
        <w:t xml:space="preserve">Оказването на подкрепа за европейската програма в областта на цифровите технологии е приоритет за търговската политика на ЕС. </w:t>
      </w:r>
      <w:r>
        <w:rPr>
          <w:noProof/>
        </w:rPr>
        <w:t>Целта е да се гарантира водеща позиция за ЕС в цифровата търговия и в областта на технологиите, най-вече чрез насърчаване на иновациите. ЕС следва да продължи да играе водеща роля в цифровите стандарти и регулаторните подходи, и по-специално по отношение на защитата на данните, в която област Общият регламент на ЕС относно защитата на данните често се разглежда като източник на вдъхновение</w:t>
      </w:r>
      <w:r>
        <w:rPr>
          <w:rStyle w:val="FootnoteReference"/>
          <w:noProof/>
        </w:rPr>
        <w:t xml:space="preserve"> </w:t>
      </w:r>
      <w:r>
        <w:rPr>
          <w:rStyle w:val="FootnoteReference"/>
          <w:noProof/>
        </w:rPr>
        <w:footnoteReference w:id="25"/>
      </w:r>
      <w:r>
        <w:rPr>
          <w:noProof/>
        </w:rPr>
        <w:t xml:space="preserve">. За да се постигне тази цел, </w:t>
      </w:r>
      <w:r>
        <w:rPr>
          <w:b/>
          <w:noProof/>
        </w:rPr>
        <w:t>СТО трябва да определи правилата за цифровата търговия, а ЕС трябва да играе централна роля за създаването им</w:t>
      </w:r>
      <w:r>
        <w:rPr>
          <w:noProof/>
        </w:rPr>
        <w:t xml:space="preserve">. След договарянето на правилата ЕС следва да подкрепи провеждането на по-нататъшни плурилатерални преговори в рамките на СТО с цел либерализиране на търговията с услуги в сектори, различни от електронната търговия. </w:t>
      </w:r>
    </w:p>
    <w:p>
      <w:pPr>
        <w:spacing w:after="120"/>
        <w:jc w:val="both"/>
        <w:rPr>
          <w:noProof/>
        </w:rPr>
      </w:pPr>
      <w:r>
        <w:rPr>
          <w:noProof/>
        </w:rPr>
        <w:t xml:space="preserve">ЕС също така ще трябва да засили двустранната ангажираност и да проучи </w:t>
      </w:r>
      <w:r>
        <w:rPr>
          <w:b/>
          <w:noProof/>
        </w:rPr>
        <w:t>по-стабилни рамки за сътрудничество с единомислещи партньори в областта на свързаните с търговията въпроси на цифровите технологии</w:t>
      </w:r>
      <w:r>
        <w:rPr>
          <w:noProof/>
        </w:rPr>
        <w:t xml:space="preserve">. Съюзът ще се стреми да задълбочи своите регулаторни диалози с единомислещи партньори. </w:t>
      </w:r>
    </w:p>
    <w:p>
      <w:pPr>
        <w:spacing w:after="120"/>
        <w:jc w:val="both"/>
        <w:rPr>
          <w:noProof/>
        </w:rPr>
      </w:pPr>
      <w:r>
        <w:rPr>
          <w:noProof/>
        </w:rPr>
        <w:t xml:space="preserve">Въпросът за </w:t>
      </w:r>
      <w:r>
        <w:rPr>
          <w:b/>
          <w:noProof/>
        </w:rPr>
        <w:t>данните</w:t>
      </w:r>
      <w:r>
        <w:rPr>
          <w:noProof/>
        </w:rPr>
        <w:t xml:space="preserve"> ще бъде от основно значение за бъдещето на ЕС. По отношение на трансграничното предаване на данни и забраната на изискванията за локализиране на данни Комисията ще следва </w:t>
      </w:r>
      <w:r>
        <w:rPr>
          <w:b/>
          <w:noProof/>
        </w:rPr>
        <w:t>отворен, но решителен подход, основан на европейските ценности и интереси</w:t>
      </w:r>
      <w:r>
        <w:rPr>
          <w:noProof/>
        </w:rPr>
        <w:t>. Комисията ще работи за гарантиране на това предприятията от ЕС да могат да се ползват от международното свободно движение на данни при стриктно спазване на правилата на ЕС в областта на защитата на данните и други цели на публичната политика, включващи обществената сигурност и обществения ред. По-специално ЕС ще продължи да предприема действия по отношение на неоснователните пречки за потоците от данни, като същевременно запази своята регулаторна автономност в областта на защитата на данните и неприкосновеността на личния живот.</w:t>
      </w:r>
      <w:r>
        <w:rPr>
          <w:rStyle w:val="FootnoteReference"/>
          <w:noProof/>
        </w:rPr>
        <w:t xml:space="preserve"> </w:t>
      </w:r>
      <w:r>
        <w:rPr>
          <w:rStyle w:val="FootnoteReference"/>
          <w:noProof/>
        </w:rPr>
        <w:footnoteReference w:id="26"/>
      </w:r>
      <w:r>
        <w:rPr>
          <w:noProof/>
        </w:rPr>
        <w:t xml:space="preserve"> За да оцени по-добре мащаба и стойността на трансграничните потоци от данни, Комисията ще създаде европейска аналитична рамка за измерване на потоците от данни.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jc w:val="both"/>
              <w:rPr>
                <w:rFonts w:ascii="Times New Roman" w:hAnsi="Times New Roman" w:cs="Times New Roman"/>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ще се стреми към бързо сключване на </w:t>
            </w:r>
            <w:r>
              <w:rPr>
                <w:rFonts w:ascii="Times New Roman" w:hAnsi="Times New Roman"/>
                <w:b/>
                <w:iCs/>
                <w:noProof/>
                <w:sz w:val="24"/>
                <w:szCs w:val="24"/>
              </w:rPr>
              <w:t>амбициозно и всеобхватно споразумение на СТО в областта на цифровата търговия</w:t>
            </w:r>
            <w:r>
              <w:rPr>
                <w:rFonts w:ascii="Times New Roman" w:hAnsi="Times New Roman"/>
                <w:iCs/>
                <w:noProof/>
                <w:sz w:val="24"/>
                <w:szCs w:val="24"/>
              </w:rPr>
              <w:t>, включващо правила за потоците от данни, при стриктно спазване на рамката на ЕС за защита на данните, както и разпоредби относно увеличаване на доверието на потребителите, гарантиращи високо равнище на защита на потребителите;</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ще проучи възможността за </w:t>
            </w:r>
            <w:r>
              <w:rPr>
                <w:rFonts w:ascii="Times New Roman" w:hAnsi="Times New Roman"/>
                <w:b/>
                <w:bCs/>
                <w:iCs/>
                <w:noProof/>
                <w:sz w:val="24"/>
                <w:szCs w:val="24"/>
              </w:rPr>
              <w:t>по-тясно регулаторно сътрудничество</w:t>
            </w:r>
            <w:r>
              <w:rPr>
                <w:rFonts w:ascii="Times New Roman" w:hAnsi="Times New Roman"/>
                <w:iCs/>
                <w:noProof/>
                <w:sz w:val="24"/>
                <w:szCs w:val="24"/>
              </w:rPr>
              <w:t xml:space="preserve"> с единомислещи партньори по въпроси, които са от значение за цифровата търговия.</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 Засилване на регулаторното въздействие на ЕС</w:t>
      </w:r>
    </w:p>
    <w:p>
      <w:pPr>
        <w:spacing w:after="120"/>
        <w:jc w:val="both"/>
        <w:rPr>
          <w:noProof/>
        </w:rPr>
      </w:pPr>
      <w:r>
        <w:rPr>
          <w:noProof/>
        </w:rPr>
        <w:t xml:space="preserve">Способността за оказване на влияние върху разработването на регламенти и стандарти, които са от световно значение, е </w:t>
      </w:r>
      <w:r>
        <w:rPr>
          <w:b/>
          <w:noProof/>
        </w:rPr>
        <w:t>важно конкурентно предимство</w:t>
      </w:r>
      <w:r>
        <w:rPr>
          <w:noProof/>
        </w:rPr>
        <w:t xml:space="preserve">. </w:t>
      </w:r>
    </w:p>
    <w:p>
      <w:pPr>
        <w:spacing w:after="120"/>
        <w:jc w:val="both"/>
        <w:rPr>
          <w:noProof/>
        </w:rPr>
      </w:pPr>
      <w:r>
        <w:rPr>
          <w:noProof/>
        </w:rPr>
        <w:t xml:space="preserve">В продължение на десетилетия </w:t>
      </w:r>
      <w:r>
        <w:rPr>
          <w:b/>
          <w:noProof/>
        </w:rPr>
        <w:t>ЕС е лидер в това отношение.</w:t>
      </w:r>
      <w:r>
        <w:rPr>
          <w:noProof/>
        </w:rPr>
        <w:t xml:space="preserve"> Съюзът насърчава работата в рамките на международни органи за определяне на стандарти, като Международната организация по стандартизация (ISO), и специфични за сектора международни форуми. Благодарение на тези усилия европейските предприятия  получиха достъп до световни пазари, бяха премахнати пречки пред търговията и бе подпомогнато сближаването на нормативните уредби. Този подход, заедно с размера на пазара на ЕС, осигури силно влияние на ЕС върху международната стандартизация, като в някои случаи това доведе и до доброволно приемане на неговите високи стандарти, регламенти и цели на политиката в рамките на глобалните вериги на доставки. Европейски износители, включително МСП, получиха значително конкурентно предимство благодарение на силното регулаторно въздействие на ЕС в световен мащаб.</w:t>
      </w:r>
    </w:p>
    <w:p>
      <w:pPr>
        <w:spacing w:after="120"/>
        <w:jc w:val="both"/>
        <w:rPr>
          <w:noProof/>
        </w:rPr>
      </w:pPr>
      <w:r>
        <w:rPr>
          <w:noProof/>
        </w:rPr>
        <w:t xml:space="preserve">Относителната тежест на ЕС понастоящем намалява предвид появата на нови регулаторни правомощия и бързото технологично развитие, което често е движено от фактори извън ЕС. </w:t>
      </w:r>
    </w:p>
    <w:p>
      <w:pPr>
        <w:spacing w:after="120"/>
        <w:jc w:val="both"/>
        <w:rPr>
          <w:noProof/>
        </w:rPr>
      </w:pPr>
      <w:r>
        <w:rPr>
          <w:noProof/>
        </w:rPr>
        <w:t xml:space="preserve">За да може ЕС да увеличи влиянието си в тази област, той трябва да </w:t>
      </w:r>
      <w:r>
        <w:rPr>
          <w:b/>
          <w:noProof/>
        </w:rPr>
        <w:t>разработи по-стратегически подход към международното регулаторно сътрудничество</w:t>
      </w:r>
      <w:r>
        <w:rPr>
          <w:noProof/>
        </w:rPr>
        <w:t>, по-специално във връзка с екологичния и цифровия преход. ЕС трябва да приеме по-активна позиция при разработването на нови регламенти, за да бъде по-добре подготвен да насърчава регулаторните си подходи в цял свят. За това ще е необходимо засилване на полезните взаимодействия между вътрешните и външните политики, за да може на ранен етап да се установяват онези стратегически области, върху които следва да се съсредоточи международното регулаторно сътрудничество. Също така ще са необходими диалог и сътрудничество с органите на ЕС за определяне на стандарти, за да се определят стратегически приоритети, свързани с международните стандарти. Комисията ще засили своя анализ на външното измерение на своите регулаторни политики в рамките на оценки на въздействието на важни регламенти и ще определи приоритетни партньори за регулаторно сътрудничество. Търговската политика следва да бъде подготвена за подпомагане на ръководените от регулаторите дейности по сътрудничество и за тази цел да използва пълноценно предоставените от търговските споразумения възможности. Търговската политика, наред с международните партньорства и сътрудничеството за развитие — включително чрез подпомагане на търговията — следва също така да играят роля в подкрепа на възприемането на международни стандарти в развиващите се държави партньори и при улесняването на спазването на новите регулаторни изисквания. Освен това ЕС ще засили своите регулаторни диалози с единомислещи държави в региона на Азия и Тихоокеанския басейн и в Латинска Америка.</w:t>
      </w:r>
    </w:p>
    <w:p>
      <w:pPr>
        <w:spacing w:after="120"/>
        <w:jc w:val="both"/>
        <w:rPr>
          <w:noProof/>
        </w:rPr>
      </w:pPr>
      <w:r>
        <w:rPr>
          <w:noProof/>
        </w:rPr>
        <w:t xml:space="preserve">Сътрудничеството със САЩ ще бъде от решаващо значение, за да се гарантира, че новите регламенти са в съответствие с ценностите на демократичните, отворени и приобщаващи общества. </w:t>
      </w:r>
    </w:p>
    <w:p>
      <w:pPr>
        <w:spacing w:after="120"/>
        <w:jc w:val="both"/>
        <w:rPr>
          <w:noProof/>
        </w:rPr>
      </w:pP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jc w:val="both"/>
              <w:rPr>
                <w:rFonts w:ascii="Times New Roman" w:hAnsi="Times New Roman" w:cs="Times New Roman"/>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ще засили регулаторните диалози с единомислещи партньори</w:t>
            </w:r>
            <w:r>
              <w:rPr>
                <w:rFonts w:ascii="Times New Roman" w:hAnsi="Times New Roman"/>
                <w:noProof/>
                <w:sz w:val="24"/>
                <w:szCs w:val="24"/>
              </w:rPr>
              <w:t xml:space="preserve"> в стратегически области на конкурентоспособност на ЕС. За целта ще е необходимо определяне на ранен етап на приоритетни области на регулаторно сътрудничество и по-тесен диалог с организации на ЕС и международни организации по стандартизация;</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разработи по-тясно </w:t>
            </w:r>
            <w:r>
              <w:rPr>
                <w:rFonts w:ascii="Times New Roman" w:hAnsi="Times New Roman"/>
                <w:b/>
                <w:noProof/>
                <w:sz w:val="24"/>
                <w:szCs w:val="24"/>
              </w:rPr>
              <w:t>трансатлантическо партньорство във връзка с екологичната и цифровата трансформация</w:t>
            </w:r>
            <w:r>
              <w:rPr>
                <w:rFonts w:ascii="Times New Roman" w:hAnsi="Times New Roman"/>
                <w:noProof/>
                <w:sz w:val="24"/>
                <w:szCs w:val="24"/>
              </w:rPr>
              <w:t xml:space="preserve"> на нашите икономики, включително чрез Съвета по търговия и технологии ЕС—САЩ.</w:t>
            </w:r>
          </w:p>
        </w:tc>
      </w:tr>
    </w:tbl>
    <w:p>
      <w:pPr>
        <w:spacing w:after="120"/>
        <w:jc w:val="both"/>
        <w:rPr>
          <w:noProof/>
        </w:rPr>
      </w:pPr>
    </w:p>
    <w:p>
      <w:pPr>
        <w:pStyle w:val="ListParagraph"/>
        <w:numPr>
          <w:ilvl w:val="2"/>
          <w:numId w:val="1"/>
        </w:numPr>
        <w:tabs>
          <w:tab w:val="left" w:pos="993"/>
        </w:tabs>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 Укрепване на партньорствата на ЕС със съседни и обхванати от процеса на разширяване държави и Африка </w:t>
      </w:r>
    </w:p>
    <w:p>
      <w:pPr>
        <w:spacing w:after="120"/>
        <w:jc w:val="both"/>
        <w:rPr>
          <w:iCs/>
          <w:noProof/>
        </w:rPr>
      </w:pPr>
      <w:r>
        <w:rPr>
          <w:b/>
          <w:iCs/>
          <w:noProof/>
        </w:rPr>
        <w:t xml:space="preserve">Най-значимите ни отношения са с онези, които са най-близо до нас от географска гледна точка. </w:t>
      </w:r>
      <w:r>
        <w:rPr>
          <w:noProof/>
        </w:rPr>
        <w:t xml:space="preserve"> Стабилността и просперитетът в съседните на ЕС държави и в Африка са в политически и икономически интерес на ЕС. ЕС възнамерява да направи всичко възможно, за да подкрепи партньорите си в техните усилия по възстановяване от пандемията от COVID-19 и за да постигне устойчиво развитие. Гъстата мрежа на ЕС от търговски споразумения с тези държави предлага перспективи за по-тясна икономическа интеграция и изграждане на интегрирани мрежи за производство и услуги. Това ще бъде част от по-широка стратегия за насърчаване на устойчивите инвестиции и подобряване на гъвкавостта на икономиките ни чрез диверсифицирани вериги за създаване на стойност, както и на развитието на търговията с устойчиви продукти, включително с цел подпомагане на климатичната и енергийната трансформация. Мрежата от споразумения ще допринесе и за преодоляване на първопричините за незаконната миграция като част от по-широкия принос на търговската политика за всеобхватните партньорства в съответствие с Новия пакт за миграцията и убежището</w:t>
      </w:r>
      <w:r>
        <w:rPr>
          <w:rStyle w:val="FootnoteReference"/>
          <w:noProof/>
        </w:rPr>
        <w:footnoteReference w:id="27"/>
      </w:r>
      <w:r>
        <w:rPr>
          <w:noProof/>
        </w:rPr>
        <w:t>.</w:t>
      </w:r>
    </w:p>
    <w:p>
      <w:pPr>
        <w:spacing w:after="120"/>
        <w:jc w:val="both"/>
        <w:rPr>
          <w:iCs/>
          <w:noProof/>
        </w:rPr>
      </w:pPr>
      <w:r>
        <w:rPr>
          <w:noProof/>
        </w:rPr>
        <w:t>ЕС ще засили своите тесни икономически партньорства в рамките на Европейското икономическо пространство. ЕС очаква да си сътрудничи тясно с Обединеното кралство, за да използва пълния потенциал на Споразумението за търговия и сътрудничество. ЕС също така очаква осъвременяване на своите търговски и икономически отношения с Швейцария, както и с Турция, при положение че са изпълнени правилните условия.</w:t>
      </w:r>
    </w:p>
    <w:p>
      <w:pPr>
        <w:spacing w:after="120"/>
        <w:jc w:val="both"/>
        <w:rPr>
          <w:iCs/>
          <w:noProof/>
        </w:rPr>
      </w:pPr>
      <w:r>
        <w:rPr>
          <w:noProof/>
        </w:rPr>
        <w:t>Оказването на подкрепа за засилване на икономическата интеграция с държавите</w:t>
      </w:r>
      <w:r>
        <w:rPr>
          <w:rStyle w:val="FootnoteReference"/>
          <w:iCs/>
          <w:noProof/>
        </w:rPr>
        <w:footnoteReference w:id="28"/>
      </w:r>
      <w:r>
        <w:rPr>
          <w:noProof/>
        </w:rPr>
        <w:t xml:space="preserve"> от </w:t>
      </w:r>
      <w:r>
        <w:rPr>
          <w:b/>
          <w:iCs/>
          <w:noProof/>
        </w:rPr>
        <w:t>Западните Балкани</w:t>
      </w:r>
      <w:r>
        <w:rPr>
          <w:noProof/>
        </w:rPr>
        <w:t xml:space="preserve"> и </w:t>
      </w:r>
      <w:r>
        <w:rPr>
          <w:b/>
          <w:iCs/>
          <w:noProof/>
        </w:rPr>
        <w:t>Източното партньорство</w:t>
      </w:r>
      <w:r>
        <w:rPr>
          <w:noProof/>
        </w:rPr>
        <w:t xml:space="preserve"> ще бъде от особено значение. За </w:t>
      </w:r>
      <w:r>
        <w:rPr>
          <w:b/>
          <w:bCs/>
          <w:noProof/>
        </w:rPr>
        <w:t>Западните Балкани</w:t>
      </w:r>
      <w:r>
        <w:rPr>
          <w:noProof/>
        </w:rPr>
        <w:t xml:space="preserve"> усъвършенстваната методика за разширяване и икономическият и инвестиционен план</w:t>
      </w:r>
      <w:r>
        <w:rPr>
          <w:noProof/>
          <w:vertAlign w:val="superscript"/>
        </w:rPr>
        <w:footnoteReference w:id="29"/>
      </w:r>
      <w:r>
        <w:rPr>
          <w:noProof/>
        </w:rPr>
        <w:t xml:space="preserve"> представят рамката за ускорена пазарна интеграция с ЕС преди присъединяването, като същевременно се гарантират еднакви условия на конкуренция. Тази ускорена икономическа интеграция се основава на собствените ангажименти на Западните Балкани за създаване на общ регионален пазар въз основа на правилата и стандартите на ЕС. По отношение на държавите от Източното партньорство, по-специално партньорите от задълбочени и всеобхватни зони за свободна търговия (задълбочени и всеобхватни ЗСТ) (Украйна, Грузия и Молдова), ЕС подкрепя усилията за привеждане в по-пълно съответствие с регулаторния модел на ЕС, включително по отношение на цифровия и екологичния преход. За тези партньори усилията за включване на регламентите на ЕС биха могли да бъдат придружени от по-тесен диалог относно това как да бъдат разработвани и изпълнявани, включително чрез участие в експертни групи и по-тясно свързване с организациите на ЕС по стандартизация. Следва да се обмислят и допълнителни стъпки за улесняване на търговията, включително чрез споразумения за оценяване на съответствието.</w:t>
      </w:r>
    </w:p>
    <w:p>
      <w:pPr>
        <w:spacing w:after="120"/>
        <w:jc w:val="both"/>
        <w:rPr>
          <w:iCs/>
          <w:noProof/>
        </w:rPr>
      </w:pPr>
      <w:r>
        <w:rPr>
          <w:noProof/>
        </w:rPr>
        <w:t xml:space="preserve">Подобряването на отношенията и икономическата интеграция на ЕС с </w:t>
      </w:r>
      <w:r>
        <w:rPr>
          <w:b/>
          <w:iCs/>
          <w:noProof/>
        </w:rPr>
        <w:t>южните съседни държави</w:t>
      </w:r>
      <w:r>
        <w:rPr>
          <w:rStyle w:val="FootnoteReference"/>
          <w:iCs/>
          <w:noProof/>
        </w:rPr>
        <w:footnoteReference w:id="30"/>
      </w:r>
      <w:r>
        <w:rPr>
          <w:noProof/>
        </w:rPr>
        <w:t xml:space="preserve"> ще бъде стратегическа необходимост за дългосрочната стабилност. ЕС се ползва от географската близост и културните и езиковите връзки с държавите от Южното Средиземноморие, които улесняват тази стратегически икономическа и търговска интеграция. Търговската политика може да бъде ключов инструмент за насърчаване на стратегическа взаимозависимост между ЕС и южните съседни държави и разработване на двустранно печеливши инициативи за интеграция, по-специално във връзка със стратегически вериги за създаване на стойност. От началото на 2000 г. насам ЕС сключи споразумения за свободна търговия с осем държави от Южното Средиземноморие като част от по-широки споразумения за асоцииране. От няколко години текат преговори за създаване на задълбочената и всeобхватна зона за свободна търговия (задълбочената и всeобхватна ЗСТ) с Мароко и Тунис. ЕС е готов да обсъди вариантите и с двамата партньори за осъвременяване на търговските и инвестиционните отношения, за да ги адаптира по-добре към днешните предизвикателства.</w:t>
      </w:r>
    </w:p>
    <w:p>
      <w:pPr>
        <w:spacing w:after="120"/>
        <w:jc w:val="both"/>
        <w:rPr>
          <w:noProof/>
        </w:rPr>
      </w:pPr>
      <w:r>
        <w:rPr>
          <w:noProof/>
        </w:rPr>
        <w:t xml:space="preserve">ЕС значително ще </w:t>
      </w:r>
      <w:r>
        <w:rPr>
          <w:b/>
          <w:noProof/>
        </w:rPr>
        <w:t>засили своята ангажираност с африканските партньори</w:t>
      </w:r>
      <w:r>
        <w:rPr>
          <w:noProof/>
        </w:rPr>
        <w:t xml:space="preserve"> с цел отключване на техния икономически потенциал, насърчаване на диверсификацията на икономиката и на приобщаващия растеж. Това допълнително ще засили устойчивите търговски и инвестиционни отношения както между двата континента, така и в самата Африка</w:t>
      </w:r>
      <w:r>
        <w:rPr>
          <w:rStyle w:val="FootnoteReference"/>
          <w:noProof/>
        </w:rPr>
        <w:footnoteReference w:id="31"/>
      </w:r>
      <w:r>
        <w:rPr>
          <w:noProof/>
        </w:rPr>
        <w:t>. Това е в съответствие с дългосрочната перспектива за търговско споразумение между двата континента въз основа на успешното прилагане на Африканската континентална зона за свободна търговия (Африканска континентална ЗСТ). Тя се основава по-конкретно на регионалните икономически общности на Африка и споразуменията за икономическо партньорство с ЕС. Тези по-близки отношения с Африка следва да бъдат насърчавани на всички равнища, включително чрез политически диалог с Африканския съюз и неговите членове, чрез разширяване и задълбочаване на споразуменията за икономическо партньорство и чрез развиване на двустранни отношения с отделните държави с цел насърчаване на устойчивите инвестиции в селскостопански и промишлени стоки и услуги. Комисията също така ще предприеме анализ на потенциала за улесняване на интеграцията в континента чрез хармонизирани правила за произход, приложими към неговата търговия с ЕС.</w:t>
      </w:r>
    </w:p>
    <w:p>
      <w:pPr>
        <w:spacing w:after="120"/>
        <w:jc w:val="both"/>
        <w:rPr>
          <w:noProof/>
        </w:rPr>
      </w:pPr>
      <w:r>
        <w:rPr>
          <w:noProof/>
        </w:rPr>
        <w:t xml:space="preserve">Комисията ще предложи </w:t>
      </w:r>
      <w:r>
        <w:rPr>
          <w:b/>
          <w:bCs/>
          <w:noProof/>
        </w:rPr>
        <w:t>нова инициатива за устойчиви инвестиции</w:t>
      </w:r>
      <w:r>
        <w:rPr>
          <w:noProof/>
        </w:rPr>
        <w:t xml:space="preserve"> на партньорите или регионите в </w:t>
      </w:r>
      <w:r>
        <w:rPr>
          <w:b/>
          <w:bCs/>
          <w:noProof/>
        </w:rPr>
        <w:t>Африка и южните съседни държави</w:t>
      </w:r>
      <w:r>
        <w:rPr>
          <w:noProof/>
        </w:rPr>
        <w:t xml:space="preserve">, които са заинтересовани от такава инициатива. Това би могло да се направи под формата на самостоятелни инвестиционни споразумения или като част от осъвременяването на съществуващи търговски споразумения. За да се увеличи максимално въздействието им и да се улесни изпълнението им, тези споразумения ще бъдат разработени заедно с инструменти на ЕС за сътрудничество за развитие, с цел подпомагане на инвестициите, и когато е осъществимо, с помощта на подхода „Екип Европа“ с цел гарантиране на полезно взаимодействие с държавите — членки на ЕС, частния сектор, гражданското общество и всички съответни участници. Най-открояващата се сред тези инициативи е Планът за външни инвестиции, стартиран през 2017 г. за Африка на юг от Сахара и съседните на ЕС държави. Той включва и Европейския фонд за устойчиво развитие плюс (ЕФУР+), който съгласно новата многогодишна финансова рамка (МФР) за 2021—2027 г. става приложим в целия свят. Трите стълба на Плана за външни инвестиции ще спомогнат за подкрепата на устойчиви инвестиции в Африка и съседните държави, като същевременно ще доведат до реформи с цел подобряване на бизнес средата и инвестиционния климат. Това ще се прави с оглед на междурегионалната интеграция и създаването на по-тесни търговски отношения между ЕС и Африка, докато напредва реализацията на Африканската континентална зона за свободна търговия.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jc w:val="both"/>
              <w:rPr>
                <w:rFonts w:ascii="Times New Roman" w:hAnsi="Times New Roman" w:cs="Times New Roman"/>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задълбочи търговските и икономическите отношения с други държави в Европа, включително със </w:t>
            </w:r>
            <w:r>
              <w:rPr>
                <w:rFonts w:ascii="Times New Roman" w:hAnsi="Times New Roman"/>
                <w:b/>
                <w:noProof/>
                <w:sz w:val="24"/>
                <w:szCs w:val="24"/>
              </w:rPr>
              <w:t>Западните Балкани и държавите, които са сключили споразумение за задълбочена и всeобхватна ЗСТ с ЕС</w:t>
            </w:r>
            <w:r>
              <w:rPr>
                <w:rFonts w:ascii="Times New Roman" w:hAnsi="Times New Roman"/>
                <w:noProof/>
                <w:sz w:val="24"/>
                <w:szCs w:val="24"/>
              </w:rPr>
              <w:t xml:space="preserve">, като се съсредоточи по-специално върху по-тясното регулаторно сътрудничество в подкрепата на екологичния и цифровия преход. Тя ще осъвремени своите търговски и инвестиционни отношения с онези </w:t>
            </w:r>
            <w:r>
              <w:rPr>
                <w:rFonts w:ascii="Times New Roman" w:hAnsi="Times New Roman"/>
                <w:b/>
                <w:noProof/>
                <w:sz w:val="24"/>
                <w:szCs w:val="24"/>
              </w:rPr>
              <w:t>южни съседни държави</w:t>
            </w:r>
            <w:r>
              <w:rPr>
                <w:rFonts w:ascii="Times New Roman" w:hAnsi="Times New Roman"/>
                <w:noProof/>
                <w:sz w:val="24"/>
                <w:szCs w:val="24"/>
              </w:rPr>
              <w:t>, които са заинтересовани от насърчаване на по-тясната интеграция с Европейския съюз;</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засили ангажираността си с </w:t>
            </w:r>
            <w:r>
              <w:rPr>
                <w:rFonts w:ascii="Times New Roman" w:hAnsi="Times New Roman"/>
                <w:b/>
                <w:noProof/>
                <w:sz w:val="24"/>
                <w:szCs w:val="24"/>
              </w:rPr>
              <w:t>африканските държави</w:t>
            </w:r>
            <w:r>
              <w:rPr>
                <w:rFonts w:ascii="Times New Roman" w:hAnsi="Times New Roman"/>
                <w:noProof/>
                <w:sz w:val="24"/>
                <w:szCs w:val="24"/>
              </w:rPr>
              <w:t xml:space="preserve"> чрез:</w:t>
            </w:r>
          </w:p>
          <w:p>
            <w:pPr>
              <w:pStyle w:val="ListParagraph"/>
              <w:spacing w:after="120"/>
              <w:jc w:val="both"/>
              <w:rPr>
                <w:rFonts w:ascii="Times New Roman" w:hAnsi="Times New Roman" w:cs="Times New Roman"/>
                <w:noProof/>
                <w:sz w:val="24"/>
                <w:szCs w:val="24"/>
              </w:rPr>
            </w:pPr>
            <w:r>
              <w:rPr>
                <w:rFonts w:ascii="Times New Roman" w:hAnsi="Times New Roman"/>
                <w:noProof/>
                <w:sz w:val="24"/>
                <w:szCs w:val="24"/>
              </w:rPr>
              <w:t xml:space="preserve">а) засилване на </w:t>
            </w:r>
            <w:r>
              <w:rPr>
                <w:rFonts w:ascii="Times New Roman" w:hAnsi="Times New Roman"/>
                <w:b/>
                <w:noProof/>
                <w:sz w:val="24"/>
                <w:szCs w:val="24"/>
              </w:rPr>
              <w:t>политическия диалог</w:t>
            </w:r>
            <w:r>
              <w:rPr>
                <w:rFonts w:ascii="Times New Roman" w:hAnsi="Times New Roman"/>
                <w:noProof/>
                <w:sz w:val="24"/>
                <w:szCs w:val="24"/>
              </w:rPr>
              <w:t xml:space="preserve"> и сътрудничеството с Африканския съюз и неговите членове и безпрепятственото прилагане на Африканската континентална ЗСТ, включително ангажиране с частния сектор и насърчаване на общите стандарти в Африка и улесняване на регионалната и континенталната интеграция,</w:t>
            </w:r>
          </w:p>
          <w:p>
            <w:pPr>
              <w:spacing w:after="120"/>
              <w:ind w:left="720"/>
              <w:jc w:val="both"/>
              <w:rPr>
                <w:rFonts w:ascii="Times New Roman" w:hAnsi="Times New Roman" w:cs="Times New Roman"/>
                <w:noProof/>
              </w:rPr>
            </w:pPr>
            <w:r>
              <w:rPr>
                <w:rFonts w:ascii="Times New Roman" w:hAnsi="Times New Roman"/>
                <w:noProof/>
              </w:rPr>
              <w:t xml:space="preserve">б) </w:t>
            </w:r>
            <w:r>
              <w:rPr>
                <w:rFonts w:ascii="Times New Roman" w:hAnsi="Times New Roman"/>
                <w:b/>
                <w:noProof/>
              </w:rPr>
              <w:t>задълбочаване и разширяване на своите съществуващи търговски споразумения с африканските регионални икономически общности</w:t>
            </w:r>
            <w:r>
              <w:rPr>
                <w:rFonts w:ascii="Times New Roman" w:hAnsi="Times New Roman"/>
                <w:noProof/>
              </w:rPr>
              <w:t xml:space="preserve"> и засилване на тяхното измерение за устойчивост,</w:t>
            </w:r>
          </w:p>
          <w:p>
            <w:pPr>
              <w:spacing w:after="120"/>
              <w:ind w:left="720"/>
              <w:jc w:val="both"/>
              <w:rPr>
                <w:rFonts w:ascii="Times New Roman" w:hAnsi="Times New Roman" w:cs="Times New Roman"/>
                <w:noProof/>
              </w:rPr>
            </w:pPr>
            <w:r>
              <w:rPr>
                <w:rFonts w:ascii="Times New Roman" w:hAnsi="Times New Roman"/>
                <w:noProof/>
              </w:rPr>
              <w:t xml:space="preserve">в) допълнително проучване на възможността за </w:t>
            </w:r>
            <w:r>
              <w:rPr>
                <w:rFonts w:ascii="Times New Roman" w:hAnsi="Times New Roman"/>
                <w:b/>
                <w:noProof/>
              </w:rPr>
              <w:t>укрепване на връзките и полезните взаимодействия между различните търговски режими с африканските държави,</w:t>
            </w:r>
            <w:r>
              <w:rPr>
                <w:rFonts w:ascii="Times New Roman" w:hAnsi="Times New Roman"/>
                <w:noProof/>
              </w:rPr>
              <w:t xml:space="preserve"> например чрез по-хармонизирани правила за произход при на търговията с ЕС,</w:t>
            </w:r>
          </w:p>
          <w:p>
            <w:pPr>
              <w:spacing w:after="120"/>
              <w:ind w:left="720"/>
              <w:jc w:val="both"/>
              <w:rPr>
                <w:rFonts w:ascii="Times New Roman" w:hAnsi="Times New Roman" w:cs="Times New Roman"/>
                <w:noProof/>
              </w:rPr>
            </w:pPr>
            <w:r>
              <w:rPr>
                <w:rFonts w:ascii="Times New Roman" w:hAnsi="Times New Roman"/>
                <w:noProof/>
              </w:rPr>
              <w:t xml:space="preserve">г) постигане на </w:t>
            </w:r>
            <w:r>
              <w:rPr>
                <w:rFonts w:ascii="Times New Roman" w:hAnsi="Times New Roman"/>
                <w:b/>
                <w:noProof/>
              </w:rPr>
              <w:t>споразумения за устойчиви инвестиции</w:t>
            </w:r>
            <w:r>
              <w:rPr>
                <w:rFonts w:ascii="Times New Roman" w:hAnsi="Times New Roman"/>
                <w:noProof/>
              </w:rPr>
              <w:t xml:space="preserve"> с Африка и южните съседни държави.</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 Засилване на вниманието на ЕС към изпълнението и прилагането на търговските споразумения и осигуряване на еднакви условия на конкуренция </w:t>
      </w:r>
    </w:p>
    <w:p>
      <w:pPr>
        <w:spacing w:after="120"/>
        <w:jc w:val="both"/>
        <w:rPr>
          <w:noProof/>
        </w:rPr>
      </w:pPr>
      <w:r>
        <w:rPr>
          <w:noProof/>
        </w:rPr>
        <w:t xml:space="preserve">След вълната от нови споразумения през последните години Комисията ще съсредоточи усилията си върху </w:t>
      </w:r>
      <w:r>
        <w:rPr>
          <w:b/>
          <w:bCs/>
          <w:noProof/>
        </w:rPr>
        <w:t>отключването на потенциала за извличане на ползи от търговските споразумения на ЕС</w:t>
      </w:r>
      <w:r>
        <w:rPr>
          <w:noProof/>
        </w:rPr>
        <w:t xml:space="preserve"> заедно с </w:t>
      </w:r>
      <w:r>
        <w:rPr>
          <w:b/>
          <w:bCs/>
          <w:noProof/>
        </w:rPr>
        <w:t>решително правоприлагане</w:t>
      </w:r>
      <w:r>
        <w:rPr>
          <w:noProof/>
        </w:rPr>
        <w:t xml:space="preserve"> по отношение както на ангажиментите на ЕС във връзка с достъпа до пазара, така и на тези във връзка с устойчивото развитие.</w:t>
      </w:r>
      <w:r>
        <w:rPr>
          <w:b/>
          <w:noProof/>
        </w:rPr>
        <w:t xml:space="preserve"> </w:t>
      </w:r>
      <w:r>
        <w:rPr>
          <w:noProof/>
        </w:rPr>
        <w:t xml:space="preserve">Заинтересованите страни от ЕС трябва да са наясно с възможностите, които се предлагат чрез търговските споразумения на ЕС, и да бъдат уверени, че могат да извлекат ползите, които е договорил ЕС. ЕС сключи или участва в преговори за търговски споразумения в региона на Азия и Тихоокеанския басейн и в Латинска Америка, които разкриват значителни икономически възможности. Поради това е важно да се създадат условия за ратифициране на споразуменията с Меркосур и Мексико и да се приключат текущите преговори, по-специално с Чили, Австралия и Нова Зеландия, по които се отбелязва добър напредък. В случая с Меркосур се води диалог за засилване на сътрудничеството по свързаното с устойчивото развитие измерение на споразумението, като се обърне внимание на изпълнението на Парижкото споразумение, и по-специално на проблема с обезлесяването. </w:t>
      </w:r>
    </w:p>
    <w:p>
      <w:pPr>
        <w:spacing w:after="120"/>
        <w:jc w:val="both"/>
        <w:rPr>
          <w:noProof/>
        </w:rPr>
      </w:pPr>
      <w:r>
        <w:rPr>
          <w:noProof/>
        </w:rPr>
        <w:t xml:space="preserve">Това ще бъде решаващ елемент от усилията на ЕС за постигане на отворена стратегическа автономност и ще улесни достъпа до пазари, особено за МСП. Това също така ще помогне да се противодейства на протекционистките тенденции и изкривявания, които засягат износа на ЕС. Централното значение на тази област на работа беше потвърдено през юли 2020 г. с назначаването на </w:t>
      </w:r>
      <w:r>
        <w:rPr>
          <w:b/>
          <w:noProof/>
        </w:rPr>
        <w:t>главния служител по правоприлагането в областта на търговията</w:t>
      </w:r>
      <w:r>
        <w:rPr>
          <w:noProof/>
        </w:rPr>
        <w:t>.</w:t>
      </w:r>
    </w:p>
    <w:p>
      <w:pPr>
        <w:spacing w:after="120"/>
        <w:jc w:val="both"/>
        <w:rPr>
          <w:noProof/>
        </w:rPr>
      </w:pPr>
      <w:r>
        <w:rPr>
          <w:noProof/>
        </w:rPr>
        <w:t xml:space="preserve">Това означава да се работи в следните области: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b/>
          <w:noProof/>
          <w:color w:val="000000" w:themeColor="text1"/>
          <w:sz w:val="24"/>
          <w:szCs w:val="24"/>
        </w:rPr>
        <w:t>пълноценно оползотворяване на възможностите, които се предоставят чрез изпълнение на търговските споразумения.</w:t>
      </w:r>
      <w:r>
        <w:rPr>
          <w:rFonts w:ascii="Times New Roman" w:hAnsi="Times New Roman"/>
          <w:noProof/>
          <w:color w:val="000000" w:themeColor="text1"/>
          <w:sz w:val="24"/>
          <w:szCs w:val="24"/>
        </w:rPr>
        <w:t xml:space="preserve"> ЕС ще използва всички вътрешно заложени възможности за гъвкавост в търговските си споразумения, така че те да са адекватни за поставените цели и да отговарят на новите предизвикателства, свързани с екологичния и цифровия преход. ЕС ще продължи също така да използва своята стратегия за подпомагане на търговията, за да помага на развиващите се държави да изпълняват търговските споразумения и да подкрепя спазването на правилата и стандартите, по-специално по отношение на устойчивото развитие;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sz w:val="24"/>
          <w:szCs w:val="24"/>
        </w:rPr>
        <w:t>оказване на подкрепа на заинтересованите страни от ЕС да извличат максимални ползи от възможностите, които се създават чрез споразуменията на ЕС</w:t>
      </w:r>
      <w:r>
        <w:rPr>
          <w:rFonts w:ascii="Times New Roman" w:hAnsi="Times New Roman"/>
          <w:noProof/>
          <w:sz w:val="24"/>
          <w:szCs w:val="24"/>
        </w:rPr>
        <w:t>.</w:t>
      </w:r>
      <w:r>
        <w:rPr>
          <w:rFonts w:ascii="Times New Roman" w:hAnsi="Times New Roman"/>
          <w:noProof/>
          <w:color w:val="000000" w:themeColor="text1"/>
          <w:sz w:val="24"/>
          <w:szCs w:val="24"/>
        </w:rPr>
        <w:t xml:space="preserve"> Комисията ще доразвие успеха на </w:t>
      </w:r>
      <w:r>
        <w:rPr>
          <w:rFonts w:ascii="Times New Roman" w:hAnsi="Times New Roman"/>
          <w:b/>
          <w:bCs/>
          <w:noProof/>
          <w:color w:val="000000" w:themeColor="text1"/>
          <w:sz w:val="24"/>
          <w:szCs w:val="24"/>
        </w:rPr>
        <w:t>портала Access2Markets</w:t>
      </w:r>
      <w:r>
        <w:rPr>
          <w:rFonts w:ascii="Times New Roman" w:hAnsi="Times New Roman"/>
          <w:noProof/>
          <w:color w:val="000000" w:themeColor="text1"/>
          <w:sz w:val="24"/>
          <w:szCs w:val="24"/>
        </w:rPr>
        <w:t>, ще интегрира в него допълнителни функции и ще го свърже с други важни информационни канали</w:t>
      </w:r>
      <w:r>
        <w:rPr>
          <w:rStyle w:val="FootnoteReference"/>
          <w:rFonts w:ascii="Times New Roman" w:hAnsi="Times New Roman" w:cs="Times New Roman"/>
          <w:noProof/>
          <w:color w:val="000000" w:themeColor="text1"/>
          <w:sz w:val="24"/>
          <w:szCs w:val="24"/>
        </w:rPr>
        <w:footnoteReference w:id="32"/>
      </w:r>
      <w:r>
        <w:rPr>
          <w:rFonts w:ascii="Times New Roman" w:hAnsi="Times New Roman"/>
          <w:noProof/>
          <w:color w:val="000000" w:themeColor="text1"/>
          <w:sz w:val="24"/>
          <w:szCs w:val="24"/>
        </w:rPr>
        <w:t>, особено за МСП. Комисията също така ще продължи да подкрепя сектора на селското стопанство и хранително-вкусовата промишленост на ЕС, които са съставени предимно от МСП, като се съсредоточи върху насърчаване на устойчивостта и качеството на техните продукти и ги превърне в еталон за устойчивата продоволствена система на ЕС;</w:t>
      </w:r>
      <w:r>
        <w:rPr>
          <w:rFonts w:ascii="Times New Roman" w:hAnsi="Times New Roman"/>
          <w:noProof/>
          <w:color w:val="000000" w:themeColor="text1"/>
          <w:sz w:val="24"/>
          <w:szCs w:val="24"/>
          <w:highlight w:val="yellow"/>
        </w:rPr>
        <w:t xml:space="preserve">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наблюдение на правилното изпълнение и прилагане на търговските споразумения на ЕС</w:t>
      </w:r>
      <w:r>
        <w:rPr>
          <w:rFonts w:ascii="Times New Roman" w:hAnsi="Times New Roman"/>
          <w:noProof/>
          <w:color w:val="000000" w:themeColor="text1"/>
          <w:sz w:val="24"/>
          <w:szCs w:val="24"/>
        </w:rPr>
        <w:t xml:space="preserve"> и улесняване на обработването на жалби, свързани с пречки за достъп до пазара и нарушения на ангажиментите в областта на търговията и устойчивото развитие, чрез единната входна точка. Комисията ще работи с държавите — членки на ЕС, Европейския парламент и заинтересованите страни за наблюдението на изпълнението от страна на търговските партньори на ЕС и за гарантирането на съгласуван подход; тя ще предложи конкретен законодателен акт, необходим за прилагане, </w:t>
      </w:r>
      <w:r>
        <w:rPr>
          <w:rFonts w:ascii="Times New Roman" w:hAnsi="Times New Roman"/>
          <w:i/>
          <w:iCs/>
          <w:noProof/>
          <w:color w:val="000000" w:themeColor="text1"/>
          <w:sz w:val="24"/>
          <w:szCs w:val="24"/>
        </w:rPr>
        <w:t>inter alia</w:t>
      </w:r>
      <w:r>
        <w:rPr>
          <w:rFonts w:ascii="Times New Roman" w:hAnsi="Times New Roman"/>
          <w:noProof/>
          <w:color w:val="000000" w:themeColor="text1"/>
          <w:sz w:val="24"/>
          <w:szCs w:val="24"/>
        </w:rPr>
        <w:t>, на свързаните с търговията разпоредби на Споразумението за търговия и сътрудничество между ЕС и Обединеното кралство;</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noProof/>
          <w:lang w:val="en-GB" w:eastAsia="en-GB"/>
        </w:rPr>
        <mc:AlternateContent>
          <mc:Choice Requires="wps">
            <w:drawing>
              <wp:anchor distT="45720" distB="45720" distL="114300" distR="114300" simplePos="0" relativeHeight="251657728" behindDoc="0" locked="0" layoutInCell="1" allowOverlap="1">
                <wp:simplePos x="0" y="0"/>
                <wp:positionH relativeFrom="column">
                  <wp:posOffset>189865</wp:posOffset>
                </wp:positionH>
                <wp:positionV relativeFrom="paragraph">
                  <wp:posOffset>552450</wp:posOffset>
                </wp:positionV>
                <wp:extent cx="2628900" cy="430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305300"/>
                        </a:xfrm>
                        <a:prstGeom prst="rect">
                          <a:avLst/>
                        </a:prstGeom>
                        <a:solidFill>
                          <a:srgbClr val="FFFFFF"/>
                        </a:solidFill>
                        <a:ln w="9525">
                          <a:solidFill>
                            <a:srgbClr val="000000"/>
                          </a:solidFill>
                          <a:miter lim="800000"/>
                          <a:headEnd/>
                          <a:tailEnd/>
                        </a:ln>
                      </wps:spPr>
                      <wps:txbx>
                        <w:txbxContent>
                          <w:p>
                            <w:pPr>
                              <w:spacing w:after="120"/>
                              <w:jc w:val="both"/>
                              <w:rPr>
                                <w:b/>
                                <w:i/>
                                <w:sz w:val="16"/>
                                <w:szCs w:val="16"/>
                              </w:rPr>
                            </w:pPr>
                            <w:r>
                              <w:rPr>
                                <w:b/>
                                <w:i/>
                                <w:sz w:val="16"/>
                                <w:szCs w:val="16"/>
                              </w:rPr>
                              <w:t>Нови онлайн инструменти в подкрепа на предприятията от ЕС, по-специално МСП:</w:t>
                            </w:r>
                          </w:p>
                          <w:p>
                            <w:pPr>
                              <w:pStyle w:val="ListParagraph"/>
                              <w:numPr>
                                <w:ilvl w:val="0"/>
                                <w:numId w:val="7"/>
                              </w:numPr>
                              <w:spacing w:after="120" w:line="240" w:lineRule="auto"/>
                              <w:contextualSpacing w:val="0"/>
                              <w:jc w:val="both"/>
                              <w:rPr>
                                <w:i/>
                                <w:sz w:val="16"/>
                                <w:szCs w:val="16"/>
                              </w:rPr>
                            </w:pPr>
                            <w:r>
                              <w:rPr>
                                <w:i/>
                                <w:sz w:val="16"/>
                                <w:szCs w:val="16"/>
                              </w:rPr>
                              <w:t xml:space="preserve">проучване на </w:t>
                            </w:r>
                            <w:r>
                              <w:rPr>
                                <w:b/>
                                <w:i/>
                                <w:sz w:val="16"/>
                                <w:szCs w:val="16"/>
                              </w:rPr>
                              <w:t>по-ефикасни цифрови системи за улесняване на търговията и спазване на регулаторните изисквания</w:t>
                            </w:r>
                            <w:r>
                              <w:rPr>
                                <w:i/>
                                <w:sz w:val="16"/>
                                <w:szCs w:val="16"/>
                              </w:rPr>
                              <w:t>, основани на средата на Европейския съюз за митническо обслужване на едно гише и Информационната и комуникационна система на ЕС за надзор на пазара (ICSMS), и разглеждане в този контекст на възможността за цифровизация на информацията за съответствие на продуктите, включително сертификатите за съответствието на продуктите, и прилагането ѝ в законодателството на ЕС;</w:t>
                            </w:r>
                          </w:p>
                          <w:p>
                            <w:pPr>
                              <w:pStyle w:val="ListParagraph"/>
                              <w:numPr>
                                <w:ilvl w:val="0"/>
                                <w:numId w:val="7"/>
                              </w:numPr>
                              <w:spacing w:after="120" w:line="240" w:lineRule="auto"/>
                              <w:contextualSpacing w:val="0"/>
                              <w:jc w:val="both"/>
                              <w:rPr>
                                <w:i/>
                                <w:sz w:val="16"/>
                                <w:szCs w:val="16"/>
                              </w:rPr>
                            </w:pPr>
                            <w:r>
                              <w:rPr>
                                <w:i/>
                                <w:sz w:val="16"/>
                                <w:szCs w:val="16"/>
                              </w:rPr>
                              <w:t xml:space="preserve">създаване на нов инструмент за </w:t>
                            </w:r>
                            <w:r>
                              <w:rPr>
                                <w:b/>
                                <w:i/>
                                <w:sz w:val="16"/>
                                <w:szCs w:val="16"/>
                              </w:rPr>
                              <w:t>достъп до обществени поръчки (A2P)</w:t>
                            </w:r>
                            <w:r>
                              <w:rPr>
                                <w:i/>
                                <w:sz w:val="16"/>
                                <w:szCs w:val="16"/>
                              </w:rPr>
                              <w:t>, който позволява на стопанските субекти от ЕС да установяват дали и при какви условия имат законово гарантиран достъп до процедури за възлагане на обществени поръчки в трети държави;</w:t>
                            </w:r>
                          </w:p>
                          <w:p>
                            <w:pPr>
                              <w:pStyle w:val="ListParagraph"/>
                              <w:numPr>
                                <w:ilvl w:val="0"/>
                                <w:numId w:val="7"/>
                              </w:numPr>
                              <w:spacing w:after="120" w:line="240" w:lineRule="auto"/>
                              <w:contextualSpacing w:val="0"/>
                              <w:jc w:val="both"/>
                              <w:rPr>
                                <w:i/>
                                <w:sz w:val="16"/>
                                <w:szCs w:val="16"/>
                              </w:rPr>
                            </w:pPr>
                            <w:r>
                              <w:rPr>
                                <w:i/>
                                <w:sz w:val="16"/>
                                <w:szCs w:val="16"/>
                              </w:rPr>
                              <w:t xml:space="preserve">разширяване на инструмента за </w:t>
                            </w:r>
                            <w:r>
                              <w:rPr>
                                <w:b/>
                                <w:i/>
                                <w:sz w:val="16"/>
                                <w:szCs w:val="16"/>
                              </w:rPr>
                              <w:t>онлайн достъп до портала Access2Markets (A2M)</w:t>
                            </w:r>
                            <w:r>
                              <w:rPr>
                                <w:i/>
                                <w:sz w:val="16"/>
                                <w:szCs w:val="16"/>
                              </w:rPr>
                              <w:t xml:space="preserve">, за да се увеличи обемът на информацията и се включат данни относно износителите на </w:t>
                            </w:r>
                            <w:r>
                              <w:rPr>
                                <w:b/>
                                <w:i/>
                                <w:sz w:val="16"/>
                                <w:szCs w:val="16"/>
                              </w:rPr>
                              <w:t>съюзни услуги</w:t>
                            </w:r>
                            <w:r>
                              <w:rPr>
                                <w:i/>
                                <w:sz w:val="16"/>
                                <w:szCs w:val="16"/>
                              </w:rPr>
                              <w:t xml:space="preserve"> и </w:t>
                            </w:r>
                            <w:r>
                              <w:rPr>
                                <w:b/>
                                <w:i/>
                                <w:sz w:val="16"/>
                                <w:szCs w:val="16"/>
                              </w:rPr>
                              <w:t>инвеститорите от ЕС</w:t>
                            </w:r>
                            <w:r>
                              <w:rPr>
                                <w:i/>
                                <w:sz w:val="16"/>
                                <w:szCs w:val="16"/>
                              </w:rPr>
                              <w:t xml:space="preserve"> и обмисляне на други надстройки на платформата;</w:t>
                            </w:r>
                          </w:p>
                          <w:p>
                            <w:pPr>
                              <w:pStyle w:val="ListParagraph"/>
                              <w:numPr>
                                <w:ilvl w:val="0"/>
                                <w:numId w:val="7"/>
                              </w:numPr>
                              <w:spacing w:after="120" w:line="240" w:lineRule="auto"/>
                              <w:contextualSpacing w:val="0"/>
                              <w:jc w:val="both"/>
                              <w:rPr>
                                <w:i/>
                                <w:sz w:val="16"/>
                                <w:szCs w:val="16"/>
                              </w:rPr>
                            </w:pPr>
                            <w:r>
                              <w:rPr>
                                <w:i/>
                                <w:sz w:val="16"/>
                                <w:szCs w:val="16"/>
                              </w:rPr>
                              <w:t>подобряване на Инструмента за самооценка във връзка с правилата за произход (ROSA), за да се помогне на предприятията, по-специално МСП от ЕС, да прилагат правилно правилата за произход при износ в трети държави.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95pt;margin-top:43.5pt;width:207pt;height:3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8gJw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">
                <v:textbox>
                  <w:txbxContent>
                    <w:p>
                      <w:pPr>
                        <w:spacing w:after="120"/>
                        <w:jc w:val="both"/>
                        <w:rPr>
                          <w:b/>
                          <w:i/>
                          <w:sz w:val="16"/>
                          <w:szCs w:val="16"/>
                        </w:rPr>
                      </w:pPr>
                      <w:r>
                        <w:rPr>
                          <w:b/>
                          <w:i/>
                          <w:sz w:val="16"/>
                          <w:szCs w:val="16"/>
                        </w:rPr>
                        <w:t>Нови онлайн инструменти в подкрепа на предприятията от ЕС, по-специално МСП:</w:t>
                      </w:r>
                    </w:p>
                    <w:p>
                      <w:pPr>
                        <w:pStyle w:val="ListParagraph"/>
                        <w:numPr>
                          <w:ilvl w:val="0"/>
                          <w:numId w:val="7"/>
                        </w:numPr>
                        <w:spacing w:after="120" w:line="240" w:lineRule="auto"/>
                        <w:contextualSpacing w:val="0"/>
                        <w:jc w:val="both"/>
                        <w:rPr>
                          <w:i/>
                          <w:sz w:val="16"/>
                          <w:szCs w:val="16"/>
                        </w:rPr>
                      </w:pPr>
                      <w:r>
                        <w:rPr>
                          <w:i/>
                          <w:sz w:val="16"/>
                          <w:szCs w:val="16"/>
                        </w:rPr>
                        <w:t xml:space="preserve">проучване на </w:t>
                      </w:r>
                      <w:r>
                        <w:rPr>
                          <w:b/>
                          <w:i/>
                          <w:sz w:val="16"/>
                          <w:szCs w:val="16"/>
                        </w:rPr>
                        <w:t>по-ефикасни цифрови системи за улесняване на търговията и спазване на регулаторните изисквания</w:t>
                      </w:r>
                      <w:r>
                        <w:rPr>
                          <w:i/>
                          <w:sz w:val="16"/>
                          <w:szCs w:val="16"/>
                        </w:rPr>
                        <w:t>, основани на средата на Европейския съюз за митническо обслужване на едно гише и Информационната и комуникационна система на ЕС за надзор на пазара (ICSMS), и разглеждане в този контекст на възможността за цифровизация на информацията за съответствие на продуктите, включително сертификатите за съответствието на продуктите, и прилагането ѝ в законодателството на ЕС;</w:t>
                      </w:r>
                    </w:p>
                    <w:p>
                      <w:pPr>
                        <w:pStyle w:val="ListParagraph"/>
                        <w:numPr>
                          <w:ilvl w:val="0"/>
                          <w:numId w:val="7"/>
                        </w:numPr>
                        <w:spacing w:after="120" w:line="240" w:lineRule="auto"/>
                        <w:contextualSpacing w:val="0"/>
                        <w:jc w:val="both"/>
                        <w:rPr>
                          <w:i/>
                          <w:sz w:val="16"/>
                          <w:szCs w:val="16"/>
                        </w:rPr>
                      </w:pPr>
                      <w:r>
                        <w:rPr>
                          <w:i/>
                          <w:sz w:val="16"/>
                          <w:szCs w:val="16"/>
                        </w:rPr>
                        <w:t xml:space="preserve">създаване на нов инструмент за </w:t>
                      </w:r>
                      <w:r>
                        <w:rPr>
                          <w:b/>
                          <w:i/>
                          <w:sz w:val="16"/>
                          <w:szCs w:val="16"/>
                        </w:rPr>
                        <w:t>достъп до обществени поръчки (A2P)</w:t>
                      </w:r>
                      <w:r>
                        <w:rPr>
                          <w:i/>
                          <w:sz w:val="16"/>
                          <w:szCs w:val="16"/>
                        </w:rPr>
                        <w:t>, който позволява на стопанските субекти от ЕС да установяват дали и при какви условия имат законово гарантиран достъп до процедури за възлагане на обществени поръчки в трети държави;</w:t>
                      </w:r>
                    </w:p>
                    <w:p>
                      <w:pPr>
                        <w:pStyle w:val="ListParagraph"/>
                        <w:numPr>
                          <w:ilvl w:val="0"/>
                          <w:numId w:val="7"/>
                        </w:numPr>
                        <w:spacing w:after="120" w:line="240" w:lineRule="auto"/>
                        <w:contextualSpacing w:val="0"/>
                        <w:jc w:val="both"/>
                        <w:rPr>
                          <w:i/>
                          <w:sz w:val="16"/>
                          <w:szCs w:val="16"/>
                        </w:rPr>
                      </w:pPr>
                      <w:r>
                        <w:rPr>
                          <w:i/>
                          <w:sz w:val="16"/>
                          <w:szCs w:val="16"/>
                        </w:rPr>
                        <w:t xml:space="preserve">разширяване на инструмента за </w:t>
                      </w:r>
                      <w:r>
                        <w:rPr>
                          <w:b/>
                          <w:i/>
                          <w:sz w:val="16"/>
                          <w:szCs w:val="16"/>
                        </w:rPr>
                        <w:t>онлайн достъп до портала Access2Markets (A2M)</w:t>
                      </w:r>
                      <w:r>
                        <w:rPr>
                          <w:i/>
                          <w:sz w:val="16"/>
                          <w:szCs w:val="16"/>
                        </w:rPr>
                        <w:t xml:space="preserve">, за да се увеличи обемът на информацията и се включат данни относно износителите на </w:t>
                      </w:r>
                      <w:r>
                        <w:rPr>
                          <w:b/>
                          <w:i/>
                          <w:sz w:val="16"/>
                          <w:szCs w:val="16"/>
                        </w:rPr>
                        <w:t>съюзни услуги</w:t>
                      </w:r>
                      <w:r>
                        <w:rPr>
                          <w:i/>
                          <w:sz w:val="16"/>
                          <w:szCs w:val="16"/>
                        </w:rPr>
                        <w:t xml:space="preserve"> и </w:t>
                      </w:r>
                      <w:r>
                        <w:rPr>
                          <w:b/>
                          <w:i/>
                          <w:sz w:val="16"/>
                          <w:szCs w:val="16"/>
                        </w:rPr>
                        <w:t>инвеститорите от ЕС</w:t>
                      </w:r>
                      <w:r>
                        <w:rPr>
                          <w:i/>
                          <w:sz w:val="16"/>
                          <w:szCs w:val="16"/>
                        </w:rPr>
                        <w:t xml:space="preserve"> и обмисляне на други надстройки на платформата;</w:t>
                      </w:r>
                    </w:p>
                    <w:p>
                      <w:pPr>
                        <w:pStyle w:val="ListParagraph"/>
                        <w:numPr>
                          <w:ilvl w:val="0"/>
                          <w:numId w:val="7"/>
                        </w:numPr>
                        <w:spacing w:after="120" w:line="240" w:lineRule="auto"/>
                        <w:contextualSpacing w:val="0"/>
                        <w:jc w:val="both"/>
                        <w:rPr>
                          <w:i/>
                          <w:sz w:val="16"/>
                          <w:szCs w:val="16"/>
                        </w:rPr>
                      </w:pPr>
                      <w:r>
                        <w:rPr>
                          <w:i/>
                          <w:sz w:val="16"/>
                          <w:szCs w:val="16"/>
                        </w:rPr>
                        <w:t>подобряване на Инструмента за самооценка във връзка с правилата за произход (ROSA), за да се помогне на предприятията, по-специално МСП от ЕС, да прилагат правилно правилата за произход при износ в трети държави.</w:t>
                      </w:r>
                    </w:p>
                  </w:txbxContent>
                </v:textbox>
                <w10:wrap type="square"/>
              </v:shape>
            </w:pict>
          </mc:Fallback>
        </mc:AlternateContent>
      </w:r>
      <w:r>
        <w:rPr>
          <w:rFonts w:ascii="Times New Roman" w:hAnsi="Times New Roman"/>
          <w:noProof/>
          <w:color w:val="000000" w:themeColor="text1"/>
          <w:sz w:val="24"/>
          <w:szCs w:val="24"/>
        </w:rPr>
        <w:t xml:space="preserve">справяне с неспазването чрез </w:t>
      </w:r>
      <w:r>
        <w:rPr>
          <w:rFonts w:ascii="Times New Roman" w:hAnsi="Times New Roman"/>
          <w:b/>
          <w:noProof/>
          <w:color w:val="000000" w:themeColor="text1"/>
          <w:sz w:val="24"/>
          <w:szCs w:val="24"/>
        </w:rPr>
        <w:t>механизма на СТО за уреждане на спорове или чрез двустранен механизъм за уреждане на спорове</w:t>
      </w:r>
      <w:r>
        <w:rPr>
          <w:rFonts w:ascii="Times New Roman" w:hAnsi="Times New Roman"/>
          <w:noProof/>
          <w:color w:val="000000" w:themeColor="text1"/>
          <w:sz w:val="24"/>
          <w:szCs w:val="24"/>
        </w:rPr>
        <w:t xml:space="preserve">, когато други средства не постигат успех. </w:t>
      </w:r>
      <w:r>
        <w:rPr>
          <w:noProof/>
        </w:rPr>
        <w:t xml:space="preserve">С </w:t>
      </w:r>
      <w:r>
        <w:rPr>
          <w:rFonts w:ascii="Times New Roman" w:hAnsi="Times New Roman"/>
          <w:b/>
          <w:noProof/>
          <w:color w:val="000000" w:themeColor="text1"/>
          <w:sz w:val="24"/>
          <w:szCs w:val="24"/>
        </w:rPr>
        <w:t>актуализирания Регламент за осигуряване на съблюдаването</w:t>
      </w:r>
      <w:r>
        <w:rPr>
          <w:rStyle w:val="FootnoteReference"/>
          <w:rFonts w:ascii="Times New Roman" w:hAnsi="Times New Roman" w:cs="Times New Roman"/>
          <w:b/>
          <w:noProof/>
          <w:sz w:val="24"/>
          <w:szCs w:val="24"/>
        </w:rPr>
        <w:footnoteReference w:id="33"/>
      </w:r>
      <w:r>
        <w:rPr>
          <w:rStyle w:val="FootnoteReference"/>
          <w:b/>
          <w:noProof/>
        </w:rPr>
        <w:t xml:space="preserve">  </w:t>
      </w:r>
      <w:r>
        <w:rPr>
          <w:noProof/>
        </w:rPr>
        <w:t xml:space="preserve">се </w:t>
      </w:r>
      <w:r>
        <w:rPr>
          <w:rFonts w:ascii="Times New Roman" w:hAnsi="Times New Roman"/>
          <w:noProof/>
          <w:color w:val="000000" w:themeColor="text1"/>
          <w:sz w:val="24"/>
          <w:szCs w:val="24"/>
        </w:rPr>
        <w:t xml:space="preserve">укрепва капацитетът на ЕС да действа в ситуации, при които уреждането на спорове чрез механизма на СТО или чрез двустранни споразумения е блокирано;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продължи да използва </w:t>
      </w:r>
      <w:r>
        <w:rPr>
          <w:rFonts w:ascii="Times New Roman" w:hAnsi="Times New Roman"/>
          <w:b/>
          <w:noProof/>
          <w:color w:val="000000" w:themeColor="text1"/>
          <w:sz w:val="24"/>
          <w:szCs w:val="24"/>
        </w:rPr>
        <w:t>инструментите за търговска защита</w:t>
      </w:r>
      <w:r>
        <w:rPr>
          <w:rFonts w:ascii="Times New Roman" w:hAnsi="Times New Roman"/>
          <w:noProof/>
          <w:color w:val="000000" w:themeColor="text1"/>
          <w:sz w:val="24"/>
          <w:szCs w:val="24"/>
        </w:rPr>
        <w:t xml:space="preserve"> по категоричен начин, така че европейската промишленост да не бъде изложена на нелоялни търговски практики. Това включва и проследяване на новите форми на субсидиране от страна на трети държави, например в областта на инвестиционното финансиране, и предприемане на съответните адекватни мерки за налагане на изравнителни мита.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в </w:t>
      </w:r>
      <w:r>
        <w:rPr>
          <w:rFonts w:ascii="Times New Roman" w:hAnsi="Times New Roman"/>
          <w:b/>
          <w:bCs/>
          <w:noProof/>
          <w:color w:val="000000" w:themeColor="text1"/>
          <w:sz w:val="24"/>
          <w:szCs w:val="24"/>
        </w:rPr>
        <w:t>областта на сигурността</w:t>
      </w:r>
      <w:r>
        <w:rPr>
          <w:rFonts w:ascii="Times New Roman" w:hAnsi="Times New Roman"/>
          <w:noProof/>
          <w:color w:val="000000" w:themeColor="text1"/>
          <w:sz w:val="24"/>
          <w:szCs w:val="24"/>
        </w:rPr>
        <w:t xml:space="preserve">, съгласно </w:t>
      </w:r>
      <w:r>
        <w:rPr>
          <w:rFonts w:ascii="Times New Roman" w:hAnsi="Times New Roman"/>
          <w:b/>
          <w:bCs/>
          <w:noProof/>
          <w:color w:val="000000" w:themeColor="text1"/>
          <w:sz w:val="24"/>
          <w:szCs w:val="24"/>
        </w:rPr>
        <w:t>Регламента за скрининг на преки чуждестранни инвестиции (ПЧИ)</w:t>
      </w:r>
      <w:r>
        <w:rPr>
          <w:rFonts w:ascii="Times New Roman" w:hAnsi="Times New Roman"/>
          <w:noProof/>
          <w:color w:val="000000" w:themeColor="text1"/>
          <w:sz w:val="24"/>
          <w:szCs w:val="24"/>
        </w:rPr>
        <w:t>, Комисията повтаря призива си към всички държави членки да създадат и наложат пълноценен механизъм за скрининг на ПЧИ, за да намерят решение за случаи, при които придобиването на дадена стопанска дейност, инфраструктура или технология или контролът върху тях биха създали риск за сигурността или обществения ред в ЕС</w:t>
      </w:r>
      <w:r>
        <w:rPr>
          <w:rStyle w:val="FootnoteReference"/>
          <w:rFonts w:ascii="Times New Roman" w:hAnsi="Times New Roman" w:cs="Times New Roman"/>
          <w:noProof/>
          <w:color w:val="000000" w:themeColor="text1"/>
          <w:sz w:val="24"/>
          <w:szCs w:val="24"/>
        </w:rPr>
        <w:footnoteReference w:id="34"/>
      </w:r>
      <w:r>
        <w:rPr>
          <w:noProof/>
        </w:rPr>
        <w:t>.</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Комисията ще продължи да прилага механизма за сътрудничество с органите на държавите членки за защита на сигурността и обществения ред от рискови преки чуждестранни инвестиции и ще обмисли подобряване на механизма за сътрудничество, установен с регламента за скрининг на ПЧИ;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Комисията</w:t>
      </w:r>
      <w:r>
        <w:rPr>
          <w:rFonts w:ascii="Times New Roman" w:hAnsi="Times New Roman"/>
          <w:noProof/>
          <w:sz w:val="24"/>
          <w:szCs w:val="24"/>
        </w:rPr>
        <w:t xml:space="preserve"> ще работи с органите на държавите членки, за да осигури ефективното изпълнение на осъвременения </w:t>
      </w:r>
      <w:r>
        <w:rPr>
          <w:rFonts w:ascii="Times New Roman" w:hAnsi="Times New Roman"/>
          <w:b/>
          <w:noProof/>
          <w:sz w:val="24"/>
          <w:szCs w:val="24"/>
        </w:rPr>
        <w:t>Регламент относно контрола върху износа</w:t>
      </w:r>
      <w:r>
        <w:rPr>
          <w:rStyle w:val="FootnoteReference"/>
          <w:rFonts w:ascii="Times New Roman" w:hAnsi="Times New Roman" w:cs="Times New Roman"/>
          <w:b/>
          <w:noProof/>
          <w:sz w:val="24"/>
          <w:szCs w:val="24"/>
        </w:rPr>
        <w:footnoteReference w:id="35"/>
      </w:r>
      <w:r>
        <w:rPr>
          <w:rFonts w:ascii="Times New Roman" w:hAnsi="Times New Roman"/>
          <w:noProof/>
          <w:sz w:val="24"/>
          <w:szCs w:val="24"/>
        </w:rPr>
        <w:t xml:space="preserve"> на чувствителни стоки и технологии с двойна употреба, за да подкрепи сигурни вериги за създаване на стойност, да насърчи международната сигурност, да защити правата на човека и да осигури еднакви условия на конкуренция за износителите от ЕС. </w:t>
      </w:r>
    </w:p>
    <w:p>
      <w:pPr>
        <w:spacing w:after="120"/>
        <w:jc w:val="both"/>
        <w:rPr>
          <w:noProof/>
        </w:rPr>
      </w:pPr>
      <w:r>
        <w:rPr>
          <w:noProof/>
        </w:rPr>
        <w:t xml:space="preserve">Независимо от това е необходимо ЕС да </w:t>
      </w:r>
      <w:r>
        <w:rPr>
          <w:b/>
          <w:noProof/>
        </w:rPr>
        <w:t>разработи свои инструменти, за да се справя с новите предизвикателства</w:t>
      </w:r>
      <w:r>
        <w:rPr>
          <w:noProof/>
        </w:rPr>
        <w:t xml:space="preserve"> и да защитава европейските предприятия и граждани от нелоялни търговски практики, както на своята територия, така и извън нея.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предложи нов правен инструмент в областта на търговската политика, за да бъде защитен ЕС от потенциални </w:t>
      </w:r>
      <w:r>
        <w:rPr>
          <w:rFonts w:ascii="Times New Roman" w:hAnsi="Times New Roman"/>
          <w:b/>
          <w:bCs/>
          <w:noProof/>
          <w:sz w:val="24"/>
          <w:szCs w:val="24"/>
        </w:rPr>
        <w:t>принудителни действия</w:t>
      </w:r>
      <w:r>
        <w:rPr>
          <w:rFonts w:ascii="Times New Roman" w:hAnsi="Times New Roman"/>
          <w:noProof/>
          <w:sz w:val="24"/>
          <w:szCs w:val="24"/>
        </w:rPr>
        <w:t xml:space="preserve"> от страна на трети държави;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предложи правен инструмент за справяне с </w:t>
      </w:r>
      <w:r>
        <w:rPr>
          <w:rFonts w:ascii="Times New Roman" w:hAnsi="Times New Roman"/>
          <w:b/>
          <w:noProof/>
          <w:sz w:val="24"/>
          <w:szCs w:val="24"/>
        </w:rPr>
        <w:t>произтичащото от чуждестранните субсидии изкривяване на конкуренцията на вътрешния пазар на ЕС</w:t>
      </w:r>
      <w:r>
        <w:rPr>
          <w:rFonts w:ascii="Times New Roman" w:hAnsi="Times New Roman"/>
          <w:noProof/>
          <w:sz w:val="24"/>
          <w:szCs w:val="24"/>
        </w:rPr>
        <w:t xml:space="preserve">;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подобри реципрочният достъп на стопанските субекти от ЕС в областта на обществените поръчки, Комисията ще се стреми да ускори работата по </w:t>
      </w:r>
      <w:r>
        <w:rPr>
          <w:rFonts w:ascii="Times New Roman" w:hAnsi="Times New Roman"/>
          <w:b/>
          <w:noProof/>
          <w:sz w:val="24"/>
          <w:szCs w:val="24"/>
        </w:rPr>
        <w:t>нормативния акт за международните обществени поръчки и призовава Съвета да завърши работата си в спешен порядък</w:t>
      </w:r>
      <w:r>
        <w:rPr>
          <w:rFonts w:ascii="Times New Roman" w:hAnsi="Times New Roman"/>
          <w:noProof/>
          <w:sz w:val="24"/>
          <w:szCs w:val="24"/>
        </w:rPr>
        <w:t xml:space="preserve">;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за да се осигурят по-успешно еднакви условия на конкуренция за предприятията от ЕС на пазарите на трети държави, на които те все по-често трябва да се конкурират с финансовата подкрепа, която чуждестранните конкуренти получават от своите правителства, Комисията ще проучи </w:t>
      </w:r>
      <w:r>
        <w:rPr>
          <w:rFonts w:ascii="Times New Roman" w:hAnsi="Times New Roman"/>
          <w:b/>
          <w:noProof/>
          <w:sz w:val="24"/>
          <w:szCs w:val="24"/>
        </w:rPr>
        <w:t>варианти за стратегия на ЕС за експортно кредитиране</w:t>
      </w:r>
      <w:r>
        <w:rPr>
          <w:rFonts w:ascii="Times New Roman" w:hAnsi="Times New Roman"/>
          <w:noProof/>
          <w:sz w:val="24"/>
          <w:szCs w:val="24"/>
        </w:rPr>
        <w:t>. Това ще включва механизъм на ЕС за експортно кредитиране и засилена координация на финансовите инструменти на ЕС. В съответствие с целта на Зеления пакт за постепенно премахване на субсидиите за изкопаеми горива Комисията също така ще стимулира благоприятните за климата технологични проекти и ще предложи незабавно прекратяване на подкрепата за сектора за производство на електроенергия от въглища и възпиране на всякакви допълнителни инвестиции в проекти за енергийна инфраструктура на база изкопаеми горива в трети държави, освен ако те са в пълно съответствие с амбициозен, ясно определен план за постигане на неутралност по отношение на климата съгласно дългосрочните цели на Парижкото споразумение и най-добрите налични научни данни.</w:t>
      </w:r>
    </w:p>
    <w:p>
      <w:pPr>
        <w:spacing w:after="120"/>
        <w:jc w:val="both"/>
        <w:rPr>
          <w:noProof/>
        </w:rPr>
      </w:pPr>
      <w:r>
        <w:rPr>
          <w:noProof/>
        </w:rPr>
        <w:t xml:space="preserve">Комисията ще продължи да работи за </w:t>
      </w:r>
      <w:r>
        <w:rPr>
          <w:b/>
          <w:noProof/>
        </w:rPr>
        <w:t>хармонизиране на преференциалните правила за произход в търговските споразумения на ЕС</w:t>
      </w:r>
      <w:r>
        <w:rPr>
          <w:noProof/>
        </w:rPr>
        <w:t xml:space="preserve">, като отчита интересите на заинтересованите страни от ЕС, и особено на МСП. </w:t>
      </w:r>
    </w:p>
    <w:p>
      <w:pPr>
        <w:spacing w:after="120"/>
        <w:jc w:val="both"/>
        <w:rPr>
          <w:noProof/>
        </w:rPr>
      </w:pPr>
      <w:r>
        <w:rPr>
          <w:noProof/>
        </w:rPr>
        <w:t>Отключването на потенциала за извличане на ползи от търговските споразумения на ЕС за частните лица и предприятията, по-системното справяне със съществуващите пречки и предотвратяването на появата на нови изискват колективните усилия на всички институции на ЕС, държавите членки, както и гражданското общество и други заинтересовани страни. Комисията ще ръководи тези усилия, включително чрез работата на делегациите на ЕС и мрежите, които държавите членки и стопанските асоциации имат в трети държави.</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Основни действия</w:t>
            </w:r>
          </w:p>
          <w:p>
            <w:pPr>
              <w:spacing w:after="120"/>
              <w:jc w:val="both"/>
              <w:rPr>
                <w:rFonts w:ascii="Times New Roman" w:hAnsi="Times New Roman" w:cs="Times New Roman"/>
                <w:b/>
                <w:noProof/>
              </w:rPr>
            </w:pPr>
            <w:r>
              <w:rPr>
                <w:rFonts w:ascii="Times New Roman" w:hAnsi="Times New Roman"/>
                <w:noProof/>
              </w:rPr>
              <w:t>Комисията: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се стреми да </w:t>
            </w:r>
            <w:r>
              <w:rPr>
                <w:rFonts w:ascii="Times New Roman" w:hAnsi="Times New Roman"/>
                <w:b/>
                <w:bCs/>
                <w:noProof/>
                <w:sz w:val="24"/>
                <w:szCs w:val="24"/>
              </w:rPr>
              <w:t>консолидира партньорствата на ЕС с ключови региони в растеж</w:t>
            </w:r>
            <w:r>
              <w:rPr>
                <w:rFonts w:ascii="Times New Roman" w:hAnsi="Times New Roman"/>
                <w:noProof/>
                <w:sz w:val="24"/>
                <w:szCs w:val="24"/>
              </w:rPr>
              <w:t xml:space="preserve"> — в региона на Азия и Тихоокеанския басейн и в Латинска Америка — чрез създаване на условия за приключване на преговорите и ратифициране на висящите двустранни споразумения;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се възползва изцяло от функцията на </w:t>
            </w:r>
            <w:r>
              <w:rPr>
                <w:rFonts w:ascii="Times New Roman" w:hAnsi="Times New Roman"/>
                <w:b/>
                <w:bCs/>
                <w:noProof/>
                <w:sz w:val="24"/>
                <w:szCs w:val="24"/>
              </w:rPr>
              <w:t>главния служител по правоприлагането в областта на търговията</w:t>
            </w:r>
            <w:r>
              <w:rPr>
                <w:rFonts w:ascii="Times New Roman" w:hAnsi="Times New Roman"/>
                <w:noProof/>
                <w:sz w:val="24"/>
                <w:szCs w:val="24"/>
              </w:rPr>
              <w:t>, за да увеличи максимално ползите от договорените облаги за предприятията, по-специално МСП и земеделските стопани, и да премахне пречките, които накърняват потенциала на споразуменията за постигане на резултати, включително по въпроса за устойчивото развитие;</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укрепи допълнително </w:t>
            </w:r>
            <w:r>
              <w:rPr>
                <w:rFonts w:ascii="Times New Roman" w:hAnsi="Times New Roman"/>
                <w:b/>
                <w:bCs/>
                <w:noProof/>
                <w:sz w:val="24"/>
                <w:szCs w:val="24"/>
              </w:rPr>
              <w:t>инструментите на ЕС за справяне с новите предизвикателства</w:t>
            </w:r>
            <w:r>
              <w:rPr>
                <w:rFonts w:ascii="Times New Roman" w:hAnsi="Times New Roman"/>
                <w:noProof/>
                <w:sz w:val="24"/>
                <w:szCs w:val="24"/>
              </w:rPr>
              <w:t xml:space="preserve"> и защитаване на европейските предприятия и граждани от нелоялни търговски практики, включително чрез изготвяне на инструмент за борба с принудителните действия. Освен това Комисията ще проучи </w:t>
            </w:r>
            <w:r>
              <w:rPr>
                <w:rFonts w:ascii="Times New Roman" w:hAnsi="Times New Roman"/>
                <w:b/>
                <w:noProof/>
                <w:sz w:val="24"/>
                <w:szCs w:val="24"/>
              </w:rPr>
              <w:t>варианти за стратегия на ЕС за експортно кредитиране</w:t>
            </w:r>
            <w:r>
              <w:rPr>
                <w:rFonts w:ascii="Times New Roman" w:hAnsi="Times New Roman"/>
                <w:noProof/>
                <w:sz w:val="24"/>
                <w:szCs w:val="24"/>
              </w:rPr>
              <w:t>;</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ще разработи нови онлайн инструменти в подкрепа на предприятията от ЕС, по-специално МСП.</w:t>
            </w:r>
          </w:p>
        </w:tc>
      </w:tr>
    </w:tbl>
    <w:p>
      <w:pPr>
        <w:spacing w:after="120"/>
        <w:jc w:val="both"/>
        <w:rPr>
          <w:noProof/>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b/>
          <w:smallCaps/>
          <w:noProof/>
          <w:sz w:val="24"/>
          <w:szCs w:val="24"/>
          <w:u w:val="single"/>
        </w:rPr>
        <w:t xml:space="preserve">Подкрепа за информирана дискусия относно търговската политика </w:t>
      </w:r>
    </w:p>
    <w:p>
      <w:pPr>
        <w:spacing w:after="120"/>
        <w:jc w:val="both"/>
        <w:rPr>
          <w:noProof/>
        </w:rPr>
      </w:pPr>
      <w:r>
        <w:rPr>
          <w:noProof/>
        </w:rPr>
        <w:t>Със своето съобщение, озаглавено „Търговията — за всички“</w:t>
      </w:r>
      <w:r>
        <w:rPr>
          <w:rStyle w:val="FootnoteReference"/>
          <w:noProof/>
        </w:rPr>
        <w:footnoteReference w:id="36"/>
      </w:r>
      <w:r>
        <w:rPr>
          <w:noProof/>
        </w:rPr>
        <w:t>, Комисията значително засили ангажимента си за осигуряване на прозрачна и приобщаваща търговска политика. Комисията ще продължи по този път, който намира положителна оценка във всички приноси в рамките на прегледа на търговската политика</w:t>
      </w:r>
      <w:r>
        <w:rPr>
          <w:rStyle w:val="FootnoteReference"/>
          <w:noProof/>
        </w:rPr>
        <w:footnoteReference w:id="37"/>
      </w:r>
      <w:r>
        <w:rPr>
          <w:noProof/>
        </w:rPr>
        <w:t xml:space="preserve">. Според последните изследвания „Евробарометър“, публикувани през 2019 г., хората приветстват усилията, положени през последните години. Шест от всеки десет отговорили казват, че се доверяват на ЕС да провежда търговска политика по открит и прозрачен начин. </w:t>
      </w:r>
    </w:p>
    <w:p>
      <w:pPr>
        <w:spacing w:after="120"/>
        <w:jc w:val="both"/>
        <w:rPr>
          <w:noProof/>
        </w:rPr>
      </w:pPr>
      <w:r>
        <w:rPr>
          <w:noProof/>
        </w:rPr>
        <w:t xml:space="preserve">Предвид значението на </w:t>
      </w:r>
      <w:r>
        <w:rPr>
          <w:b/>
          <w:noProof/>
        </w:rPr>
        <w:t>диалога със заинтересованите страни</w:t>
      </w:r>
      <w:r>
        <w:rPr>
          <w:noProof/>
        </w:rPr>
        <w:t xml:space="preserve"> и за да се насърчи конкретното сътрудничество по ключови въпроси, Комисията ще задълбочи своята ангажираност с гражданското общество и социалните партньори въз основа на проучване за преглед на диалога с гражданското общество, предприето през 2020 г. Особено внимание ще бъде отделено на изпълнението и прилагането, като се постави ударение върху осигуряването на пълно зачитане на интересите на ЕС по отношение на очакваните ползи от търговските споразумения. Акцентът върху реформата на СТО ще се прояви в засиления обмен по тези въпроси.</w:t>
      </w:r>
    </w:p>
    <w:p>
      <w:pPr>
        <w:spacing w:after="120"/>
        <w:jc w:val="both"/>
        <w:rPr>
          <w:noProof/>
        </w:rPr>
      </w:pPr>
      <w:r>
        <w:rPr>
          <w:noProof/>
        </w:rPr>
        <w:t xml:space="preserve">За да осигури солидна основа за разработване на търговска политика, Комисията също така ще </w:t>
      </w:r>
      <w:r>
        <w:rPr>
          <w:b/>
          <w:noProof/>
        </w:rPr>
        <w:t>задълбочи своите усилия в областта на анализа и събирането на данни</w:t>
      </w:r>
      <w:r>
        <w:rPr>
          <w:noProof/>
        </w:rPr>
        <w:t xml:space="preserve"> и ще насърчи приноса на аналитични данни от страна на заинтересованите страни. Комисията ще извърши последваща оценка на въздействието на споразуменията на ЕС върху ключови екологични аспекти, включително климата. Комисията също така ще работи за по-добро разбиране на свързаните с равенството между половете последици от различните части на търговската политика и ще осигури информация за действия за подобряване на осведомеността относно въпросите на равенството между половете в рамките на търговската политика</w:t>
      </w:r>
      <w:r>
        <w:rPr>
          <w:rStyle w:val="FootnoteReference"/>
          <w:noProof/>
        </w:rPr>
        <w:footnoteReference w:id="38"/>
      </w:r>
      <w:r>
        <w:rPr>
          <w:noProof/>
        </w:rPr>
        <w:t>, включително в стратегията за подпомагане на търговията. Ще бъде предприета по-нататъшна аналитична работа относно въздействието на търговските политики върху заетостта и различните аспекти на социалното развитие.</w:t>
      </w:r>
    </w:p>
    <w:p>
      <w:pPr>
        <w:spacing w:after="120"/>
        <w:jc w:val="both"/>
        <w:rPr>
          <w:b/>
          <w:smallCaps/>
          <w:noProof/>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b/>
          <w:smallCaps/>
          <w:noProof/>
          <w:sz w:val="24"/>
          <w:szCs w:val="24"/>
          <w:u w:val="single"/>
        </w:rPr>
        <w:t xml:space="preserve">Заключение </w:t>
      </w:r>
    </w:p>
    <w:p>
      <w:pPr>
        <w:spacing w:after="120"/>
        <w:jc w:val="both"/>
        <w:rPr>
          <w:noProof/>
        </w:rPr>
      </w:pPr>
      <w:r>
        <w:rPr>
          <w:noProof/>
        </w:rPr>
        <w:t>Търговската политика на ЕС трябва да се адаптира и да отразява предизвикателствата на нашето време и очакванията на нашите граждани. Наша отговорност е да гарантираме, че тя служи на осъществяването на интересите на ЕС, като спомага за постигането на амбициозните цели и за запазване на позицията на Съюза в света днес, както и за бъдещите поколения. Ето защо е толкова важно търговската политика на ЕС да бъде преориентирана към изпълнение на целите за подкрепа на коренната екологична и цифрова трансформация на икономиката на ЕС, изграждане на по-устойчива и по-справедлива глобализация, основана на осъвременени правила, и по-енергични действия за правоприлагане. В крайна сметка само по този начин можем да създадем по отговорен и устойчив начин възможностите, които очакват гражданите, работещите и предприятията в ЕС и от които се нуждае планетата.</w:t>
      </w:r>
    </w:p>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292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доклада на Комисията от 2020 г. за стратегическото прогнозиране се анализира въздействието на пандемията от COVID-19 върху динамиката на някои значими мегатенденции, COM(2020) 493 final. Докладът на Комисията от 2021 г. за стратегическото прогнозиране ще се съсредоточи върху отворената стратегическа автономност.</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равнището на ЕС Европейският фонд за приспособяване към глобализацията има за цел да допринесе за справянето с разходите за приспособяване; вж.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 В процес на приемане е нов регламент, с който ще се даде възможност фондът да продължи да подкрепя съкратените работници и самостоятелно заетите лица, чиято дейност е прекратена.</w:t>
      </w:r>
    </w:p>
  </w:footnote>
  <w:footnote w:id="4">
    <w:p>
      <w:pPr>
        <w:pStyle w:val="FootnoteText"/>
        <w:jc w:val="both"/>
      </w:pPr>
      <w:r>
        <w:rPr>
          <w:rStyle w:val="FootnoteReference"/>
        </w:rPr>
        <w:footnoteRef/>
      </w:r>
      <w:r>
        <w:t xml:space="preserve"> </w:t>
      </w:r>
      <w:r>
        <w:rPr>
          <w:rFonts w:ascii="Times New Roman" w:hAnsi="Times New Roman"/>
        </w:rPr>
        <w:t>Това предизвикателство е особено видимо в областта на енергоемките отрасли, и по-специално стоманодобивния сектор, където са необходими глобални решения за преодоляване на огромните дисбаланси на световния пазар, които оказват отрицателно въздействие върху европейските предприятия и подкопават успешния екологичен преход на тази екосистема.</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Според Международната организация на труда (МОТ) приблизително 25 милиона души все още извършват принудителен труд, 152 милиона души са жертви на детски труд и 2,78 милиона работници по света умират поради трудови злополуки или професионални заболявания всяка година;</w:t>
      </w:r>
      <w:r>
        <w:t xml:space="preserve"> източник:</w:t>
      </w:r>
      <w:r>
        <w:rPr>
          <w:rFonts w:ascii="Times New Roman" w:hAnsi="Times New Roman"/>
        </w:rPr>
        <w:t xml:space="preserve"> Global estimates of modern slavery: forced labour and forced marriage (,,Оценки за съвременното робство в глобален мащаб: принудителен труд и принудителен брак“), МОТ (2017 г.); Global Estimates of Child Labour (,,Оценки за детския труд в глобален мащаб“), МОТ (2017 г.) и уебсайт на МОТ.</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Работен документ на службите на Комисията: Насърчаване на достойния на труд в световен мащаб, SWD(2020) 235 final.</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През 2016 г., въз основа на данни както за стоките, така и за услугите, 80 % от вноса в ЕС и 82 % от износа на ЕС са генерирани от отраслите с интензивно използване на ПИС. IPR-intensive Industries and Economic Performance in the European Union, Industry-Level Analysis Report („Отрасли с интензивно използване на ПИС и икономически показатели в Европейския съюз“, доклад за анализ на равнище отрасли), съвместно проучване на Европейското патентно ведомство/Службата на Европейския съюз за интелектуална собственост, 3-то издание, септември 2019 г.</w:t>
      </w:r>
    </w:p>
  </w:footnote>
  <w:footnote w:id="8">
    <w:p>
      <w:pPr>
        <w:pStyle w:val="FootnoteText"/>
        <w:jc w:val="both"/>
      </w:pPr>
      <w:r>
        <w:rPr>
          <w:rStyle w:val="FootnoteReference"/>
          <w:rFonts w:ascii="Times New Roman" w:hAnsi="Times New Roman" w:cs="Times New Roman"/>
        </w:rPr>
        <w:footnoteRef/>
      </w:r>
      <w:r>
        <w:rPr>
          <w:rFonts w:ascii="Times New Roman" w:hAnsi="Times New Roman"/>
        </w:rPr>
        <w:t xml:space="preserve"> ОИСР(2020 г.), Real GDP long-term forecast („Дългосрочна прогноза за реалния БВП“) (показател).</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Политически насоки за следващата Европейска комисия (2019—2024 г.).</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Резолюция на Европейския парламент относно прегледа на търговската политика на ЕС (2020/2761(RSP)).</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https://trade.ec.europa.eu/consultations/index.cfm?consul_id=266&amp;utm_source=dlvr.it&amp;utm_</w:t>
      </w:r>
    </w:p>
  </w:footnote>
  <w:footnote w:id="12">
    <w:p>
      <w:pPr>
        <w:pStyle w:val="FootnoteText"/>
      </w:pPr>
      <w:r>
        <w:rPr>
          <w:rStyle w:val="FootnoteReference"/>
          <w:rFonts w:ascii="Times New Roman" w:hAnsi="Times New Roman" w:cs="Times New Roman"/>
        </w:rPr>
        <w:footnoteRef/>
      </w:r>
      <w:r>
        <w:rPr>
          <w:rFonts w:ascii="Times New Roman" w:hAnsi="Times New Roman"/>
        </w:rPr>
        <w:t xml:space="preserve"> </w:t>
      </w:r>
      <w:r>
        <w:t>„Часът на Европа:</w:t>
      </w:r>
      <w:r>
        <w:rPr>
          <w:rFonts w:ascii="Times New Roman" w:hAnsi="Times New Roman"/>
        </w:rPr>
        <w:t xml:space="preserve"> възстановяване и подготовка за следващото поколение“, COM(2020) 456 final.</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Вътрешни изчисления на ГД „Търговия“ въз основа на Arto, I., J.M. Rueda-Cantuche, I. Cazcarro, A.F. Amores, E. Dietzenbacher, Z. Kutlina-Dimitrova, и M.V. Román, EU exports to the World: Effects on Employment (Износът на ЕС за света: ефекти върху заетостта), Служба за публикации на Европейския съюз, Luxembourg, 2018, ISBN 978-92-79-93283-0, doi:10.2760/700435, JRC113071. </w:t>
      </w:r>
      <w:hyperlink r:id="rId1" w:history="1">
        <w:r>
          <w:rPr>
            <w:rStyle w:val="Hyperlink"/>
            <w:rFonts w:ascii="Times New Roman" w:hAnsi="Times New Roman"/>
          </w:rPr>
          <w:t>https://trade.ec.europa.eu/doclib/docs/2018/november/tradoc_157516.pdf</w:t>
        </w:r>
      </w:hyperlink>
      <w:r>
        <w:rPr>
          <w:rFonts w:ascii="Times New Roman" w:hAnsi="Times New Roman"/>
        </w:rPr>
        <w:t xml:space="preserve"> </w:t>
      </w:r>
    </w:p>
  </w:footnote>
  <w:footnote w:id="14">
    <w:p>
      <w:pPr>
        <w:pStyle w:val="FootnoteText"/>
        <w:jc w:val="both"/>
      </w:pPr>
      <w:r>
        <w:rPr>
          <w:rStyle w:val="FootnoteReference"/>
          <w:rFonts w:ascii="Times New Roman" w:hAnsi="Times New Roman" w:cs="Times New Roman"/>
        </w:rPr>
        <w:footnoteRef/>
      </w:r>
      <w:r>
        <w:rPr>
          <w:rFonts w:ascii="Times New Roman" w:hAnsi="Times New Roman"/>
        </w:rPr>
        <w:t xml:space="preserve"> Подпомагането на търговията има за цел да се оказва подкрепа на развиващите се държави при използването на търговията като лост за намаляване на бедността. Цел 8.а от целите за устойчиво развитие (ЦУР) от Програмата до 2030 г. за устойчиво развитие се отнася до увеличаване на подпомагането на търговията, особено за най-слабо развитите държави. ЦУР 17 включва, </w:t>
      </w:r>
      <w:r>
        <w:rPr>
          <w:rFonts w:ascii="Times New Roman" w:hAnsi="Times New Roman"/>
          <w:i/>
          <w:iCs/>
        </w:rPr>
        <w:t>inter alia</w:t>
      </w:r>
      <w:r>
        <w:rPr>
          <w:rFonts w:ascii="Times New Roman" w:hAnsi="Times New Roman"/>
        </w:rPr>
        <w:t>, усилия за увеличаване на износа на развиващите се държави, особено на най-слабо развитите държави.</w:t>
      </w:r>
    </w:p>
  </w:footnote>
  <w:footnote w:id="15">
    <w:p>
      <w:pPr>
        <w:pStyle w:val="FootnoteText"/>
      </w:pPr>
      <w:r>
        <w:rPr>
          <w:rStyle w:val="FootnoteReference"/>
        </w:rPr>
        <w:footnoteRef/>
      </w:r>
      <w:r>
        <w:t xml:space="preserve"> </w:t>
      </w:r>
      <w:r>
        <w:rPr>
          <w:rFonts w:ascii="Times New Roman" w:hAnsi="Times New Roman"/>
        </w:rPr>
        <w:t>Вж. Стратегия за равенство между половете (2020—2025 г.) и План за действие относно равенството между половете III.</w:t>
      </w:r>
    </w:p>
  </w:footnote>
  <w:footnote w:id="16">
    <w:p>
      <w:pPr>
        <w:pStyle w:val="FootnoteText"/>
        <w:jc w:val="both"/>
      </w:pPr>
      <w:r>
        <w:rPr>
          <w:rStyle w:val="FootnoteReference"/>
        </w:rPr>
        <w:footnoteRef/>
      </w:r>
      <w:r>
        <w:t xml:space="preserve"> </w:t>
      </w:r>
      <w:r>
        <w:rPr>
          <w:rFonts w:ascii="Times New Roman" w:hAnsi="Times New Roman"/>
        </w:rPr>
        <w:t>Комисията прие своя първи по рода си Доклад за стратегическото прогнозиране, където гъвкавостта се изтъква като нов ориентир за всички политики на ЕС съгласно ръководената от прехода програма на Комисията и в резултат на пагубната пандемия от коронавирус.</w:t>
      </w:r>
    </w:p>
  </w:footnote>
  <w:footnote w:id="17">
    <w:p>
      <w:pPr>
        <w:pStyle w:val="FootnoteText"/>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rPr>
        <w:t xml:space="preserve"> Анализите на ОИСР потвърждават, че освен че глобалните вериги за създаване на стойност постигат максимална икономическа ефикасност, във времена на криза гъвкавите вериги на доставки са от решаващо значение за поемане на сътресенията, предлагане на възможности за адаптиране и ускоряване на възстановяването. Вж. Shocks, risks and global value chains: Insights from the OECD METRO model („Сътресения, рискове и глобални вериги за създаване на стойност: изводи от модела METRO на ОИСР“), юни 2020 г.</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Фармацевтична стратегия за Европа, COM(2020) 761 final.</w:t>
      </w:r>
    </w:p>
  </w:footnote>
  <w:footnote w:id="19">
    <w:p>
      <w:pPr>
        <w:pStyle w:val="FootnoteText"/>
      </w:pPr>
      <w:r>
        <w:rPr>
          <w:rStyle w:val="FootnoteReference"/>
          <w:rFonts w:ascii="Times New Roman" w:hAnsi="Times New Roman" w:cs="Times New Roman"/>
        </w:rPr>
        <w:footnoteRef/>
      </w:r>
      <w:r>
        <w:rPr>
          <w:rFonts w:ascii="Times New Roman" w:hAnsi="Times New Roman"/>
        </w:rPr>
        <w:t xml:space="preserve"> В тази връзка вж. документ на ОИСР относно COVID-19 и отговорното професионално поведение. </w:t>
      </w:r>
      <w:hyperlink r:id="rId2" w:history="1">
        <w:r>
          <w:rPr>
            <w:rStyle w:val="Hyperlink"/>
            <w:rFonts w:ascii="Times New Roman" w:hAnsi="Times New Roman"/>
          </w:rPr>
          <w:t>http://www.oecd.org/coronavirus/policy-responses/covid-19-and-responsible-business-conduct-02150b06/</w:t>
        </w:r>
      </w:hyperlink>
      <w:r>
        <w:t xml:space="preserve"> </w:t>
      </w:r>
    </w:p>
  </w:footnote>
  <w:footnote w:id="20">
    <w:p>
      <w:pPr>
        <w:pStyle w:val="FootnoteText"/>
        <w:jc w:val="both"/>
      </w:pPr>
      <w:r>
        <w:rPr>
          <w:rStyle w:val="FootnoteReference"/>
          <w:rFonts w:ascii="Times New Roman" w:hAnsi="Times New Roman" w:cs="Times New Roman"/>
        </w:rPr>
        <w:footnoteRef/>
      </w:r>
      <w:r>
        <w:rPr>
          <w:rFonts w:ascii="Times New Roman" w:hAnsi="Times New Roman"/>
        </w:rPr>
        <w:t xml:space="preserve"> Вж. също така Съвместното съобщение относно засилването на приноса на ЕС към основаното на правила многостранно сътрудничество.</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Съвместно съобщение до Европейския парламент, Европейския съвет и Съвета, „Нова програма на ЕС и САЩ за глобална промяна“, JOIN(2020) 22 final.</w:t>
      </w:r>
    </w:p>
  </w:footnote>
  <w:footnote w:id="22">
    <w:p>
      <w:pPr>
        <w:pStyle w:val="FootnoteText"/>
      </w:pPr>
      <w:r>
        <w:rPr>
          <w:rStyle w:val="FootnoteReference"/>
          <w:rFonts w:ascii="Times New Roman" w:hAnsi="Times New Roman" w:cs="Times New Roman"/>
        </w:rPr>
        <w:footnoteRef/>
      </w:r>
      <w:r>
        <w:rPr>
          <w:rFonts w:ascii="Times New Roman" w:hAnsi="Times New Roman"/>
        </w:rPr>
        <w:t xml:space="preserve"> Съвместно съобщение до Европейския парламент, Европейския съвет и Съвета, „ЕС—Китай — стратегически перспективи“, JOIN(2019) 5 final.</w:t>
      </w:r>
    </w:p>
  </w:footnote>
  <w:footnote w:id="23">
    <w:p>
      <w:pPr>
        <w:jc w:val="both"/>
        <w:rPr>
          <w:i/>
          <w:iCs/>
        </w:rPr>
      </w:pPr>
      <w:r>
        <w:rPr>
          <w:rStyle w:val="FootnoteReference"/>
        </w:rPr>
        <w:footnoteRef/>
      </w:r>
      <w:r>
        <w:t xml:space="preserve"> </w:t>
      </w:r>
      <w:r>
        <w:rPr>
          <w:sz w:val="20"/>
          <w:szCs w:val="20"/>
        </w:rPr>
        <w:t>Санкциите на ЕС са ключов инструмент, използван за насърчаване на целите на общата външна политика и политика на сигурност (ОВППС), чрез които ЕС може да се намесва, наред с другото, за предотвратяване на конфликти или реагиране на възникващи или текущи кризи (Съобщение на Комисията до Европейския парламент, Съвета, Европейската централна банка, Европейския икономически и социален комитет и Комитета на регионите — Европейската икономическа и финансова система: насърчаване на откритостта, силата и устойчивостта; COM(2021) 32 final).</w:t>
      </w:r>
    </w:p>
    <w:p>
      <w:pPr>
        <w:pStyle w:val="FootnoteText"/>
      </w:pP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Благодарение на достъпа до данни и новите разработки, като продуктови паспорти, може също така да се способства за допълнителна стойност на продуктите и да се предостави информация от решаващо значение за максимално увеличаване на стойността, създавана чрез кръговата икономика, но твърде често такива данни не се предават по веригите за създаване на стойност. </w:t>
      </w:r>
    </w:p>
  </w:footnote>
  <w:footnote w:id="25">
    <w:p>
      <w:pPr>
        <w:pStyle w:val="FootnoteText"/>
        <w:jc w:val="both"/>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относно единния пазар на цифрови услуги (Законодателен акт за цифровите услуги) и за изменение на Директива 2000/31/ЕО — COM(2020) 825 final; Предложение за регламент на Европейския парламент и на Съвета относно достъпни и справедливи пазари в цифровия сектор (Законодателен акт за цифровите пазари) — COM/2020/842 final; и</w:t>
      </w:r>
      <w:r>
        <w:t xml:space="preserve"> </w:t>
      </w:r>
      <w:r>
        <w:rPr>
          <w:rFonts w:ascii="Times New Roman" w:hAnsi="Times New Roman"/>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е отразено в дял „Цифрова търговия“ от Споразумението за търговия и сътрудничество, сключено с Обединеното кралство.</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Нов пакт за миграцията и убежището, COM(2020) 609 final.</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Повишаване на устойчивостта — Източно партньорство, което постига резултати в полза на всички, JOIN(2020) 7 final.</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Икономически и инвестиционен план за Западните Балкани, COM(2020) 641 final.</w:t>
      </w:r>
    </w:p>
  </w:footnote>
  <w:footnote w:id="30">
    <w:p>
      <w:pPr>
        <w:pStyle w:val="FootnoteText"/>
      </w:pPr>
      <w:r>
        <w:rPr>
          <w:rStyle w:val="FootnoteReference"/>
          <w:rFonts w:ascii="Times New Roman" w:hAnsi="Times New Roman" w:cs="Times New Roman"/>
        </w:rPr>
        <w:footnoteRef/>
      </w:r>
      <w:r>
        <w:rPr>
          <w:rFonts w:ascii="Times New Roman" w:hAnsi="Times New Roman"/>
        </w:rPr>
        <w:t xml:space="preserve"> Подновено партньорство с държавите от южното съседство — Нова програма за Средиземноморието; JOIN(2021) 2 final.</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е посочено в съвместното съобщение относно стратегията между ЕС и Африка от март 2020 г. — „Към цялостна стратегия с Африка“, JOIN(2020) 4 final.</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Могат да бъдат проучени по-специално полезните взаимодействия с други източници на информация, включително мрежата „Enterprise Europe“, Центъра за промишлено сътрудничество ЕО—Япония, центъра за МСП на ЕС в Китай, Световната мрежа на европейските стопански организации, европейските организации за насърчаване на търговията и бюрата за съдействие на МСП в областта на ПИС.</w:t>
      </w:r>
    </w:p>
  </w:footnote>
  <w:footnote w:id="33">
    <w:p>
      <w:pPr>
        <w:pStyle w:val="FootnoteText"/>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https://trade.ec.europa.eu/doclib/press/index.cfm?id=2204</w:t>
        </w:r>
      </w:hyperlink>
      <w:r>
        <w:t xml:space="preserve"> </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от 25 март 2020 г. във връзка с преките чуждестранни инвестиции и свободното движение на капитали от трети държави и защитата на стратегическите активи на Европа, C(2020) 1981 final.</w:t>
      </w:r>
    </w:p>
  </w:footnote>
  <w:footnote w:id="35">
    <w:p>
      <w:pPr>
        <w:pStyle w:val="FootnoteText"/>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https://ec.europa.eu/commission/presscorner/detail/bg/IP_20_2045</w:t>
        </w:r>
      </w:hyperlink>
      <w:r>
        <w:t xml:space="preserve"> </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„Търговията — за всички: Към една по-отговорна търговска и инвестиционна политика“, COM(2015) 497 final.</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5" w:history="1">
        <w:r>
          <w:rPr>
            <w:rStyle w:val="Hyperlink"/>
            <w:rFonts w:ascii="Times New Roman" w:hAnsi="Times New Roman"/>
          </w:rPr>
          <w:t>https://trade.ec.europa.eu/consultations/index.cfm?consul_id=266&amp;utm_source=dlvr.it&amp;utm_</w:t>
        </w:r>
      </w:hyperlink>
      <w:r>
        <w:rPr>
          <w:rFonts w:ascii="Times New Roman" w:hAnsi="Times New Roman"/>
        </w:rPr>
        <w:t xml:space="preserve"> </w:t>
      </w:r>
    </w:p>
  </w:footnote>
  <w:footnote w:id="38">
    <w:p>
      <w:pPr>
        <w:pStyle w:val="FootnoteText"/>
      </w:pPr>
      <w:r>
        <w:rPr>
          <w:rStyle w:val="FootnoteReference"/>
          <w:rFonts w:ascii="Times New Roman" w:hAnsi="Times New Roman" w:cs="Times New Roman"/>
        </w:rPr>
        <w:footnoteRef/>
      </w:r>
      <w:r>
        <w:rPr>
          <w:rFonts w:ascii="Times New Roman" w:hAnsi="Times New Roman"/>
        </w:rPr>
        <w:t xml:space="preserve"> Съвместна декларация относно търговията и икономическото овластяване на жените по случай министерска конференция на СТО в Буенос Айрес през декември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12D"/>
    <w:multiLevelType w:val="hybridMultilevel"/>
    <w:tmpl w:val="78F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A33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CC1CE6"/>
    <w:multiLevelType w:val="hybridMultilevel"/>
    <w:tmpl w:val="B10CC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8B393D"/>
    <w:multiLevelType w:val="hybridMultilevel"/>
    <w:tmpl w:val="B54A8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660DA9"/>
    <w:multiLevelType w:val="hybridMultilevel"/>
    <w:tmpl w:val="908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6606D9D"/>
    <w:multiLevelType w:val="hybridMultilevel"/>
    <w:tmpl w:val="B65C6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4F5C9B"/>
    <w:multiLevelType w:val="hybridMultilevel"/>
    <w:tmpl w:val="AC2EF01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E25595"/>
    <w:multiLevelType w:val="hybridMultilevel"/>
    <w:tmpl w:val="120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7"/>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F9518D-95BB-43C6-A7D2-5ACD2B10151C"/>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8?\u1077?\u1075?\u1083?\u1077?\u1076? \u1085?\u1072? \u1090?\u1098?\u1088?\u1075?\u1086?\u1074?\u1089?\u1082?\u1072?\u1090?\u1072? \u1087?\u1086?\u1083?\u1080?\u1090?\u1080?\u1082?\u1072? \u8212? &lt;/FMT&gt;_x000b_&lt;FMT:Bold&gt;\u1086?\u1090?\u1074?\u1086?\u1088?\u1077?\u1085?\u1072?, \u1091?\u1089?\u1090?\u1086?\u1081?\u1095?\u1080?\u1074?\u1072? \u1080? \u1088?\u1077?\u1096?\u1080?\u1090?\u1077?\u1083?\u1085?\u1072? \u1090?\u1098?\u1088?\u1075?\u1086?\u1074?\u1089?\u1082?\u1072? \u1087?\u1086?\u1083?\u1080?\u1090?\u1080?\u1082?\u1072?&lt;/FMT&gt;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bg-BG"/>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rPr>
  </w:style>
  <w:style w:type="paragraph" w:customStyle="1" w:styleId="1">
    <w:name w:val="1"/>
    <w:basedOn w:val="Normal"/>
    <w:link w:val="FootnoteReference"/>
    <w:uiPriority w:val="99"/>
    <w:qFormat/>
    <w:pPr>
      <w:spacing w:after="160" w:line="240" w:lineRule="exact"/>
    </w:pPr>
    <w:rPr>
      <w:sz w:val="20"/>
      <w:szCs w:val="20"/>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bg-BG"/>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bg-BG"/>
    </w:rPr>
  </w:style>
  <w:style w:type="table" w:styleId="TableGrid">
    <w:name w:val="Table Grid"/>
    <w:basedOn w:val="TableNormal"/>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bg-BG"/>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rPr>
  </w:style>
  <w:style w:type="paragraph" w:customStyle="1" w:styleId="1">
    <w:name w:val="1"/>
    <w:basedOn w:val="Normal"/>
    <w:link w:val="FootnoteReference"/>
    <w:uiPriority w:val="99"/>
    <w:qFormat/>
    <w:pPr>
      <w:spacing w:after="160" w:line="240" w:lineRule="exact"/>
    </w:pPr>
    <w:rPr>
      <w:sz w:val="20"/>
      <w:szCs w:val="20"/>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bg-BG"/>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bg-BG"/>
    </w:rPr>
  </w:style>
  <w:style w:type="table" w:styleId="TableGrid">
    <w:name w:val="Table Grid"/>
    <w:basedOn w:val="TableNormal"/>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microsoft.com/office/2007/relationships/diagramDrawing" Target="diagrams/drawing1.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Colors" Target="diagrams/colors1.xml"/><Relationship Id="rId32" Type="http://schemas.microsoft.com/office/2007/relationships/diagramDrawing" Target="diagrams/drawing2.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Data" Target="diagrams/data2.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chart" Target="charts/chart3.xml"/><Relationship Id="rId30" Type="http://schemas.openxmlformats.org/officeDocument/2006/relationships/diagramQuickStyle" Target="diagrams/quickStyle2.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press/index.cfm?id=2204" TargetMode="External"/><Relationship Id="rId2" Type="http://schemas.openxmlformats.org/officeDocument/2006/relationships/hyperlink" Target="http://www.oecd.org/coronavirus/policy-responses/covid-19-and-responsible-business-conduct-02150b06/" TargetMode="External"/><Relationship Id="rId1" Type="http://schemas.openxmlformats.org/officeDocument/2006/relationships/hyperlink" Target="https://trade.ec.europa.eu/doclib/docs/2018/november/tradoc_157516.pdf" TargetMode="External"/><Relationship Id="rId5" Type="http://schemas.openxmlformats.org/officeDocument/2006/relationships/hyperlink" Target="https://trade.ec.europa.eu/consultations/index.cfm?consul_id=266&amp;utm_source=dlvr.it&amp;utm_" TargetMode="External"/><Relationship Id="rId4" Type="http://schemas.openxmlformats.org/officeDocument/2006/relationships/hyperlink" Target="https://ec.europa.eu/commission/presscorner/detail/bg/IP_20_2045"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rydzkpi\AppData\Local\Microsoft\Windows\INetCache\Content.Outlook\7JXU9CPN\imf_data.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chartUserShapes" Target="../drawings/drawing2.xml"/><Relationship Id="rId1" Type="http://schemas.openxmlformats.org/officeDocument/2006/relationships/oleObject" Target="file:///C:\Users\rydzkpi\AppData\Local\Microsoft\Windows\INetCache\Content.Outlook\7JXU9CPN\EU-US%20trade.xlsb" TargetMode="External"/><Relationship Id="rId4"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Растеж на БВП за периода 2010—2025 г.</a:t>
            </a:r>
          </a:p>
        </c:rich>
      </c:tx>
      <c:overlay val="0"/>
      <c:spPr>
        <a:noFill/>
        <a:ln>
          <a:noFill/>
        </a:ln>
        <a:effectLst/>
      </c:spPr>
    </c:title>
    <c:autoTitleDeleted val="0"/>
    <c:plotArea>
      <c:layout/>
      <c:barChart>
        <c:barDir val="bar"/>
        <c:grouping val="clustered"/>
        <c:varyColors val="0"/>
        <c:ser>
          <c:idx val="1"/>
          <c:order val="0"/>
          <c:tx>
            <c:strRef>
              <c:f>data!$D$1</c:f>
              <c:strCache>
                <c:ptCount val="1"/>
                <c:pt idx="0">
                  <c:v>gdp_growth</c:v>
                </c:pt>
              </c:strCache>
            </c:strRef>
          </c:tx>
          <c:spPr>
            <a:solidFill>
              <a:schemeClr val="accent2"/>
            </a:solidFill>
            <a:ln>
              <a:noFill/>
            </a:ln>
            <a:effectLst/>
          </c:spPr>
          <c:invertIfNegative val="0"/>
          <c:cat>
            <c:strRef>
              <c:f>data!$B$2:$B$7</c:f>
              <c:strCache>
                <c:ptCount val="6"/>
                <c:pt idx="0">
                  <c:v>G7</c:v>
                </c:pt>
                <c:pt idx="1">
                  <c:v>EU27</c:v>
                </c:pt>
                <c:pt idx="2">
                  <c:v>United States</c:v>
                </c:pt>
                <c:pt idx="3">
                  <c:v>India</c:v>
                </c:pt>
                <c:pt idx="4">
                  <c:v>Emerging and Developing Asia</c:v>
                </c:pt>
                <c:pt idx="5">
                  <c:v>China</c:v>
                </c:pt>
              </c:strCache>
            </c:strRef>
          </c:cat>
          <c:val>
            <c:numRef>
              <c:f>data!$D$2:$D$7</c:f>
              <c:numCache>
                <c:formatCode>General</c:formatCode>
                <c:ptCount val="6"/>
                <c:pt idx="0">
                  <c:v>3.3198632901671098E-2</c:v>
                </c:pt>
                <c:pt idx="1">
                  <c:v>3.53200852741287E-2</c:v>
                </c:pt>
                <c:pt idx="2">
                  <c:v>3.6808765882423697E-2</c:v>
                </c:pt>
                <c:pt idx="3">
                  <c:v>6.8330510564597893E-2</c:v>
                </c:pt>
                <c:pt idx="4">
                  <c:v>7.0213547252779202E-2</c:v>
                </c:pt>
                <c:pt idx="5">
                  <c:v>7.4059092544330102E-2</c:v>
                </c:pt>
              </c:numCache>
            </c:numRef>
          </c:val>
          <c:extLst xmlns:c16r2="http://schemas.microsoft.com/office/drawing/2015/06/chart">
            <c:ext xmlns:c16="http://schemas.microsoft.com/office/drawing/2014/chart" uri="{C3380CC4-5D6E-409C-BE32-E72D297353CC}">
              <c16:uniqueId val="{00000000-5E63-4E66-8779-E1080347F244}"/>
            </c:ext>
          </c:extLst>
        </c:ser>
        <c:dLbls>
          <c:showLegendKey val="0"/>
          <c:showVal val="0"/>
          <c:showCatName val="0"/>
          <c:showSerName val="0"/>
          <c:showPercent val="0"/>
          <c:showBubbleSize val="0"/>
        </c:dLbls>
        <c:gapWidth val="182"/>
        <c:axId val="48644864"/>
        <c:axId val="4864640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data!$C$1</c15:sqref>
                        </c15:formulaRef>
                      </c:ext>
                    </c:extLst>
                    <c:strCache>
                      <c:ptCount val="1"/>
                      <c:pt idx="0">
                        <c:v>gdp</c:v>
                      </c:pt>
                    </c:strCache>
                  </c:strRef>
                </c:tx>
                <c:spPr>
                  <a:solidFill>
                    <a:schemeClr val="accent1"/>
                  </a:solidFill>
                  <a:ln>
                    <a:noFill/>
                  </a:ln>
                  <a:effectLst/>
                </c:spPr>
                <c:invertIfNegative val="0"/>
                <c:cat>
                  <c:strRef>
                    <c:extLst>
                      <c:ext uri="{02D57815-91ED-43cb-92C2-25804820EDAC}">
                        <c15:formulaRef>
                          <c15:sqref>data!$B$2:$B$7</c15:sqref>
                        </c15:formulaRef>
                      </c:ext>
                    </c:extLst>
                    <c:strCache>
                      <c:ptCount val="6"/>
                      <c:pt idx="0">
                        <c:v>G7</c:v>
                      </c:pt>
                      <c:pt idx="1">
                        <c:v>EU27</c:v>
                      </c:pt>
                      <c:pt idx="2">
                        <c:v>United States</c:v>
                      </c:pt>
                      <c:pt idx="3">
                        <c:v>India</c:v>
                      </c:pt>
                      <c:pt idx="4">
                        <c:v>Emerging and Developing Asia</c:v>
                      </c:pt>
                      <c:pt idx="5">
                        <c:v>China</c:v>
                      </c:pt>
                    </c:strCache>
                  </c:strRef>
                </c:cat>
                <c:val>
                  <c:numRef>
                    <c:extLst>
                      <c:ext uri="{02D57815-91ED-43cb-92C2-25804820EDAC}">
                        <c15:formulaRef>
                          <c15:sqref>data!$C$2:$C$7</c15:sqref>
                        </c15:formulaRef>
                      </c:ext>
                    </c:extLst>
                    <c:numCache>
                      <c:formatCode>General</c:formatCode>
                      <c:ptCount val="6"/>
                      <c:pt idx="0">
                        <c:v>30781.262999999999</c:v>
                      </c:pt>
                      <c:pt idx="1">
                        <c:v>14610.326999999999</c:v>
                      </c:pt>
                      <c:pt idx="2">
                        <c:v>14992.05</c:v>
                      </c:pt>
                      <c:pt idx="3">
                        <c:v>5160.8270000000002</c:v>
                      </c:pt>
                      <c:pt idx="4">
                        <c:v>22888.14</c:v>
                      </c:pt>
                      <c:pt idx="5">
                        <c:v>12287.316000000001</c:v>
                      </c:pt>
                    </c:numCache>
                  </c:numRef>
                </c:val>
                <c:extLst>
                  <c:ext xmlns:c16="http://schemas.microsoft.com/office/drawing/2014/chart" uri="{C3380CC4-5D6E-409C-BE32-E72D297353CC}">
                    <c16:uniqueId val="{00000001-5E63-4E66-8779-E1080347F244}"/>
                  </c:ext>
                </c:extLst>
              </c15:ser>
            </c15:filteredBarSeries>
          </c:ext>
        </c:extLst>
      </c:barChart>
      <c:catAx>
        <c:axId val="4864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46400"/>
        <c:crosses val="autoZero"/>
        <c:auto val="1"/>
        <c:lblAlgn val="ctr"/>
        <c:lblOffset val="100"/>
        <c:noMultiLvlLbl val="0"/>
      </c:catAx>
      <c:valAx>
        <c:axId val="48646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Растеж на БВП (ППС)</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4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'Total Trade Growth'!$C$24</c:f>
          <c:strCache>
            <c:ptCount val="1"/>
            <c:pt idx="0">
              <c:v>Общ растеж на търговията за периода 2015—2020 г.</c:v>
            </c:pt>
          </c:strCache>
        </c:strRef>
      </c:tx>
      <c:layout>
        <c:manualLayout>
          <c:xMode val="edge"/>
          <c:yMode val="edge"/>
          <c:x val="0.22615966754155734"/>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'Total Trade Growth'!$C$26</c:f>
              <c:strCache>
                <c:ptCount val="1"/>
                <c:pt idx="0">
                  <c:v>Всички партньори</c:v>
                </c:pt>
              </c:strCache>
            </c:strRef>
          </c:tx>
          <c:spPr>
            <a:solidFill>
              <a:schemeClr val="accent1"/>
            </a:solidFill>
            <a:ln>
              <a:noFill/>
            </a:ln>
            <a:effectLst/>
            <a:sp3d/>
          </c:spPr>
          <c:invertIfNegative val="0"/>
          <c:cat>
            <c:strRef>
              <c:f>'Total Trade Growth'!$D$25:$F$25</c:f>
              <c:strCache>
                <c:ptCount val="3"/>
                <c:pt idx="0">
                  <c:v>Внос</c:v>
                </c:pt>
                <c:pt idx="1">
                  <c:v>Износ</c:v>
                </c:pt>
                <c:pt idx="2">
                  <c:v>Общо</c:v>
                </c:pt>
              </c:strCache>
            </c:strRef>
          </c:cat>
          <c:val>
            <c:numRef>
              <c:f>'Total Trade Growth'!$D$26:$F$26</c:f>
              <c:numCache>
                <c:formatCode>0.0%</c:formatCode>
                <c:ptCount val="3"/>
                <c:pt idx="0">
                  <c:v>4.9423093273725627E-2</c:v>
                </c:pt>
                <c:pt idx="1">
                  <c:v>2.9452874922337058E-2</c:v>
                </c:pt>
                <c:pt idx="2">
                  <c:v>3.8791291459127297E-2</c:v>
                </c:pt>
              </c:numCache>
            </c:numRef>
          </c:val>
          <c:extLst xmlns:c16r2="http://schemas.microsoft.com/office/drawing/2015/06/chart">
            <c:ext xmlns:c16="http://schemas.microsoft.com/office/drawing/2014/chart" uri="{C3380CC4-5D6E-409C-BE32-E72D297353CC}">
              <c16:uniqueId val="{00000000-D4B0-438F-85DC-F49A6C6ED7A8}"/>
            </c:ext>
          </c:extLst>
        </c:ser>
        <c:ser>
          <c:idx val="1"/>
          <c:order val="1"/>
          <c:tx>
            <c:strRef>
              <c:f>'Total Trade Growth'!$C$27</c:f>
              <c:strCache>
                <c:ptCount val="1"/>
                <c:pt idx="0">
                  <c:v>Партньори по ССТ</c:v>
                </c:pt>
              </c:strCache>
            </c:strRef>
          </c:tx>
          <c:spPr>
            <a:solidFill>
              <a:schemeClr val="accent2"/>
            </a:solidFill>
            <a:ln>
              <a:noFill/>
            </a:ln>
            <a:effectLst/>
            <a:sp3d/>
          </c:spPr>
          <c:invertIfNegative val="0"/>
          <c:cat>
            <c:strRef>
              <c:f>'Total Trade Growth'!$D$25:$F$25</c:f>
              <c:strCache>
                <c:ptCount val="3"/>
                <c:pt idx="0">
                  <c:v>Внос</c:v>
                </c:pt>
                <c:pt idx="1">
                  <c:v>Износ</c:v>
                </c:pt>
                <c:pt idx="2">
                  <c:v>Общо</c:v>
                </c:pt>
              </c:strCache>
            </c:strRef>
          </c:cat>
          <c:val>
            <c:numRef>
              <c:f>'Total Trade Growth'!$D$27:$F$27</c:f>
              <c:numCache>
                <c:formatCode>0.0%</c:formatCode>
                <c:ptCount val="3"/>
                <c:pt idx="0">
                  <c:v>8.1518775148580858E-2</c:v>
                </c:pt>
                <c:pt idx="1">
                  <c:v>4.9342390651688772E-2</c:v>
                </c:pt>
                <c:pt idx="2">
                  <c:v>6.3556202502648595E-2</c:v>
                </c:pt>
              </c:numCache>
            </c:numRef>
          </c:val>
          <c:extLst xmlns:c16r2="http://schemas.microsoft.com/office/drawing/2015/06/chart">
            <c:ext xmlns:c16="http://schemas.microsoft.com/office/drawing/2014/chart" uri="{C3380CC4-5D6E-409C-BE32-E72D297353CC}">
              <c16:uniqueId val="{00000001-D4B0-438F-85DC-F49A6C6ED7A8}"/>
            </c:ext>
          </c:extLst>
        </c:ser>
        <c:ser>
          <c:idx val="2"/>
          <c:order val="2"/>
          <c:tx>
            <c:strRef>
              <c:f>'Total Trade Growth'!$C$28</c:f>
              <c:strCache>
                <c:ptCount val="1"/>
                <c:pt idx="0">
                  <c:v>Партньори, с които не е сключено ССТ</c:v>
                </c:pt>
              </c:strCache>
            </c:strRef>
          </c:tx>
          <c:spPr>
            <a:solidFill>
              <a:schemeClr val="accent3"/>
            </a:solidFill>
            <a:ln>
              <a:noFill/>
            </a:ln>
            <a:effectLst/>
            <a:sp3d/>
          </c:spPr>
          <c:invertIfNegative val="0"/>
          <c:cat>
            <c:strRef>
              <c:f>'Total Trade Growth'!$D$25:$F$25</c:f>
              <c:strCache>
                <c:ptCount val="3"/>
                <c:pt idx="0">
                  <c:v>Внос</c:v>
                </c:pt>
                <c:pt idx="1">
                  <c:v>Износ</c:v>
                </c:pt>
                <c:pt idx="2">
                  <c:v>Общо</c:v>
                </c:pt>
              </c:strCache>
            </c:strRef>
          </c:cat>
          <c:val>
            <c:numRef>
              <c:f>'Total Trade Growth'!$D$28:$F$28</c:f>
              <c:numCache>
                <c:formatCode>0.0%</c:formatCode>
                <c:ptCount val="3"/>
                <c:pt idx="0">
                  <c:v>3.6644770356847545E-2</c:v>
                </c:pt>
                <c:pt idx="1">
                  <c:v>2.026055319696618E-2</c:v>
                </c:pt>
                <c:pt idx="2">
                  <c:v>2.8104996701681539E-2</c:v>
                </c:pt>
              </c:numCache>
            </c:numRef>
          </c:val>
          <c:extLst xmlns:c16r2="http://schemas.microsoft.com/office/drawing/2015/06/chart">
            <c:ext xmlns:c16="http://schemas.microsoft.com/office/drawing/2014/chart" uri="{C3380CC4-5D6E-409C-BE32-E72D297353CC}">
              <c16:uniqueId val="{00000002-D4B0-438F-85DC-F49A6C6ED7A8}"/>
            </c:ext>
          </c:extLst>
        </c:ser>
        <c:dLbls>
          <c:showLegendKey val="0"/>
          <c:showVal val="0"/>
          <c:showCatName val="0"/>
          <c:showSerName val="0"/>
          <c:showPercent val="0"/>
          <c:showBubbleSize val="0"/>
        </c:dLbls>
        <c:gapWidth val="150"/>
        <c:shape val="box"/>
        <c:axId val="109448576"/>
        <c:axId val="109450368"/>
        <c:axId val="0"/>
      </c:bar3DChart>
      <c:catAx>
        <c:axId val="109448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50368"/>
        <c:crosses val="autoZero"/>
        <c:auto val="1"/>
        <c:lblAlgn val="ctr"/>
        <c:lblOffset val="100"/>
        <c:noMultiLvlLbl val="0"/>
      </c:catAx>
      <c:valAx>
        <c:axId val="109450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4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ЕС—САЩ: двустранна търговия като дял от общата търговия (стоки)</a:t>
            </a:r>
          </a:p>
        </c:rich>
      </c:tx>
      <c:overlay val="0"/>
      <c:spPr>
        <a:noFill/>
        <a:ln>
          <a:noFill/>
        </a:ln>
        <a:effectLst/>
      </c:spPr>
    </c:title>
    <c:autoTitleDeleted val="0"/>
    <c:plotArea>
      <c:layout/>
      <c:lineChart>
        <c:grouping val="standard"/>
        <c:varyColors val="0"/>
        <c:ser>
          <c:idx val="0"/>
          <c:order val="0"/>
          <c:tx>
            <c:strRef>
              <c:f>Graph!$A$2</c:f>
              <c:strCache>
                <c:ptCount val="1"/>
                <c:pt idx="0">
                  <c:v>EU</c:v>
                </c:pt>
              </c:strCache>
            </c:strRef>
          </c:tx>
          <c:spPr>
            <a:ln w="28575" cap="rnd">
              <a:solidFill>
                <a:schemeClr val="accent1"/>
              </a:solidFill>
              <a:round/>
            </a:ln>
            <a:effectLst/>
          </c:spPr>
          <c:marker>
            <c:symbol val="none"/>
          </c:marker>
          <c:cat>
            <c:numRef>
              <c:f>Graph!$B$1:$L$1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Graph!$B$2:$L$2</c:f>
              <c:numCache>
                <c:formatCode>0%</c:formatCode>
                <c:ptCount val="11"/>
                <c:pt idx="0">
                  <c:v>0.12395281824264456</c:v>
                </c:pt>
                <c:pt idx="1">
                  <c:v>0.118532881580154</c:v>
                </c:pt>
                <c:pt idx="2">
                  <c:v>0.11452202366473876</c:v>
                </c:pt>
                <c:pt idx="3">
                  <c:v>0.11923641117676666</c:v>
                </c:pt>
                <c:pt idx="4">
                  <c:v>0.12003345830009594</c:v>
                </c:pt>
                <c:pt idx="5">
                  <c:v>0.12661789382318545</c:v>
                </c:pt>
                <c:pt idx="6">
                  <c:v>0.14381364441254785</c:v>
                </c:pt>
                <c:pt idx="7">
                  <c:v>0.1450353253227088</c:v>
                </c:pt>
                <c:pt idx="8">
                  <c:v>0.13951558131984201</c:v>
                </c:pt>
                <c:pt idx="9">
                  <c:v>0.14199147302444551</c:v>
                </c:pt>
                <c:pt idx="10">
                  <c:v>0.15104313591777285</c:v>
                </c:pt>
              </c:numCache>
            </c:numRef>
          </c:val>
          <c:smooth val="0"/>
          <c:extLst xmlns:c16r2="http://schemas.microsoft.com/office/drawing/2015/06/chart">
            <c:ext xmlns:c16="http://schemas.microsoft.com/office/drawing/2014/chart" uri="{C3380CC4-5D6E-409C-BE32-E72D297353CC}">
              <c16:uniqueId val="{00000000-57EB-4EB1-A7A5-1B88CB9AF320}"/>
            </c:ext>
          </c:extLst>
        </c:ser>
        <c:ser>
          <c:idx val="1"/>
          <c:order val="1"/>
          <c:tx>
            <c:strRef>
              <c:f>Graph!$A$3</c:f>
              <c:strCache>
                <c:ptCount val="1"/>
                <c:pt idx="0">
                  <c:v>USA</c:v>
                </c:pt>
              </c:strCache>
            </c:strRef>
          </c:tx>
          <c:spPr>
            <a:ln w="28575" cap="rnd">
              <a:solidFill>
                <a:schemeClr val="accent2"/>
              </a:solidFill>
              <a:round/>
            </a:ln>
            <a:effectLst/>
          </c:spPr>
          <c:marker>
            <c:symbol val="none"/>
          </c:marker>
          <c:cat>
            <c:numRef>
              <c:f>Graph!$B$1:$L$1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Graph!$B$3:$L$3</c:f>
              <c:numCache>
                <c:formatCode>0%</c:formatCode>
                <c:ptCount val="11"/>
                <c:pt idx="0">
                  <c:v>0.15600135825311554</c:v>
                </c:pt>
                <c:pt idx="1">
                  <c:v>0.1444008193597684</c:v>
                </c:pt>
                <c:pt idx="2">
                  <c:v>0.14422658730552074</c:v>
                </c:pt>
                <c:pt idx="3">
                  <c:v>0.14110256076167968</c:v>
                </c:pt>
                <c:pt idx="4">
                  <c:v>0.14344566755885355</c:v>
                </c:pt>
                <c:pt idx="5">
                  <c:v>0.14803465623708789</c:v>
                </c:pt>
                <c:pt idx="6">
                  <c:v>0.15643634577118354</c:v>
                </c:pt>
                <c:pt idx="7">
                  <c:v>0.1588994765662112</c:v>
                </c:pt>
                <c:pt idx="8">
                  <c:v>0.15682452124779905</c:v>
                </c:pt>
                <c:pt idx="9">
                  <c:v>0.16179216639984143</c:v>
                </c:pt>
                <c:pt idx="10">
                  <c:v>0.17327701402414239</c:v>
                </c:pt>
              </c:numCache>
            </c:numRef>
          </c:val>
          <c:smooth val="0"/>
          <c:extLst xmlns:c16r2="http://schemas.microsoft.com/office/drawing/2015/06/chart">
            <c:ext xmlns:c16="http://schemas.microsoft.com/office/drawing/2014/chart" uri="{C3380CC4-5D6E-409C-BE32-E72D297353CC}">
              <c16:uniqueId val="{00000001-57EB-4EB1-A7A5-1B88CB9AF320}"/>
            </c:ext>
          </c:extLst>
        </c:ser>
        <c:dLbls>
          <c:showLegendKey val="0"/>
          <c:showVal val="0"/>
          <c:showCatName val="0"/>
          <c:showSerName val="0"/>
          <c:showPercent val="0"/>
          <c:showBubbleSize val="0"/>
        </c:dLbls>
        <c:marker val="1"/>
        <c:smooth val="0"/>
        <c:axId val="109511808"/>
        <c:axId val="109513344"/>
      </c:lineChart>
      <c:dateAx>
        <c:axId val="1095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13344"/>
        <c:crosses val="autoZero"/>
        <c:auto val="0"/>
        <c:lblOffset val="100"/>
        <c:baseTimeUnit val="days"/>
      </c:dateAx>
      <c:valAx>
        <c:axId val="109513344"/>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11808"/>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0A8B2-CA65-44E1-920B-E750C00C2C47}"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395CD7A0-8CAB-4738-BEE2-9205AFFF9855}">
      <dgm:prSet phldrT="[Text]"/>
      <dgm:spPr/>
      <dgm:t>
        <a:bodyPr/>
        <a:lstStyle/>
        <a:p>
          <a:r>
            <a:rPr lang="bg-BG"/>
            <a:t>Отворена стратегическа автономност</a:t>
          </a:r>
        </a:p>
      </dgm:t>
    </dgm:pt>
    <dgm:pt modelId="{6E62CE40-B858-4444-96FC-C2D050A1CB9A}" type="parTrans" cxnId="{1F7E3C38-76FC-4FD9-A487-F4061B5B2E56}">
      <dgm:prSet/>
      <dgm:spPr/>
      <dgm:t>
        <a:bodyPr/>
        <a:lstStyle/>
        <a:p>
          <a:endParaRPr lang="en-US"/>
        </a:p>
      </dgm:t>
    </dgm:pt>
    <dgm:pt modelId="{03C42208-320E-4B76-9756-773FD2593E57}" type="sibTrans" cxnId="{1F7E3C38-76FC-4FD9-A487-F4061B5B2E56}">
      <dgm:prSet/>
      <dgm:spPr/>
      <dgm:t>
        <a:bodyPr/>
        <a:lstStyle/>
        <a:p>
          <a:endParaRPr lang="en-US"/>
        </a:p>
      </dgm:t>
    </dgm:pt>
    <dgm:pt modelId="{A9054AC0-887F-46A5-876C-9B683F9B3FAF}">
      <dgm:prSet phldrT="[Text]"/>
      <dgm:spPr/>
      <dgm:t>
        <a:bodyPr/>
        <a:lstStyle/>
        <a:p>
          <a:r>
            <a:rPr lang="bg-BG"/>
            <a:t>Гъвкавост и конкурентоспособност</a:t>
          </a:r>
        </a:p>
      </dgm:t>
    </dgm:pt>
    <dgm:pt modelId="{F5FE2B61-D5F2-49F4-9C57-1036BD909A55}" type="parTrans" cxnId="{070B914E-BF29-4081-AF45-61BEF862C5CC}">
      <dgm:prSet/>
      <dgm:spPr/>
      <dgm:t>
        <a:bodyPr/>
        <a:lstStyle/>
        <a:p>
          <a:endParaRPr lang="en-US"/>
        </a:p>
      </dgm:t>
    </dgm:pt>
    <dgm:pt modelId="{8AA20F60-29AB-44B5-B3F4-4FB52CACCFCC}" type="sibTrans" cxnId="{070B914E-BF29-4081-AF45-61BEF862C5CC}">
      <dgm:prSet/>
      <dgm:spPr/>
      <dgm:t>
        <a:bodyPr/>
        <a:lstStyle/>
        <a:p>
          <a:endParaRPr lang="en-US"/>
        </a:p>
      </dgm:t>
    </dgm:pt>
    <dgm:pt modelId="{085DCDB1-F592-4CA2-A82A-9078C407F2C2}">
      <dgm:prSet phldrT="[Text]"/>
      <dgm:spPr/>
      <dgm:t>
        <a:bodyPr/>
        <a:lstStyle/>
        <a:p>
          <a:r>
            <a:rPr lang="bg-BG"/>
            <a:t>Устойчивост и справедливост</a:t>
          </a:r>
        </a:p>
      </dgm:t>
    </dgm:pt>
    <dgm:pt modelId="{38184D23-5CBB-466F-96F2-55097607D4B3}" type="parTrans" cxnId="{86670781-BB1B-43AC-B73A-A815DFD3CCDA}">
      <dgm:prSet/>
      <dgm:spPr/>
      <dgm:t>
        <a:bodyPr/>
        <a:lstStyle/>
        <a:p>
          <a:endParaRPr lang="en-US"/>
        </a:p>
      </dgm:t>
    </dgm:pt>
    <dgm:pt modelId="{4D62B7DC-E549-4F2D-9C8E-C32460547AE8}" type="sibTrans" cxnId="{86670781-BB1B-43AC-B73A-A815DFD3CCDA}">
      <dgm:prSet/>
      <dgm:spPr/>
      <dgm:t>
        <a:bodyPr/>
        <a:lstStyle/>
        <a:p>
          <a:endParaRPr lang="en-US"/>
        </a:p>
      </dgm:t>
    </dgm:pt>
    <dgm:pt modelId="{9AF7E254-24FB-4781-86B8-D2D3AE77C0DE}">
      <dgm:prSet phldrT="[Text]"/>
      <dgm:spPr/>
      <dgm:t>
        <a:bodyPr/>
        <a:lstStyle/>
        <a:p>
          <a:r>
            <a:rPr lang="bg-BG" b="0"/>
            <a:t>Решителност и основано на правила сътрудничество</a:t>
          </a:r>
        </a:p>
      </dgm:t>
    </dgm:pt>
    <dgm:pt modelId="{C1D6C876-0F53-4F6F-8757-E3DE73AAA701}" type="parTrans" cxnId="{15A10366-F4BB-48E1-97DD-C0BA93CB2889}">
      <dgm:prSet/>
      <dgm:spPr/>
      <dgm:t>
        <a:bodyPr/>
        <a:lstStyle/>
        <a:p>
          <a:endParaRPr lang="en-US"/>
        </a:p>
      </dgm:t>
    </dgm:pt>
    <dgm:pt modelId="{1A200576-F904-4A8E-9F33-EDDB64AEA1C9}" type="sibTrans" cxnId="{15A10366-F4BB-48E1-97DD-C0BA93CB2889}">
      <dgm:prSet/>
      <dgm:spPr/>
      <dgm:t>
        <a:bodyPr/>
        <a:lstStyle/>
        <a:p>
          <a:endParaRPr lang="en-US"/>
        </a:p>
      </dgm:t>
    </dgm:pt>
    <dgm:pt modelId="{0355E223-3C7E-432E-8E03-5A08FF1EDFF2}" type="pres">
      <dgm:prSet presAssocID="{B220A8B2-CA65-44E1-920B-E750C00C2C47}" presName="Name0" presStyleCnt="0">
        <dgm:presLayoutVars>
          <dgm:chMax val="1"/>
          <dgm:dir/>
          <dgm:animLvl val="ctr"/>
          <dgm:resizeHandles val="exact"/>
        </dgm:presLayoutVars>
      </dgm:prSet>
      <dgm:spPr/>
      <dgm:t>
        <a:bodyPr/>
        <a:lstStyle/>
        <a:p>
          <a:endParaRPr lang="en-US"/>
        </a:p>
      </dgm:t>
    </dgm:pt>
    <dgm:pt modelId="{F7320055-6C78-4D51-A5C5-29CADEE13636}" type="pres">
      <dgm:prSet presAssocID="{395CD7A0-8CAB-4738-BEE2-9205AFFF9855}" presName="centerShape" presStyleLbl="node0" presStyleIdx="0" presStyleCnt="1"/>
      <dgm:spPr/>
      <dgm:t>
        <a:bodyPr/>
        <a:lstStyle/>
        <a:p>
          <a:endParaRPr lang="en-US"/>
        </a:p>
      </dgm:t>
    </dgm:pt>
    <dgm:pt modelId="{D8AE66B2-B084-4942-AA91-B18AD3F9A3B8}" type="pres">
      <dgm:prSet presAssocID="{A9054AC0-887F-46A5-876C-9B683F9B3FAF}" presName="node" presStyleLbl="node1" presStyleIdx="0" presStyleCnt="3" custScaleX="112198">
        <dgm:presLayoutVars>
          <dgm:bulletEnabled val="1"/>
        </dgm:presLayoutVars>
      </dgm:prSet>
      <dgm:spPr/>
      <dgm:t>
        <a:bodyPr/>
        <a:lstStyle/>
        <a:p>
          <a:endParaRPr lang="en-US"/>
        </a:p>
      </dgm:t>
    </dgm:pt>
    <dgm:pt modelId="{8A8D0401-59FB-4AAB-A190-11E2AEF1C8A5}" type="pres">
      <dgm:prSet presAssocID="{A9054AC0-887F-46A5-876C-9B683F9B3FAF}" presName="dummy" presStyleCnt="0"/>
      <dgm:spPr/>
    </dgm:pt>
    <dgm:pt modelId="{3054CA62-A9FF-410B-9EA2-3947425A1D14}" type="pres">
      <dgm:prSet presAssocID="{8AA20F60-29AB-44B5-B3F4-4FB52CACCFCC}" presName="sibTrans" presStyleLbl="sibTrans2D1" presStyleIdx="0" presStyleCnt="3"/>
      <dgm:spPr/>
      <dgm:t>
        <a:bodyPr/>
        <a:lstStyle/>
        <a:p>
          <a:endParaRPr lang="en-US"/>
        </a:p>
      </dgm:t>
    </dgm:pt>
    <dgm:pt modelId="{213F6EDC-EB7D-4AB9-8440-9110A947582E}" type="pres">
      <dgm:prSet presAssocID="{085DCDB1-F592-4CA2-A82A-9078C407F2C2}" presName="node" presStyleLbl="node1" presStyleIdx="1" presStyleCnt="3">
        <dgm:presLayoutVars>
          <dgm:bulletEnabled val="1"/>
        </dgm:presLayoutVars>
      </dgm:prSet>
      <dgm:spPr/>
      <dgm:t>
        <a:bodyPr/>
        <a:lstStyle/>
        <a:p>
          <a:endParaRPr lang="en-US"/>
        </a:p>
      </dgm:t>
    </dgm:pt>
    <dgm:pt modelId="{EE5D55BF-438F-4195-88DE-E34454560F2B}" type="pres">
      <dgm:prSet presAssocID="{085DCDB1-F592-4CA2-A82A-9078C407F2C2}" presName="dummy" presStyleCnt="0"/>
      <dgm:spPr/>
    </dgm:pt>
    <dgm:pt modelId="{091D6454-0025-44A8-9CDD-449281328AA3}" type="pres">
      <dgm:prSet presAssocID="{4D62B7DC-E549-4F2D-9C8E-C32460547AE8}" presName="sibTrans" presStyleLbl="sibTrans2D1" presStyleIdx="1" presStyleCnt="3"/>
      <dgm:spPr/>
      <dgm:t>
        <a:bodyPr/>
        <a:lstStyle/>
        <a:p>
          <a:endParaRPr lang="en-US"/>
        </a:p>
      </dgm:t>
    </dgm:pt>
    <dgm:pt modelId="{945B1EF8-E86F-472E-B304-701175145DA7}" type="pres">
      <dgm:prSet presAssocID="{9AF7E254-24FB-4781-86B8-D2D3AE77C0DE}" presName="node" presStyleLbl="node1" presStyleIdx="2" presStyleCnt="3">
        <dgm:presLayoutVars>
          <dgm:bulletEnabled val="1"/>
        </dgm:presLayoutVars>
      </dgm:prSet>
      <dgm:spPr/>
      <dgm:t>
        <a:bodyPr/>
        <a:lstStyle/>
        <a:p>
          <a:endParaRPr lang="en-US"/>
        </a:p>
      </dgm:t>
    </dgm:pt>
    <dgm:pt modelId="{0C5447F0-EA62-42F6-B081-EC69A6F7C39C}" type="pres">
      <dgm:prSet presAssocID="{9AF7E254-24FB-4781-86B8-D2D3AE77C0DE}" presName="dummy" presStyleCnt="0"/>
      <dgm:spPr/>
    </dgm:pt>
    <dgm:pt modelId="{EE01962D-CB12-478F-AA14-5E711D0DFD66}" type="pres">
      <dgm:prSet presAssocID="{1A200576-F904-4A8E-9F33-EDDB64AEA1C9}" presName="sibTrans" presStyleLbl="sibTrans2D1" presStyleIdx="2" presStyleCnt="3"/>
      <dgm:spPr/>
      <dgm:t>
        <a:bodyPr/>
        <a:lstStyle/>
        <a:p>
          <a:endParaRPr lang="en-US"/>
        </a:p>
      </dgm:t>
    </dgm:pt>
  </dgm:ptLst>
  <dgm:cxnLst>
    <dgm:cxn modelId="{AB730315-E44E-4BF8-877B-BAB77BD1B0CF}" type="presOf" srcId="{085DCDB1-F592-4CA2-A82A-9078C407F2C2}" destId="{213F6EDC-EB7D-4AB9-8440-9110A947582E}" srcOrd="0" destOrd="0" presId="urn:microsoft.com/office/officeart/2005/8/layout/radial6"/>
    <dgm:cxn modelId="{DEBA178F-A714-4B23-AE88-172FFFF44745}" type="presOf" srcId="{395CD7A0-8CAB-4738-BEE2-9205AFFF9855}" destId="{F7320055-6C78-4D51-A5C5-29CADEE13636}" srcOrd="0" destOrd="0" presId="urn:microsoft.com/office/officeart/2005/8/layout/radial6"/>
    <dgm:cxn modelId="{5DD243B2-7F05-47CE-99A5-CBD9D908B14A}" type="presOf" srcId="{1A200576-F904-4A8E-9F33-EDDB64AEA1C9}" destId="{EE01962D-CB12-478F-AA14-5E711D0DFD66}" srcOrd="0" destOrd="0" presId="urn:microsoft.com/office/officeart/2005/8/layout/radial6"/>
    <dgm:cxn modelId="{15A10366-F4BB-48E1-97DD-C0BA93CB2889}" srcId="{395CD7A0-8CAB-4738-BEE2-9205AFFF9855}" destId="{9AF7E254-24FB-4781-86B8-D2D3AE77C0DE}" srcOrd="2" destOrd="0" parTransId="{C1D6C876-0F53-4F6F-8757-E3DE73AAA701}" sibTransId="{1A200576-F904-4A8E-9F33-EDDB64AEA1C9}"/>
    <dgm:cxn modelId="{86670781-BB1B-43AC-B73A-A815DFD3CCDA}" srcId="{395CD7A0-8CAB-4738-BEE2-9205AFFF9855}" destId="{085DCDB1-F592-4CA2-A82A-9078C407F2C2}" srcOrd="1" destOrd="0" parTransId="{38184D23-5CBB-466F-96F2-55097607D4B3}" sibTransId="{4D62B7DC-E549-4F2D-9C8E-C32460547AE8}"/>
    <dgm:cxn modelId="{EE07EE05-37CE-4CD1-9048-38001CE0244E}" type="presOf" srcId="{8AA20F60-29AB-44B5-B3F4-4FB52CACCFCC}" destId="{3054CA62-A9FF-410B-9EA2-3947425A1D14}" srcOrd="0" destOrd="0" presId="urn:microsoft.com/office/officeart/2005/8/layout/radial6"/>
    <dgm:cxn modelId="{1F7E3C38-76FC-4FD9-A487-F4061B5B2E56}" srcId="{B220A8B2-CA65-44E1-920B-E750C00C2C47}" destId="{395CD7A0-8CAB-4738-BEE2-9205AFFF9855}" srcOrd="0" destOrd="0" parTransId="{6E62CE40-B858-4444-96FC-C2D050A1CB9A}" sibTransId="{03C42208-320E-4B76-9756-773FD2593E57}"/>
    <dgm:cxn modelId="{D84EBDBF-10DF-4ED6-A308-264B7209E08F}" type="presOf" srcId="{A9054AC0-887F-46A5-876C-9B683F9B3FAF}" destId="{D8AE66B2-B084-4942-AA91-B18AD3F9A3B8}" srcOrd="0" destOrd="0" presId="urn:microsoft.com/office/officeart/2005/8/layout/radial6"/>
    <dgm:cxn modelId="{4B04950A-97B1-4A5C-87C5-D7D05BCA6CD0}" type="presOf" srcId="{4D62B7DC-E549-4F2D-9C8E-C32460547AE8}" destId="{091D6454-0025-44A8-9CDD-449281328AA3}" srcOrd="0" destOrd="0" presId="urn:microsoft.com/office/officeart/2005/8/layout/radial6"/>
    <dgm:cxn modelId="{C1C53828-E3CD-4CAE-ACCF-3EE13DE1B25B}" type="presOf" srcId="{9AF7E254-24FB-4781-86B8-D2D3AE77C0DE}" destId="{945B1EF8-E86F-472E-B304-701175145DA7}" srcOrd="0" destOrd="0" presId="urn:microsoft.com/office/officeart/2005/8/layout/radial6"/>
    <dgm:cxn modelId="{070B914E-BF29-4081-AF45-61BEF862C5CC}" srcId="{395CD7A0-8CAB-4738-BEE2-9205AFFF9855}" destId="{A9054AC0-887F-46A5-876C-9B683F9B3FAF}" srcOrd="0" destOrd="0" parTransId="{F5FE2B61-D5F2-49F4-9C57-1036BD909A55}" sibTransId="{8AA20F60-29AB-44B5-B3F4-4FB52CACCFCC}"/>
    <dgm:cxn modelId="{870D1B00-0C51-4FA4-8A7B-5257CDA9094A}" type="presOf" srcId="{B220A8B2-CA65-44E1-920B-E750C00C2C47}" destId="{0355E223-3C7E-432E-8E03-5A08FF1EDFF2}" srcOrd="0" destOrd="0" presId="urn:microsoft.com/office/officeart/2005/8/layout/radial6"/>
    <dgm:cxn modelId="{3AC98752-CD43-4398-A796-C3211A5288FF}" type="presParOf" srcId="{0355E223-3C7E-432E-8E03-5A08FF1EDFF2}" destId="{F7320055-6C78-4D51-A5C5-29CADEE13636}" srcOrd="0" destOrd="0" presId="urn:microsoft.com/office/officeart/2005/8/layout/radial6"/>
    <dgm:cxn modelId="{598BB041-E67F-4772-A2FB-63D2F05D226A}" type="presParOf" srcId="{0355E223-3C7E-432E-8E03-5A08FF1EDFF2}" destId="{D8AE66B2-B084-4942-AA91-B18AD3F9A3B8}" srcOrd="1" destOrd="0" presId="urn:microsoft.com/office/officeart/2005/8/layout/radial6"/>
    <dgm:cxn modelId="{7A587F45-9DA0-4EA9-9644-4D110BA7DA4E}" type="presParOf" srcId="{0355E223-3C7E-432E-8E03-5A08FF1EDFF2}" destId="{8A8D0401-59FB-4AAB-A190-11E2AEF1C8A5}" srcOrd="2" destOrd="0" presId="urn:microsoft.com/office/officeart/2005/8/layout/radial6"/>
    <dgm:cxn modelId="{772A8C21-7D25-4D80-A33A-CAA08869750B}" type="presParOf" srcId="{0355E223-3C7E-432E-8E03-5A08FF1EDFF2}" destId="{3054CA62-A9FF-410B-9EA2-3947425A1D14}" srcOrd="3" destOrd="0" presId="urn:microsoft.com/office/officeart/2005/8/layout/radial6"/>
    <dgm:cxn modelId="{9568F37D-3D06-4BB2-B6A1-1C4CD9895659}" type="presParOf" srcId="{0355E223-3C7E-432E-8E03-5A08FF1EDFF2}" destId="{213F6EDC-EB7D-4AB9-8440-9110A947582E}" srcOrd="4" destOrd="0" presId="urn:microsoft.com/office/officeart/2005/8/layout/radial6"/>
    <dgm:cxn modelId="{61A3D644-3CED-4A71-87FD-CB4B9B107678}" type="presParOf" srcId="{0355E223-3C7E-432E-8E03-5A08FF1EDFF2}" destId="{EE5D55BF-438F-4195-88DE-E34454560F2B}" srcOrd="5" destOrd="0" presId="urn:microsoft.com/office/officeart/2005/8/layout/radial6"/>
    <dgm:cxn modelId="{40C48A74-8551-483B-B76D-AEFC0E1FAD72}" type="presParOf" srcId="{0355E223-3C7E-432E-8E03-5A08FF1EDFF2}" destId="{091D6454-0025-44A8-9CDD-449281328AA3}" srcOrd="6" destOrd="0" presId="urn:microsoft.com/office/officeart/2005/8/layout/radial6"/>
    <dgm:cxn modelId="{A5522C58-89E3-4040-A619-96606EE31F68}" type="presParOf" srcId="{0355E223-3C7E-432E-8E03-5A08FF1EDFF2}" destId="{945B1EF8-E86F-472E-B304-701175145DA7}" srcOrd="7" destOrd="0" presId="urn:microsoft.com/office/officeart/2005/8/layout/radial6"/>
    <dgm:cxn modelId="{6C38530C-6496-456F-9A17-A5DD689BD454}" type="presParOf" srcId="{0355E223-3C7E-432E-8E03-5A08FF1EDFF2}" destId="{0C5447F0-EA62-42F6-B081-EC69A6F7C39C}" srcOrd="8" destOrd="0" presId="urn:microsoft.com/office/officeart/2005/8/layout/radial6"/>
    <dgm:cxn modelId="{E2166244-5C77-4B99-A2D4-6A9C4AAE5480}" type="presParOf" srcId="{0355E223-3C7E-432E-8E03-5A08FF1EDFF2}" destId="{EE01962D-CB12-478F-AA14-5E711D0DFD66}" srcOrd="9"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DEF763-AD99-4490-B4E6-0DB7CE59B2C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1AB5C31B-8120-4843-AE15-DBDC2A13D99C}">
      <dgm:prSet phldrT="[Text]" custT="1"/>
      <dgm:spPr/>
      <dgm:t>
        <a:bodyPr/>
        <a:lstStyle/>
        <a:p>
          <a:r>
            <a:rPr lang="bg-BG" sz="1000" b="1"/>
            <a:t>Подкрепяне на екологичния преход и насърчаване на отговорни и устойчиви вериги за създаване на стойност </a:t>
          </a:r>
        </a:p>
      </dgm:t>
    </dgm:pt>
    <dgm:pt modelId="{8346F60A-3627-49B2-B43C-DA96C4421BAB}" type="parTrans" cxnId="{A60911FD-3537-4703-A2DC-9A0772AEF83B}">
      <dgm:prSet/>
      <dgm:spPr/>
      <dgm:t>
        <a:bodyPr/>
        <a:lstStyle/>
        <a:p>
          <a:endParaRPr lang="en-US"/>
        </a:p>
      </dgm:t>
    </dgm:pt>
    <dgm:pt modelId="{DF3DA0A8-7DD4-4173-9C2F-EDB22E645223}" type="sibTrans" cxnId="{A60911FD-3537-4703-A2DC-9A0772AEF83B}">
      <dgm:prSet/>
      <dgm:spPr/>
      <dgm:t>
        <a:bodyPr/>
        <a:lstStyle/>
        <a:p>
          <a:endParaRPr lang="en-US"/>
        </a:p>
      </dgm:t>
    </dgm:pt>
    <dgm:pt modelId="{CA8FC271-6DC3-4B79-95F0-8337E13C96C7}">
      <dgm:prSet phldrT="[Text]" custT="1"/>
      <dgm:spPr/>
      <dgm:t>
        <a:bodyPr/>
        <a:lstStyle/>
        <a:p>
          <a:r>
            <a:rPr lang="bg-BG" sz="1000" b="1"/>
            <a:t>Подкрепяне на цифровия преход и търговията с услуги</a:t>
          </a:r>
        </a:p>
      </dgm:t>
    </dgm:pt>
    <dgm:pt modelId="{C8EBEA3B-BB51-48CD-85A1-C14232D67D31}" type="parTrans" cxnId="{4DFF3A21-429C-4B85-A934-8C3B3C595E91}">
      <dgm:prSet/>
      <dgm:spPr/>
      <dgm:t>
        <a:bodyPr/>
        <a:lstStyle/>
        <a:p>
          <a:endParaRPr lang="en-US"/>
        </a:p>
      </dgm:t>
    </dgm:pt>
    <dgm:pt modelId="{CB770EB1-63E6-4D8C-8A52-D31908175198}" type="sibTrans" cxnId="{4DFF3A21-429C-4B85-A934-8C3B3C595E91}">
      <dgm:prSet/>
      <dgm:spPr/>
      <dgm:t>
        <a:bodyPr/>
        <a:lstStyle/>
        <a:p>
          <a:endParaRPr lang="en-US"/>
        </a:p>
      </dgm:t>
    </dgm:pt>
    <dgm:pt modelId="{D5B6B206-F8B9-4AB1-AD5E-379785C5F069}">
      <dgm:prSet phldrT="[Text]" custT="1"/>
      <dgm:spPr/>
      <dgm:t>
        <a:bodyPr/>
        <a:lstStyle/>
        <a:p>
          <a:r>
            <a:rPr lang="bg-BG" sz="1000" b="1"/>
            <a:t>Засилване на регулаторното въздействие на ЕС</a:t>
          </a:r>
        </a:p>
      </dgm:t>
    </dgm:pt>
    <dgm:pt modelId="{D55982F6-59BD-42B1-988C-5E149633DA54}" type="parTrans" cxnId="{D31E018A-7A79-405B-A2C4-B4973D2DF78C}">
      <dgm:prSet/>
      <dgm:spPr/>
      <dgm:t>
        <a:bodyPr/>
        <a:lstStyle/>
        <a:p>
          <a:endParaRPr lang="en-US"/>
        </a:p>
      </dgm:t>
    </dgm:pt>
    <dgm:pt modelId="{824B7657-FE3D-40E5-B762-7DD07EAE1E38}" type="sibTrans" cxnId="{D31E018A-7A79-405B-A2C4-B4973D2DF78C}">
      <dgm:prSet/>
      <dgm:spPr/>
      <dgm:t>
        <a:bodyPr/>
        <a:lstStyle/>
        <a:p>
          <a:endParaRPr lang="en-US"/>
        </a:p>
      </dgm:t>
    </dgm:pt>
    <dgm:pt modelId="{8A639019-46BE-480D-832F-48FB36679658}">
      <dgm:prSet phldrT="[Text]" custT="1"/>
      <dgm:spPr/>
      <dgm:t>
        <a:bodyPr/>
        <a:lstStyle/>
        <a:p>
          <a:r>
            <a:rPr lang="bg-BG" sz="1000" b="1"/>
            <a:t>Укрепване на партньорствата на ЕС със съседни държави, държави, обхванати от процеса на разширяване, и Африка</a:t>
          </a:r>
        </a:p>
      </dgm:t>
    </dgm:pt>
    <dgm:pt modelId="{B2903335-F6C0-47A9-9DB6-AA919FF90E2D}" type="parTrans" cxnId="{E0F79ACF-D1F9-4529-9CCD-C7849211C656}">
      <dgm:prSet/>
      <dgm:spPr/>
      <dgm:t>
        <a:bodyPr/>
        <a:lstStyle/>
        <a:p>
          <a:endParaRPr lang="en-US"/>
        </a:p>
      </dgm:t>
    </dgm:pt>
    <dgm:pt modelId="{DDA2CB4D-7344-419B-BE1D-349006B5D681}" type="sibTrans" cxnId="{E0F79ACF-D1F9-4529-9CCD-C7849211C656}">
      <dgm:prSet/>
      <dgm:spPr/>
      <dgm:t>
        <a:bodyPr/>
        <a:lstStyle/>
        <a:p>
          <a:endParaRPr lang="en-US"/>
        </a:p>
      </dgm:t>
    </dgm:pt>
    <dgm:pt modelId="{062CD78A-27FD-4A76-80FB-075D3603579B}">
      <dgm:prSet phldrT="[Text]" custT="1"/>
      <dgm:spPr/>
      <dgm:t>
        <a:bodyPr/>
        <a:lstStyle/>
        <a:p>
          <a:r>
            <a:rPr lang="bg-BG" sz="1000" b="1"/>
            <a:t>Засилване на вниманието на ЕС към изпълнението и прилагането на търговските споразумения и осигуряване на еднакви условия на конкуренция</a:t>
          </a:r>
        </a:p>
      </dgm:t>
    </dgm:pt>
    <dgm:pt modelId="{65687086-8059-42EB-8775-680E3A978FAB}" type="parTrans" cxnId="{EC9D76EC-3BE8-482F-AAB2-3896963F0787}">
      <dgm:prSet/>
      <dgm:spPr/>
      <dgm:t>
        <a:bodyPr/>
        <a:lstStyle/>
        <a:p>
          <a:endParaRPr lang="en-US"/>
        </a:p>
      </dgm:t>
    </dgm:pt>
    <dgm:pt modelId="{5F0C8645-C94E-42C0-9CBB-73FB3E944FD9}" type="sibTrans" cxnId="{EC9D76EC-3BE8-482F-AAB2-3896963F0787}">
      <dgm:prSet/>
      <dgm:spPr/>
      <dgm:t>
        <a:bodyPr/>
        <a:lstStyle/>
        <a:p>
          <a:endParaRPr lang="en-US"/>
        </a:p>
      </dgm:t>
    </dgm:pt>
    <dgm:pt modelId="{984BBD98-8E3E-4EB9-93D4-187FF0C44BE6}">
      <dgm:prSet phldrT="[Text]" custT="1"/>
      <dgm:spPr/>
      <dgm:t>
        <a:bodyPr/>
        <a:lstStyle/>
        <a:p>
          <a:r>
            <a:rPr lang="bg-BG" sz="1000" b="1"/>
            <a:t>Реформиране на СТО </a:t>
          </a:r>
        </a:p>
      </dgm:t>
    </dgm:pt>
    <dgm:pt modelId="{98EFA791-6844-40E8-A949-02F7CEADD6FC}" type="parTrans" cxnId="{B938EA90-48F6-4DEF-A7E4-CA099B78EC5C}">
      <dgm:prSet/>
      <dgm:spPr/>
      <dgm:t>
        <a:bodyPr/>
        <a:lstStyle/>
        <a:p>
          <a:endParaRPr lang="en-US"/>
        </a:p>
      </dgm:t>
    </dgm:pt>
    <dgm:pt modelId="{003423DD-76B0-48D1-8AF2-AAACDE94C4CF}" type="sibTrans" cxnId="{B938EA90-48F6-4DEF-A7E4-CA099B78EC5C}">
      <dgm:prSet/>
      <dgm:spPr/>
      <dgm:t>
        <a:bodyPr/>
        <a:lstStyle/>
        <a:p>
          <a:endParaRPr lang="en-US"/>
        </a:p>
      </dgm:t>
    </dgm:pt>
    <dgm:pt modelId="{830A6A14-B33D-4CB3-9C50-405A9AEBD273}" type="pres">
      <dgm:prSet presAssocID="{30DEF763-AD99-4490-B4E6-0DB7CE59B2CC}" presName="Name0" presStyleCnt="0">
        <dgm:presLayoutVars>
          <dgm:chMax val="7"/>
          <dgm:chPref val="7"/>
          <dgm:dir/>
        </dgm:presLayoutVars>
      </dgm:prSet>
      <dgm:spPr/>
      <dgm:t>
        <a:bodyPr/>
        <a:lstStyle/>
        <a:p>
          <a:endParaRPr lang="en-US"/>
        </a:p>
      </dgm:t>
    </dgm:pt>
    <dgm:pt modelId="{C650A871-0967-46DB-B8A1-3A6D57F701B4}" type="pres">
      <dgm:prSet presAssocID="{30DEF763-AD99-4490-B4E6-0DB7CE59B2CC}" presName="Name1" presStyleCnt="0"/>
      <dgm:spPr/>
    </dgm:pt>
    <dgm:pt modelId="{E9AB4DA9-B28B-4164-BD41-7AD79214E18A}" type="pres">
      <dgm:prSet presAssocID="{30DEF763-AD99-4490-B4E6-0DB7CE59B2CC}" presName="cycle" presStyleCnt="0"/>
      <dgm:spPr/>
    </dgm:pt>
    <dgm:pt modelId="{0F701AA2-BB1F-4CCE-8A0F-5A3563BF32DD}" type="pres">
      <dgm:prSet presAssocID="{30DEF763-AD99-4490-B4E6-0DB7CE59B2CC}" presName="srcNode" presStyleLbl="node1" presStyleIdx="0" presStyleCnt="6"/>
      <dgm:spPr/>
    </dgm:pt>
    <dgm:pt modelId="{DB3067A9-D2E2-48F7-A450-F15F0538E996}" type="pres">
      <dgm:prSet presAssocID="{30DEF763-AD99-4490-B4E6-0DB7CE59B2CC}" presName="conn" presStyleLbl="parChTrans1D2" presStyleIdx="0" presStyleCnt="1"/>
      <dgm:spPr/>
      <dgm:t>
        <a:bodyPr/>
        <a:lstStyle/>
        <a:p>
          <a:endParaRPr lang="en-US"/>
        </a:p>
      </dgm:t>
    </dgm:pt>
    <dgm:pt modelId="{6F427888-C31C-4966-8D70-6123E2984CB4}" type="pres">
      <dgm:prSet presAssocID="{30DEF763-AD99-4490-B4E6-0DB7CE59B2CC}" presName="extraNode" presStyleLbl="node1" presStyleIdx="0" presStyleCnt="6"/>
      <dgm:spPr/>
    </dgm:pt>
    <dgm:pt modelId="{E9B85D2B-D45F-4E14-B90C-99021E590C2F}" type="pres">
      <dgm:prSet presAssocID="{30DEF763-AD99-4490-B4E6-0DB7CE59B2CC}" presName="dstNode" presStyleLbl="node1" presStyleIdx="0" presStyleCnt="6"/>
      <dgm:spPr/>
    </dgm:pt>
    <dgm:pt modelId="{0A3BDEFB-94D3-441A-83B9-27142A1455F3}" type="pres">
      <dgm:prSet presAssocID="{984BBD98-8E3E-4EB9-93D4-187FF0C44BE6}" presName="text_1" presStyleLbl="node1" presStyleIdx="0" presStyleCnt="6" custLinFactNeighborX="-991" custLinFactNeighborY="4632">
        <dgm:presLayoutVars>
          <dgm:bulletEnabled val="1"/>
        </dgm:presLayoutVars>
      </dgm:prSet>
      <dgm:spPr/>
      <dgm:t>
        <a:bodyPr/>
        <a:lstStyle/>
        <a:p>
          <a:endParaRPr lang="en-US"/>
        </a:p>
      </dgm:t>
    </dgm:pt>
    <dgm:pt modelId="{544C9253-2159-4697-979E-86D8879C62D9}" type="pres">
      <dgm:prSet presAssocID="{984BBD98-8E3E-4EB9-93D4-187FF0C44BE6}" presName="accent_1" presStyleCnt="0"/>
      <dgm:spPr/>
    </dgm:pt>
    <dgm:pt modelId="{A473D55E-13CD-4B10-8A8B-26CAF01C6DAA}" type="pres">
      <dgm:prSet presAssocID="{984BBD98-8E3E-4EB9-93D4-187FF0C44BE6}" presName="accentRepeatNode" presStyleLbl="solidFgAcc1" presStyleIdx="0" presStyleCnt="6"/>
      <dgm:spPr/>
    </dgm:pt>
    <dgm:pt modelId="{81B33856-CEB8-4796-9F79-A7F8447C3065}" type="pres">
      <dgm:prSet presAssocID="{1AB5C31B-8120-4843-AE15-DBDC2A13D99C}" presName="text_2" presStyleLbl="node1" presStyleIdx="1" presStyleCnt="6">
        <dgm:presLayoutVars>
          <dgm:bulletEnabled val="1"/>
        </dgm:presLayoutVars>
      </dgm:prSet>
      <dgm:spPr/>
      <dgm:t>
        <a:bodyPr/>
        <a:lstStyle/>
        <a:p>
          <a:endParaRPr lang="en-US"/>
        </a:p>
      </dgm:t>
    </dgm:pt>
    <dgm:pt modelId="{CF1B9593-C000-457F-BB92-AEB90B8232F7}" type="pres">
      <dgm:prSet presAssocID="{1AB5C31B-8120-4843-AE15-DBDC2A13D99C}" presName="accent_2" presStyleCnt="0"/>
      <dgm:spPr/>
    </dgm:pt>
    <dgm:pt modelId="{3B9616CF-F83D-43E1-86F6-A295F0E7B9D1}" type="pres">
      <dgm:prSet presAssocID="{1AB5C31B-8120-4843-AE15-DBDC2A13D99C}" presName="accentRepeatNode" presStyleLbl="solidFgAcc1" presStyleIdx="1" presStyleCnt="6"/>
      <dgm:spPr/>
    </dgm:pt>
    <dgm:pt modelId="{94404558-FC2F-4CD7-9C33-35752FF152E2}" type="pres">
      <dgm:prSet presAssocID="{CA8FC271-6DC3-4B79-95F0-8337E13C96C7}" presName="text_3" presStyleLbl="node1" presStyleIdx="2" presStyleCnt="6">
        <dgm:presLayoutVars>
          <dgm:bulletEnabled val="1"/>
        </dgm:presLayoutVars>
      </dgm:prSet>
      <dgm:spPr/>
      <dgm:t>
        <a:bodyPr/>
        <a:lstStyle/>
        <a:p>
          <a:endParaRPr lang="en-US"/>
        </a:p>
      </dgm:t>
    </dgm:pt>
    <dgm:pt modelId="{984CF672-979A-4105-A995-2D053DF508C8}" type="pres">
      <dgm:prSet presAssocID="{CA8FC271-6DC3-4B79-95F0-8337E13C96C7}" presName="accent_3" presStyleCnt="0"/>
      <dgm:spPr/>
    </dgm:pt>
    <dgm:pt modelId="{4AAA8D86-E076-4A74-BA37-9ADFB7F3FE02}" type="pres">
      <dgm:prSet presAssocID="{CA8FC271-6DC3-4B79-95F0-8337E13C96C7}" presName="accentRepeatNode" presStyleLbl="solidFgAcc1" presStyleIdx="2" presStyleCnt="6"/>
      <dgm:spPr/>
    </dgm:pt>
    <dgm:pt modelId="{A6082631-159F-4806-992E-AA71550C7FD6}" type="pres">
      <dgm:prSet presAssocID="{D5B6B206-F8B9-4AB1-AD5E-379785C5F069}" presName="text_4" presStyleLbl="node1" presStyleIdx="3" presStyleCnt="6">
        <dgm:presLayoutVars>
          <dgm:bulletEnabled val="1"/>
        </dgm:presLayoutVars>
      </dgm:prSet>
      <dgm:spPr/>
      <dgm:t>
        <a:bodyPr/>
        <a:lstStyle/>
        <a:p>
          <a:endParaRPr lang="en-US"/>
        </a:p>
      </dgm:t>
    </dgm:pt>
    <dgm:pt modelId="{E5D597AB-1849-446E-ADC1-856A30DEBEF6}" type="pres">
      <dgm:prSet presAssocID="{D5B6B206-F8B9-4AB1-AD5E-379785C5F069}" presName="accent_4" presStyleCnt="0"/>
      <dgm:spPr/>
    </dgm:pt>
    <dgm:pt modelId="{E845C4F7-AEC2-434D-BF38-638E32584606}" type="pres">
      <dgm:prSet presAssocID="{D5B6B206-F8B9-4AB1-AD5E-379785C5F069}" presName="accentRepeatNode" presStyleLbl="solidFgAcc1" presStyleIdx="3" presStyleCnt="6"/>
      <dgm:spPr/>
    </dgm:pt>
    <dgm:pt modelId="{BE3668DE-1D23-4F18-9D4C-CDE7B81BF328}" type="pres">
      <dgm:prSet presAssocID="{8A639019-46BE-480D-832F-48FB36679658}" presName="text_5" presStyleLbl="node1" presStyleIdx="4" presStyleCnt="6">
        <dgm:presLayoutVars>
          <dgm:bulletEnabled val="1"/>
        </dgm:presLayoutVars>
      </dgm:prSet>
      <dgm:spPr/>
      <dgm:t>
        <a:bodyPr/>
        <a:lstStyle/>
        <a:p>
          <a:endParaRPr lang="en-US"/>
        </a:p>
      </dgm:t>
    </dgm:pt>
    <dgm:pt modelId="{4FE13796-D4BB-42FF-94F0-79384EE26372}" type="pres">
      <dgm:prSet presAssocID="{8A639019-46BE-480D-832F-48FB36679658}" presName="accent_5" presStyleCnt="0"/>
      <dgm:spPr/>
    </dgm:pt>
    <dgm:pt modelId="{666912A2-BD97-4E89-878C-107EB60294F3}" type="pres">
      <dgm:prSet presAssocID="{8A639019-46BE-480D-832F-48FB36679658}" presName="accentRepeatNode" presStyleLbl="solidFgAcc1" presStyleIdx="4" presStyleCnt="6"/>
      <dgm:spPr/>
    </dgm:pt>
    <dgm:pt modelId="{C81F021B-F978-4E71-8F28-A188F6ED0062}" type="pres">
      <dgm:prSet presAssocID="{062CD78A-27FD-4A76-80FB-075D3603579B}" presName="text_6" presStyleLbl="node1" presStyleIdx="5" presStyleCnt="6">
        <dgm:presLayoutVars>
          <dgm:bulletEnabled val="1"/>
        </dgm:presLayoutVars>
      </dgm:prSet>
      <dgm:spPr/>
      <dgm:t>
        <a:bodyPr/>
        <a:lstStyle/>
        <a:p>
          <a:endParaRPr lang="en-US"/>
        </a:p>
      </dgm:t>
    </dgm:pt>
    <dgm:pt modelId="{EF1273FF-4902-44D7-AE52-EB93A27D10D6}" type="pres">
      <dgm:prSet presAssocID="{062CD78A-27FD-4A76-80FB-075D3603579B}" presName="accent_6" presStyleCnt="0"/>
      <dgm:spPr/>
    </dgm:pt>
    <dgm:pt modelId="{BEE13A2C-9427-4ED7-BB24-4B8314D7193C}" type="pres">
      <dgm:prSet presAssocID="{062CD78A-27FD-4A76-80FB-075D3603579B}" presName="accentRepeatNode" presStyleLbl="solidFgAcc1" presStyleIdx="5" presStyleCnt="6"/>
      <dgm:spPr/>
    </dgm:pt>
  </dgm:ptLst>
  <dgm:cxnLst>
    <dgm:cxn modelId="{A60911FD-3537-4703-A2DC-9A0772AEF83B}" srcId="{30DEF763-AD99-4490-B4E6-0DB7CE59B2CC}" destId="{1AB5C31B-8120-4843-AE15-DBDC2A13D99C}" srcOrd="1" destOrd="0" parTransId="{8346F60A-3627-49B2-B43C-DA96C4421BAB}" sibTransId="{DF3DA0A8-7DD4-4173-9C2F-EDB22E645223}"/>
    <dgm:cxn modelId="{B938EA90-48F6-4DEF-A7E4-CA099B78EC5C}" srcId="{30DEF763-AD99-4490-B4E6-0DB7CE59B2CC}" destId="{984BBD98-8E3E-4EB9-93D4-187FF0C44BE6}" srcOrd="0" destOrd="0" parTransId="{98EFA791-6844-40E8-A949-02F7CEADD6FC}" sibTransId="{003423DD-76B0-48D1-8AF2-AAACDE94C4CF}"/>
    <dgm:cxn modelId="{3B4A2B3B-3448-462A-A187-6C6277FBC81E}" type="presOf" srcId="{062CD78A-27FD-4A76-80FB-075D3603579B}" destId="{C81F021B-F978-4E71-8F28-A188F6ED0062}" srcOrd="0" destOrd="0" presId="urn:microsoft.com/office/officeart/2008/layout/VerticalCurvedList"/>
    <dgm:cxn modelId="{F6EE9E3C-FE64-4F27-B8F9-42C947948C04}" type="presOf" srcId="{1AB5C31B-8120-4843-AE15-DBDC2A13D99C}" destId="{81B33856-CEB8-4796-9F79-A7F8447C3065}" srcOrd="0" destOrd="0" presId="urn:microsoft.com/office/officeart/2008/layout/VerticalCurvedList"/>
    <dgm:cxn modelId="{DDA4731B-469B-4DE9-8777-6B7870715239}" type="presOf" srcId="{984BBD98-8E3E-4EB9-93D4-187FF0C44BE6}" destId="{0A3BDEFB-94D3-441A-83B9-27142A1455F3}" srcOrd="0" destOrd="0" presId="urn:microsoft.com/office/officeart/2008/layout/VerticalCurvedList"/>
    <dgm:cxn modelId="{4DFF3A21-429C-4B85-A934-8C3B3C595E91}" srcId="{30DEF763-AD99-4490-B4E6-0DB7CE59B2CC}" destId="{CA8FC271-6DC3-4B79-95F0-8337E13C96C7}" srcOrd="2" destOrd="0" parTransId="{C8EBEA3B-BB51-48CD-85A1-C14232D67D31}" sibTransId="{CB770EB1-63E6-4D8C-8A52-D31908175198}"/>
    <dgm:cxn modelId="{BA0EF83C-7E53-44D5-95F2-4B153652002F}" type="presOf" srcId="{8A639019-46BE-480D-832F-48FB36679658}" destId="{BE3668DE-1D23-4F18-9D4C-CDE7B81BF328}" srcOrd="0" destOrd="0" presId="urn:microsoft.com/office/officeart/2008/layout/VerticalCurvedList"/>
    <dgm:cxn modelId="{68DA6009-25B0-41A4-B2F8-6C6DF4670901}" type="presOf" srcId="{30DEF763-AD99-4490-B4E6-0DB7CE59B2CC}" destId="{830A6A14-B33D-4CB3-9C50-405A9AEBD273}" srcOrd="0" destOrd="0" presId="urn:microsoft.com/office/officeart/2008/layout/VerticalCurvedList"/>
    <dgm:cxn modelId="{EC9D76EC-3BE8-482F-AAB2-3896963F0787}" srcId="{30DEF763-AD99-4490-B4E6-0DB7CE59B2CC}" destId="{062CD78A-27FD-4A76-80FB-075D3603579B}" srcOrd="5" destOrd="0" parTransId="{65687086-8059-42EB-8775-680E3A978FAB}" sibTransId="{5F0C8645-C94E-42C0-9CBB-73FB3E944FD9}"/>
    <dgm:cxn modelId="{D31E018A-7A79-405B-A2C4-B4973D2DF78C}" srcId="{30DEF763-AD99-4490-B4E6-0DB7CE59B2CC}" destId="{D5B6B206-F8B9-4AB1-AD5E-379785C5F069}" srcOrd="3" destOrd="0" parTransId="{D55982F6-59BD-42B1-988C-5E149633DA54}" sibTransId="{824B7657-FE3D-40E5-B762-7DD07EAE1E38}"/>
    <dgm:cxn modelId="{1BCBD1F4-F8C0-4B20-A928-FF008FB9757C}" type="presOf" srcId="{003423DD-76B0-48D1-8AF2-AAACDE94C4CF}" destId="{DB3067A9-D2E2-48F7-A450-F15F0538E996}" srcOrd="0" destOrd="0" presId="urn:microsoft.com/office/officeart/2008/layout/VerticalCurvedList"/>
    <dgm:cxn modelId="{97C26AA4-273F-4946-A3C4-5D57C011B2D0}" type="presOf" srcId="{D5B6B206-F8B9-4AB1-AD5E-379785C5F069}" destId="{A6082631-159F-4806-992E-AA71550C7FD6}" srcOrd="0" destOrd="0" presId="urn:microsoft.com/office/officeart/2008/layout/VerticalCurvedList"/>
    <dgm:cxn modelId="{E0F79ACF-D1F9-4529-9CCD-C7849211C656}" srcId="{30DEF763-AD99-4490-B4E6-0DB7CE59B2CC}" destId="{8A639019-46BE-480D-832F-48FB36679658}" srcOrd="4" destOrd="0" parTransId="{B2903335-F6C0-47A9-9DB6-AA919FF90E2D}" sibTransId="{DDA2CB4D-7344-419B-BE1D-349006B5D681}"/>
    <dgm:cxn modelId="{33E8C14F-2BA0-4877-81A4-EC11861803DB}" type="presOf" srcId="{CA8FC271-6DC3-4B79-95F0-8337E13C96C7}" destId="{94404558-FC2F-4CD7-9C33-35752FF152E2}" srcOrd="0" destOrd="0" presId="urn:microsoft.com/office/officeart/2008/layout/VerticalCurvedList"/>
    <dgm:cxn modelId="{9D84C8C8-85DF-4B77-854A-32632B022C7A}" type="presParOf" srcId="{830A6A14-B33D-4CB3-9C50-405A9AEBD273}" destId="{C650A871-0967-46DB-B8A1-3A6D57F701B4}" srcOrd="0" destOrd="0" presId="urn:microsoft.com/office/officeart/2008/layout/VerticalCurvedList"/>
    <dgm:cxn modelId="{5FDB4E4B-B67A-47D7-BA0E-4514FBBAC4E8}" type="presParOf" srcId="{C650A871-0967-46DB-B8A1-3A6D57F701B4}" destId="{E9AB4DA9-B28B-4164-BD41-7AD79214E18A}" srcOrd="0" destOrd="0" presId="urn:microsoft.com/office/officeart/2008/layout/VerticalCurvedList"/>
    <dgm:cxn modelId="{60E94B7B-2B8E-49ED-9682-B950E5010C02}" type="presParOf" srcId="{E9AB4DA9-B28B-4164-BD41-7AD79214E18A}" destId="{0F701AA2-BB1F-4CCE-8A0F-5A3563BF32DD}" srcOrd="0" destOrd="0" presId="urn:microsoft.com/office/officeart/2008/layout/VerticalCurvedList"/>
    <dgm:cxn modelId="{283A72F4-4FFE-4589-879D-9A02D85F5971}" type="presParOf" srcId="{E9AB4DA9-B28B-4164-BD41-7AD79214E18A}" destId="{DB3067A9-D2E2-48F7-A450-F15F0538E996}" srcOrd="1" destOrd="0" presId="urn:microsoft.com/office/officeart/2008/layout/VerticalCurvedList"/>
    <dgm:cxn modelId="{402E00EE-414F-4929-BD21-C7F071A95B7D}" type="presParOf" srcId="{E9AB4DA9-B28B-4164-BD41-7AD79214E18A}" destId="{6F427888-C31C-4966-8D70-6123E2984CB4}" srcOrd="2" destOrd="0" presId="urn:microsoft.com/office/officeart/2008/layout/VerticalCurvedList"/>
    <dgm:cxn modelId="{E2B32416-F5A9-457C-97A5-C1C6FD01FE6B}" type="presParOf" srcId="{E9AB4DA9-B28B-4164-BD41-7AD79214E18A}" destId="{E9B85D2B-D45F-4E14-B90C-99021E590C2F}" srcOrd="3" destOrd="0" presId="urn:microsoft.com/office/officeart/2008/layout/VerticalCurvedList"/>
    <dgm:cxn modelId="{214CB659-16B1-4DB7-A3BC-FBF46791027C}" type="presParOf" srcId="{C650A871-0967-46DB-B8A1-3A6D57F701B4}" destId="{0A3BDEFB-94D3-441A-83B9-27142A1455F3}" srcOrd="1" destOrd="0" presId="urn:microsoft.com/office/officeart/2008/layout/VerticalCurvedList"/>
    <dgm:cxn modelId="{D7FD08E2-405B-482B-8F6C-E1AA33A08ABD}" type="presParOf" srcId="{C650A871-0967-46DB-B8A1-3A6D57F701B4}" destId="{544C9253-2159-4697-979E-86D8879C62D9}" srcOrd="2" destOrd="0" presId="urn:microsoft.com/office/officeart/2008/layout/VerticalCurvedList"/>
    <dgm:cxn modelId="{08F176C6-A32B-4957-BE06-059EF5FBA502}" type="presParOf" srcId="{544C9253-2159-4697-979E-86D8879C62D9}" destId="{A473D55E-13CD-4B10-8A8B-26CAF01C6DAA}" srcOrd="0" destOrd="0" presId="urn:microsoft.com/office/officeart/2008/layout/VerticalCurvedList"/>
    <dgm:cxn modelId="{E9B61FD2-68B9-4CB1-B7A6-A334FB1741DB}" type="presParOf" srcId="{C650A871-0967-46DB-B8A1-3A6D57F701B4}" destId="{81B33856-CEB8-4796-9F79-A7F8447C3065}" srcOrd="3" destOrd="0" presId="urn:microsoft.com/office/officeart/2008/layout/VerticalCurvedList"/>
    <dgm:cxn modelId="{C457487D-F4FD-4C0F-864E-E5B84E2A6CAD}" type="presParOf" srcId="{C650A871-0967-46DB-B8A1-3A6D57F701B4}" destId="{CF1B9593-C000-457F-BB92-AEB90B8232F7}" srcOrd="4" destOrd="0" presId="urn:microsoft.com/office/officeart/2008/layout/VerticalCurvedList"/>
    <dgm:cxn modelId="{CEBE9BC7-6EA3-4CD8-B6DE-A5DE8560B2A1}" type="presParOf" srcId="{CF1B9593-C000-457F-BB92-AEB90B8232F7}" destId="{3B9616CF-F83D-43E1-86F6-A295F0E7B9D1}" srcOrd="0" destOrd="0" presId="urn:microsoft.com/office/officeart/2008/layout/VerticalCurvedList"/>
    <dgm:cxn modelId="{9E1413DD-018D-4AD2-8316-A000FDD44350}" type="presParOf" srcId="{C650A871-0967-46DB-B8A1-3A6D57F701B4}" destId="{94404558-FC2F-4CD7-9C33-35752FF152E2}" srcOrd="5" destOrd="0" presId="urn:microsoft.com/office/officeart/2008/layout/VerticalCurvedList"/>
    <dgm:cxn modelId="{024F31CB-C258-4DD1-A58F-282624AA77CF}" type="presParOf" srcId="{C650A871-0967-46DB-B8A1-3A6D57F701B4}" destId="{984CF672-979A-4105-A995-2D053DF508C8}" srcOrd="6" destOrd="0" presId="urn:microsoft.com/office/officeart/2008/layout/VerticalCurvedList"/>
    <dgm:cxn modelId="{965AF8BB-5F98-4D95-880A-8447D2BD8DCE}" type="presParOf" srcId="{984CF672-979A-4105-A995-2D053DF508C8}" destId="{4AAA8D86-E076-4A74-BA37-9ADFB7F3FE02}" srcOrd="0" destOrd="0" presId="urn:microsoft.com/office/officeart/2008/layout/VerticalCurvedList"/>
    <dgm:cxn modelId="{5DB16736-557B-4886-B016-4E5B8706D392}" type="presParOf" srcId="{C650A871-0967-46DB-B8A1-3A6D57F701B4}" destId="{A6082631-159F-4806-992E-AA71550C7FD6}" srcOrd="7" destOrd="0" presId="urn:microsoft.com/office/officeart/2008/layout/VerticalCurvedList"/>
    <dgm:cxn modelId="{228F9192-9404-4D48-865D-00975639D963}" type="presParOf" srcId="{C650A871-0967-46DB-B8A1-3A6D57F701B4}" destId="{E5D597AB-1849-446E-ADC1-856A30DEBEF6}" srcOrd="8" destOrd="0" presId="urn:microsoft.com/office/officeart/2008/layout/VerticalCurvedList"/>
    <dgm:cxn modelId="{95700C4B-86E8-4BB2-B48A-9F32533CB73E}" type="presParOf" srcId="{E5D597AB-1849-446E-ADC1-856A30DEBEF6}" destId="{E845C4F7-AEC2-434D-BF38-638E32584606}" srcOrd="0" destOrd="0" presId="urn:microsoft.com/office/officeart/2008/layout/VerticalCurvedList"/>
    <dgm:cxn modelId="{8710153B-4033-4BE1-B8EA-8ECE5E90BB1A}" type="presParOf" srcId="{C650A871-0967-46DB-B8A1-3A6D57F701B4}" destId="{BE3668DE-1D23-4F18-9D4C-CDE7B81BF328}" srcOrd="9" destOrd="0" presId="urn:microsoft.com/office/officeart/2008/layout/VerticalCurvedList"/>
    <dgm:cxn modelId="{B4A38DA8-EA49-4161-9F64-3871C1E6F030}" type="presParOf" srcId="{C650A871-0967-46DB-B8A1-3A6D57F701B4}" destId="{4FE13796-D4BB-42FF-94F0-79384EE26372}" srcOrd="10" destOrd="0" presId="urn:microsoft.com/office/officeart/2008/layout/VerticalCurvedList"/>
    <dgm:cxn modelId="{DA865C83-9E24-44CE-B043-89045080E827}" type="presParOf" srcId="{4FE13796-D4BB-42FF-94F0-79384EE26372}" destId="{666912A2-BD97-4E89-878C-107EB60294F3}" srcOrd="0" destOrd="0" presId="urn:microsoft.com/office/officeart/2008/layout/VerticalCurvedList"/>
    <dgm:cxn modelId="{67334EE4-D93F-4BFB-AA03-699961266479}" type="presParOf" srcId="{C650A871-0967-46DB-B8A1-3A6D57F701B4}" destId="{C81F021B-F978-4E71-8F28-A188F6ED0062}" srcOrd="11" destOrd="0" presId="urn:microsoft.com/office/officeart/2008/layout/VerticalCurvedList"/>
    <dgm:cxn modelId="{BB44DD83-E724-4A23-8CCD-7C9C0278E2AD}" type="presParOf" srcId="{C650A871-0967-46DB-B8A1-3A6D57F701B4}" destId="{EF1273FF-4902-44D7-AE52-EB93A27D10D6}" srcOrd="12" destOrd="0" presId="urn:microsoft.com/office/officeart/2008/layout/VerticalCurvedList"/>
    <dgm:cxn modelId="{28A04A76-9729-4FA2-87B1-36CB7BB9767C}" type="presParOf" srcId="{EF1273FF-4902-44D7-AE52-EB93A27D10D6}" destId="{BEE13A2C-9427-4ED7-BB24-4B8314D7193C}" srcOrd="0" destOrd="0" presId="urn:microsoft.com/office/officeart/2008/layout/VerticalCurved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01962D-CB12-478F-AA14-5E711D0DFD66}">
      <dsp:nvSpPr>
        <dsp:cNvPr id="0" name=""/>
        <dsp:cNvSpPr/>
      </dsp:nvSpPr>
      <dsp:spPr>
        <a:xfrm>
          <a:off x="354166" y="336393"/>
          <a:ext cx="2242511" cy="2242511"/>
        </a:xfrm>
        <a:prstGeom prst="blockArc">
          <a:avLst>
            <a:gd name="adj1" fmla="val 900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1D6454-0025-44A8-9CDD-449281328AA3}">
      <dsp:nvSpPr>
        <dsp:cNvPr id="0" name=""/>
        <dsp:cNvSpPr/>
      </dsp:nvSpPr>
      <dsp:spPr>
        <a:xfrm>
          <a:off x="354166" y="336393"/>
          <a:ext cx="2242511" cy="2242511"/>
        </a:xfrm>
        <a:prstGeom prst="blockArc">
          <a:avLst>
            <a:gd name="adj1" fmla="val 1800000"/>
            <a:gd name="adj2" fmla="val 90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54CA62-A9FF-410B-9EA2-3947425A1D14}">
      <dsp:nvSpPr>
        <dsp:cNvPr id="0" name=""/>
        <dsp:cNvSpPr/>
      </dsp:nvSpPr>
      <dsp:spPr>
        <a:xfrm>
          <a:off x="354166" y="336393"/>
          <a:ext cx="2242511" cy="2242511"/>
        </a:xfrm>
        <a:prstGeom prst="blockArc">
          <a:avLst>
            <a:gd name="adj1" fmla="val 16200000"/>
            <a:gd name="adj2" fmla="val 18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320055-6C78-4D51-A5C5-29CADEE13636}">
      <dsp:nvSpPr>
        <dsp:cNvPr id="0" name=""/>
        <dsp:cNvSpPr/>
      </dsp:nvSpPr>
      <dsp:spPr>
        <a:xfrm>
          <a:off x="958880" y="941107"/>
          <a:ext cx="1033083" cy="10330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bg-BG" sz="900" kern="1200"/>
            <a:t>Отворена стратегическа автономност</a:t>
          </a:r>
        </a:p>
      </dsp:txBody>
      <dsp:txXfrm>
        <a:off x="1110172" y="1092399"/>
        <a:ext cx="730499" cy="730499"/>
      </dsp:txXfrm>
    </dsp:sp>
    <dsp:sp modelId="{D8AE66B2-B084-4942-AA91-B18AD3F9A3B8}">
      <dsp:nvSpPr>
        <dsp:cNvPr id="0" name=""/>
        <dsp:cNvSpPr/>
      </dsp:nvSpPr>
      <dsp:spPr>
        <a:xfrm>
          <a:off x="1069737" y="847"/>
          <a:ext cx="811369"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bg-BG" sz="500" kern="1200"/>
            <a:t>Гъвкавост и конкурентоспособност</a:t>
          </a:r>
        </a:p>
      </dsp:txBody>
      <dsp:txXfrm>
        <a:off x="1188559" y="106751"/>
        <a:ext cx="573725" cy="511350"/>
      </dsp:txXfrm>
    </dsp:sp>
    <dsp:sp modelId="{213F6EDC-EB7D-4AB9-8440-9110A947582E}">
      <dsp:nvSpPr>
        <dsp:cNvPr id="0" name=""/>
        <dsp:cNvSpPr/>
      </dsp:nvSpPr>
      <dsp:spPr>
        <a:xfrm>
          <a:off x="2062333" y="1643680"/>
          <a:ext cx="723158"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bg-BG" sz="500" kern="1200"/>
            <a:t>Устойчивост и справедливост</a:t>
          </a:r>
        </a:p>
      </dsp:txBody>
      <dsp:txXfrm>
        <a:off x="2168237" y="1749584"/>
        <a:ext cx="511350" cy="511350"/>
      </dsp:txXfrm>
    </dsp:sp>
    <dsp:sp modelId="{945B1EF8-E86F-472E-B304-701175145DA7}">
      <dsp:nvSpPr>
        <dsp:cNvPr id="0" name=""/>
        <dsp:cNvSpPr/>
      </dsp:nvSpPr>
      <dsp:spPr>
        <a:xfrm>
          <a:off x="165352" y="1643680"/>
          <a:ext cx="723158"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bg-BG" sz="500" b="0" kern="1200"/>
            <a:t>Решителност и основано на правила сътрудничество</a:t>
          </a:r>
        </a:p>
      </dsp:txBody>
      <dsp:txXfrm>
        <a:off x="271256" y="1749584"/>
        <a:ext cx="511350" cy="5113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067A9-D2E2-48F7-A450-F15F0538E996}">
      <dsp:nvSpPr>
        <dsp:cNvPr id="0" name=""/>
        <dsp:cNvSpPr/>
      </dsp:nvSpPr>
      <dsp:spPr>
        <a:xfrm>
          <a:off x="-3531813" y="-542876"/>
          <a:ext cx="4210615" cy="4210615"/>
        </a:xfrm>
        <a:prstGeom prst="blockArc">
          <a:avLst>
            <a:gd name="adj1" fmla="val 18900000"/>
            <a:gd name="adj2" fmla="val 2700000"/>
            <a:gd name="adj3" fmla="val 513"/>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BDEFB-94D3-441A-83B9-27142A1455F3}">
      <dsp:nvSpPr>
        <dsp:cNvPr id="0" name=""/>
        <dsp:cNvSpPr/>
      </dsp:nvSpPr>
      <dsp:spPr>
        <a:xfrm>
          <a:off x="200982" y="179793"/>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Реформиране на СТО </a:t>
          </a:r>
        </a:p>
      </dsp:txBody>
      <dsp:txXfrm>
        <a:off x="200982" y="179793"/>
        <a:ext cx="5382225" cy="328985"/>
      </dsp:txXfrm>
    </dsp:sp>
    <dsp:sp modelId="{A473D55E-13CD-4B10-8A8B-26CAF01C6DAA}">
      <dsp:nvSpPr>
        <dsp:cNvPr id="0" name=""/>
        <dsp:cNvSpPr/>
      </dsp:nvSpPr>
      <dsp:spPr>
        <a:xfrm>
          <a:off x="48704" y="123432"/>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B33856-CEB8-4796-9F79-A7F8447C3065}">
      <dsp:nvSpPr>
        <dsp:cNvPr id="0" name=""/>
        <dsp:cNvSpPr/>
      </dsp:nvSpPr>
      <dsp:spPr>
        <a:xfrm>
          <a:off x="524933" y="657971"/>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Подкрепяне на екологичния преход и насърчаване на отговорни и устойчиви вериги за създаване на стойност </a:t>
          </a:r>
        </a:p>
      </dsp:txBody>
      <dsp:txXfrm>
        <a:off x="524933" y="657971"/>
        <a:ext cx="5111612" cy="328985"/>
      </dsp:txXfrm>
    </dsp:sp>
    <dsp:sp modelId="{3B9616CF-F83D-43E1-86F6-A295F0E7B9D1}">
      <dsp:nvSpPr>
        <dsp:cNvPr id="0" name=""/>
        <dsp:cNvSpPr/>
      </dsp:nvSpPr>
      <dsp:spPr>
        <a:xfrm>
          <a:off x="319317" y="61684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404558-FC2F-4CD7-9C33-35752FF152E2}">
      <dsp:nvSpPr>
        <dsp:cNvPr id="0" name=""/>
        <dsp:cNvSpPr/>
      </dsp:nvSpPr>
      <dsp:spPr>
        <a:xfrm>
          <a:off x="648678" y="1151387"/>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Подкрепяне на цифровия преход и търговията с услуги</a:t>
          </a:r>
        </a:p>
      </dsp:txBody>
      <dsp:txXfrm>
        <a:off x="648678" y="1151387"/>
        <a:ext cx="4987867" cy="328985"/>
      </dsp:txXfrm>
    </dsp:sp>
    <dsp:sp modelId="{4AAA8D86-E076-4A74-BA37-9ADFB7F3FE02}">
      <dsp:nvSpPr>
        <dsp:cNvPr id="0" name=""/>
        <dsp:cNvSpPr/>
      </dsp:nvSpPr>
      <dsp:spPr>
        <a:xfrm>
          <a:off x="443062" y="111026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082631-159F-4806-992E-AA71550C7FD6}">
      <dsp:nvSpPr>
        <dsp:cNvPr id="0" name=""/>
        <dsp:cNvSpPr/>
      </dsp:nvSpPr>
      <dsp:spPr>
        <a:xfrm>
          <a:off x="648678" y="1644490"/>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Засилване на регулаторното въздействие на ЕС</a:t>
          </a:r>
        </a:p>
      </dsp:txBody>
      <dsp:txXfrm>
        <a:off x="648678" y="1644490"/>
        <a:ext cx="4987867" cy="328985"/>
      </dsp:txXfrm>
    </dsp:sp>
    <dsp:sp modelId="{E845C4F7-AEC2-434D-BF38-638E32584606}">
      <dsp:nvSpPr>
        <dsp:cNvPr id="0" name=""/>
        <dsp:cNvSpPr/>
      </dsp:nvSpPr>
      <dsp:spPr>
        <a:xfrm>
          <a:off x="443062" y="160336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3668DE-1D23-4F18-9D4C-CDE7B81BF328}">
      <dsp:nvSpPr>
        <dsp:cNvPr id="0" name=""/>
        <dsp:cNvSpPr/>
      </dsp:nvSpPr>
      <dsp:spPr>
        <a:xfrm>
          <a:off x="524933" y="2137906"/>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Укрепване на партньорствата на ЕС със съседни държави, държави, обхванати от процеса на разширяване, и Африка</a:t>
          </a:r>
        </a:p>
      </dsp:txBody>
      <dsp:txXfrm>
        <a:off x="524933" y="2137906"/>
        <a:ext cx="5111612" cy="328985"/>
      </dsp:txXfrm>
    </dsp:sp>
    <dsp:sp modelId="{666912A2-BD97-4E89-878C-107EB60294F3}">
      <dsp:nvSpPr>
        <dsp:cNvPr id="0" name=""/>
        <dsp:cNvSpPr/>
      </dsp:nvSpPr>
      <dsp:spPr>
        <a:xfrm>
          <a:off x="319317" y="209678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1F021B-F978-4E71-8F28-A188F6ED0062}">
      <dsp:nvSpPr>
        <dsp:cNvPr id="0" name=""/>
        <dsp:cNvSpPr/>
      </dsp:nvSpPr>
      <dsp:spPr>
        <a:xfrm>
          <a:off x="254320" y="2631322"/>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bg-BG" sz="1000" b="1" kern="1200"/>
            <a:t>Засилване на вниманието на ЕС към изпълнението и прилагането на търговските споразумения и осигуряване на еднакви условия на конкуренция</a:t>
          </a:r>
        </a:p>
      </dsp:txBody>
      <dsp:txXfrm>
        <a:off x="254320" y="2631322"/>
        <a:ext cx="5382225" cy="328985"/>
      </dsp:txXfrm>
    </dsp:sp>
    <dsp:sp modelId="{BEE13A2C-9427-4ED7-BB24-4B8314D7193C}">
      <dsp:nvSpPr>
        <dsp:cNvPr id="0" name=""/>
        <dsp:cNvSpPr/>
      </dsp:nvSpPr>
      <dsp:spPr>
        <a:xfrm>
          <a:off x="48704" y="2590198"/>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060288" cy="334089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0.03081</cdr:x>
      <cdr:y>0.88889</cdr:y>
    </cdr:from>
    <cdr:to>
      <cdr:x>0.36457</cdr:x>
      <cdr:y>1</cdr:y>
    </cdr:to>
    <cdr:sp macro="" textlink="">
      <cdr:nvSpPr>
        <cdr:cNvPr id="2" name="TextBox 1"/>
        <cdr:cNvSpPr txBox="1"/>
      </cdr:nvSpPr>
      <cdr:spPr>
        <a:xfrm xmlns:a="http://schemas.openxmlformats.org/drawingml/2006/main">
          <a:off x="91440" y="2209800"/>
          <a:ext cx="9906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Source: IMF dots</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11600" cy="274343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71340CBA4654BA84E7DD4CE698728" ma:contentTypeVersion="2" ma:contentTypeDescription="Create a new document." ma:contentTypeScope="" ma:versionID="36d905695e1f3e7f45fe844e4128c8b9">
  <xsd:schema xmlns:xsd="http://www.w3.org/2001/XMLSchema" xmlns:xs="http://www.w3.org/2001/XMLSchema" xmlns:p="http://schemas.microsoft.com/office/2006/metadata/properties" xmlns:ns2="53619c5a-7cd8-4d48-81ef-767b21413fb2" xmlns:ns3="12e4cd07-ce28-47ef-abba-e1b50083baae" targetNamespace="http://schemas.microsoft.com/office/2006/metadata/properties" ma:root="true" ma:fieldsID="8fd2ebfba59c6ad7792bb50b7f8dd8e8" ns2:_="" ns3:_="">
    <xsd:import namespace="53619c5a-7cd8-4d48-81ef-767b21413fb2"/>
    <xsd:import namespace="12e4cd07-ce28-47ef-abba-e1b50083baae"/>
    <xsd:element name="properties">
      <xsd:complexType>
        <xsd:sequence>
          <xsd:element name="documentManagement">
            <xsd:complexType>
              <xsd:all>
                <xsd:element ref="ns2:Classifica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9c5a-7cd8-4d48-81ef-767b21413fb2" elementFormDefault="qualified">
    <xsd:import namespace="http://schemas.microsoft.com/office/2006/documentManagement/types"/>
    <xsd:import namespace="http://schemas.microsoft.com/office/infopath/2007/PartnerControls"/>
    <xsd:element name="Classification" ma:index="8" nillable="true" ma:displayName="Classification" ma:list="{908909eb-df2b-455a-8dd9-3fe96e4427ae}" ma:internalName="Classificati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4cd07-ce28-47ef-abba-e1b50083ba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53619c5a-7cd8-4d48-81ef-767b21413fb2">
      <Value>11</Value>
    </Classification>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ED82C8-9025-4D12-9B3D-A3EE80E84854}">
  <ds:schemaRefs>
    <ds:schemaRef ds:uri="http://schemas.microsoft.com/sharepoint/v3/contenttype/forms"/>
  </ds:schemaRefs>
</ds:datastoreItem>
</file>

<file path=customXml/itemProps2.xml><?xml version="1.0" encoding="utf-8"?>
<ds:datastoreItem xmlns:ds="http://schemas.openxmlformats.org/officeDocument/2006/customXml" ds:itemID="{564541EA-A149-47BF-A0D4-C0DB0D132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19c5a-7cd8-4d48-81ef-767b21413fb2"/>
    <ds:schemaRef ds:uri="12e4cd07-ce28-47ef-abba-e1b50083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C5174-75C7-4536-9B9A-3094C20CED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619c5a-7cd8-4d48-81ef-767b21413fb2"/>
    <ds:schemaRef ds:uri="http://purl.org/dc/elements/1.1/"/>
    <ds:schemaRef ds:uri="http://schemas.microsoft.com/office/2006/metadata/properties"/>
    <ds:schemaRef ds:uri="12e4cd07-ce28-47ef-abba-e1b50083baae"/>
    <ds:schemaRef ds:uri="http://www.w3.org/XML/1998/namespace"/>
    <ds:schemaRef ds:uri="http://purl.org/dc/dcmitype/"/>
  </ds:schemaRefs>
</ds:datastoreItem>
</file>

<file path=customXml/itemProps4.xml><?xml version="1.0" encoding="utf-8"?>
<ds:datastoreItem xmlns:ds="http://schemas.openxmlformats.org/officeDocument/2006/customXml" ds:itemID="{12FD9608-51EA-44B9-83AD-2310D319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10127</Words>
  <Characters>60363</Characters>
  <Application>Microsoft Office Word</Application>
  <DocSecurity>0</DocSecurity>
  <Lines>1023</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dcterms:created xsi:type="dcterms:W3CDTF">2021-02-16T14:51:00Z</dcterms:created>
  <dcterms:modified xsi:type="dcterms:W3CDTF">2021-02-22T09:27:00Z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ContentTypeId">
    <vt:lpwstr>0x010100BF471340CBA4654BA84E7DD4CE698728</vt:lpwstr>
  </property>
  <property fmtid="{D5CDD505-2E9C-101B-9397-08002B2CF9AE}" pid="10" name="_LW_INVALIDATED__LW_INVALIDATED__LW_INVALIDATED__LW_INVALIDATED_ContentTypeId">
    <vt:lpwstr>0x010100BF471340CBA4654BA84E7DD4CE698728</vt:lpwstr>
  </property>
  <property fmtid="{D5CDD505-2E9C-101B-9397-08002B2CF9AE}" pid="11" name="_LW_INVALIDATED__LW_INVALIDATED__LW_INVALIDATED_ContentTypeId">
    <vt:lpwstr>0x010100BF471340CBA4654BA84E7DD4CE698728</vt:lpwstr>
  </property>
</Properties>
</file>