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0AB7152-0CD3-4980-B37D-896D5E277E6B" style="width:450.65pt;height:406.6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top w:val="single" w:sz="4" w:space="0" w:color="auto"/>
              <w:left w:val="single" w:sz="4" w:space="0" w:color="auto"/>
              <w:bottom w:val="single" w:sz="4" w:space="0" w:color="auto"/>
              <w:right w:val="single" w:sz="4" w:space="0" w:color="auto"/>
            </w:tcBorders>
            <w:shd w:val="clear" w:color="auto" w:fill="4F81BD"/>
          </w:tcPr>
          <w:p>
            <w:pPr>
              <w:spacing w:after="240" w:line="240" w:lineRule="auto"/>
              <w:jc w:val="both"/>
              <w:rPr>
                <w:rFonts w:ascii="Times New Roman" w:eastAsia="Times New Roman" w:hAnsi="Times New Roman" w:cs="Times New Roman"/>
                <w:b/>
                <w:noProof/>
                <w:sz w:val="24"/>
                <w:szCs w:val="20"/>
              </w:rPr>
            </w:pPr>
            <w:bookmarkStart w:id="1" w:name="_GoBack"/>
            <w:bookmarkEnd w:id="1"/>
            <w:r>
              <w:rPr>
                <w:rFonts w:ascii="Times New Roman" w:eastAsia="Times New Roman" w:hAnsi="Times New Roman" w:cs="Times New Roman"/>
                <w:b/>
                <w:noProof/>
                <w:sz w:val="24"/>
                <w:szCs w:val="20"/>
              </w:rPr>
              <w:lastRenderedPageBreak/>
              <w:t xml:space="preserve">Impact assessment of a European Partnership on Innovative Health  </w:t>
            </w:r>
          </w:p>
        </w:tc>
      </w:tr>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 Need for action</w:t>
            </w:r>
          </w:p>
        </w:tc>
      </w:tr>
      <w:tr>
        <w:tc>
          <w:tcPr>
            <w:tcW w:w="10490" w:type="dxa"/>
            <w:tcBorders>
              <w:bottom w:val="single" w:sz="4" w:space="0" w:color="auto"/>
            </w:tcBorders>
            <w:shd w:val="clear" w:color="auto" w:fill="E0E0E0"/>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is the problem and why is it a problem at EU level?</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t xml:space="preserve">The EU suffers from the fact that its excellent health research does not translate sufficiently into innovative products and services to improve </w:t>
            </w:r>
            <w:r>
              <w:rPr>
                <w:rFonts w:ascii="Times New Roman" w:eastAsia="Times New Roman" w:hAnsi="Times New Roman" w:cs="Times New Roman"/>
                <w:noProof/>
                <w:sz w:val="24"/>
                <w:szCs w:val="24"/>
              </w:rPr>
              <w:t>people’s health. In parallel, the EU is at risk of losing its global leadership in health and care. These problems result from:</w:t>
            </w:r>
          </w:p>
          <w:p>
            <w:pPr>
              <w:pStyle w:val="ListParagraph"/>
              <w:numPr>
                <w:ilvl w:val="0"/>
                <w:numId w:val="7"/>
              </w:numPr>
              <w:spacing w:before="120" w:after="120" w:line="240" w:lineRule="auto"/>
              <w:ind w:left="311" w:hanging="283"/>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incomplete understanding of diseases;</w:t>
            </w:r>
          </w:p>
          <w:p>
            <w:pPr>
              <w:pStyle w:val="ListParagraph"/>
              <w:numPr>
                <w:ilvl w:val="0"/>
                <w:numId w:val="7"/>
              </w:numPr>
              <w:spacing w:before="120" w:after="120" w:line="240" w:lineRule="auto"/>
              <w:ind w:left="311" w:hanging="283"/>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insufficient collaboration between academia and the health industry;</w:t>
            </w:r>
          </w:p>
          <w:p>
            <w:pPr>
              <w:pStyle w:val="ListParagraph"/>
              <w:numPr>
                <w:ilvl w:val="0"/>
                <w:numId w:val="7"/>
              </w:numPr>
              <w:spacing w:before="120" w:after="120" w:line="240" w:lineRule="auto"/>
              <w:ind w:left="311" w:hanging="283"/>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limited collaboration across industry sectors; and </w:t>
            </w:r>
          </w:p>
          <w:p>
            <w:pPr>
              <w:pStyle w:val="ListParagraph"/>
              <w:numPr>
                <w:ilvl w:val="0"/>
                <w:numId w:val="7"/>
              </w:numPr>
              <w:spacing w:before="120" w:after="120" w:line="240" w:lineRule="auto"/>
              <w:ind w:left="311" w:hanging="283"/>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market barriers that affect the uptake of innovation in health and care. </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4"/>
              </w:rPr>
              <w:t xml:space="preserve">If not tackled, these problems will result in a decline of health research and innovation (R&amp;I) activities in the EU and in limited improvement in the quality of healthcare, negatively impacting public health and wellbeing. The proposed initiative addresses these challenges and responds to the main recommendation from the interim evaluation of the predecessor initiative, the Innovative Medicines Initiative 2 Joint Undertaking (IMI2 JU), i.e. to </w:t>
            </w:r>
            <w:r>
              <w:rPr>
                <w:rFonts w:ascii="Times New Roman" w:hAnsi="Times New Roman" w:cs="Times New Roman"/>
                <w:noProof/>
                <w:sz w:val="24"/>
                <w:szCs w:val="24"/>
              </w:rPr>
              <w:t>enable the active engagement of industry sectors other than the pharmaceutical industry.</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should be achieved?</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pStyle w:val="ListParagraph"/>
              <w:numPr>
                <w:ilvl w:val="0"/>
                <w:numId w:val="8"/>
              </w:numPr>
              <w:spacing w:before="120" w:after="120" w:line="240" w:lineRule="auto"/>
              <w:ind w:left="311" w:hanging="283"/>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 contribution to the creation of an EU-wide health R&amp;I ecosystem that facilitates the translation of scientific knowledge into innovations that respond to the needs of end-users, patients and healthcare professionals; </w:t>
            </w:r>
          </w:p>
          <w:p>
            <w:pPr>
              <w:pStyle w:val="ListParagraph"/>
              <w:numPr>
                <w:ilvl w:val="0"/>
                <w:numId w:val="8"/>
              </w:numPr>
              <w:spacing w:before="120" w:after="120" w:line="240" w:lineRule="auto"/>
              <w:ind w:left="311" w:hanging="283"/>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 facilitated development of people-centred innovations that address unmet public health needs; and</w:t>
            </w:r>
          </w:p>
          <w:p>
            <w:pPr>
              <w:pStyle w:val="ListParagraph"/>
              <w:numPr>
                <w:ilvl w:val="0"/>
                <w:numId w:val="8"/>
              </w:numPr>
              <w:spacing w:before="120" w:after="120" w:line="240" w:lineRule="auto"/>
              <w:ind w:left="311" w:hanging="283"/>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 more competitive EU health industry thanks to enhanced cross-sectoral collaboration.</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is the value added of action at the EU level (subsidiarity)?</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Health challenges are global in nature and so is the R&amp;I needed to address them. Most health-related legal frameworks regulating the development and market introduction of novel health technologies (e.g. on clinical trials, medicinal products, medical devices, in-vitro diagnostics and advanced therapies) are based on EU regulatory frameworks. Most companies active in the field of health have an EU-wide presence. The initiative’s scope and scale go beyond the capacity of individual Member States and require the mobilisation of resources and stakeholders at EU level. </w:t>
            </w:r>
          </w:p>
        </w:tc>
      </w:tr>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B. Solutions</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various options to achieve the objectives?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Is there a preferred option or not? If not, why?</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options are as follows:</w:t>
            </w:r>
          </w:p>
          <w:p>
            <w:pPr>
              <w:pStyle w:val="ListParagraph"/>
              <w:numPr>
                <w:ilvl w:val="0"/>
                <w:numId w:val="9"/>
              </w:numPr>
              <w:spacing w:before="120" w:after="120" w:line="240" w:lineRule="auto"/>
              <w:ind w:left="311" w:hanging="283"/>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regular Horizon Europe calls;</w:t>
            </w:r>
          </w:p>
          <w:p>
            <w:pPr>
              <w:pStyle w:val="ListParagraph"/>
              <w:numPr>
                <w:ilvl w:val="0"/>
                <w:numId w:val="9"/>
              </w:numPr>
              <w:spacing w:before="120" w:after="120" w:line="240" w:lineRule="auto"/>
              <w:ind w:left="311" w:hanging="283"/>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 co-programmed partnership; and </w:t>
            </w:r>
          </w:p>
          <w:p>
            <w:pPr>
              <w:pStyle w:val="ListParagraph"/>
              <w:numPr>
                <w:ilvl w:val="0"/>
                <w:numId w:val="9"/>
              </w:numPr>
              <w:spacing w:before="120" w:after="120" w:line="240" w:lineRule="auto"/>
              <w:ind w:left="311" w:hanging="283"/>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an institutionalised partnership under Article 187 TFEU. </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An institutionalised partnership is the preferred option. It offers the best ratio of cost versus impact, also taking account of the associated risks, and promises to deliver efficiently on the objectives and achieve the expected impacts.</w:t>
            </w:r>
          </w:p>
        </w:tc>
      </w:tr>
      <w:tr>
        <w:tc>
          <w:tcPr>
            <w:tcW w:w="10490" w:type="dxa"/>
            <w:shd w:val="clear" w:color="auto" w:fill="CCCCCC"/>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are different stakeholders’ views? Who supports which option? </w:t>
            </w:r>
          </w:p>
        </w:tc>
      </w:tr>
      <w:tr>
        <w:tc>
          <w:tcPr>
            <w:tcW w:w="10490" w:type="dxa"/>
            <w:shd w:val="clear" w:color="auto" w:fill="auto"/>
          </w:tcPr>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0"/>
              </w:rPr>
              <w:t>The institutionalised partnership option enjoyed the</w:t>
            </w:r>
            <w:r>
              <w:rPr>
                <w:rFonts w:ascii="Times New Roman" w:hAnsi="Times New Roman" w:cs="Times New Roman"/>
                <w:noProof/>
                <w:sz w:val="24"/>
                <w:szCs w:val="24"/>
              </w:rPr>
              <w:t xml:space="preserve"> most support in all consultation activities, in all stakeholder categories (Member States, industry associations, researchers, public authorities, NGOs and the general public). Thanks to long-term commitment and funding, it was considered to be the most effective in terms of scientific, economic and societal impacts. The legally binding arrangement was appreciated as offering confidence, in particular on intellectual property management, hence facilitating the sharing of data required to realise impacts. All stakeholder groups, but in particular the public sector, saw the opportunity to play a key role in research agenda setting as crucial for achieving societal impact. </w:t>
            </w:r>
          </w:p>
        </w:tc>
      </w:tr>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C. Impacts of the preferred option</w:t>
            </w:r>
          </w:p>
        </w:tc>
      </w:tr>
      <w:tr>
        <w:tc>
          <w:tcPr>
            <w:tcW w:w="10490" w:type="dxa"/>
            <w:tcBorders>
              <w:bottom w:val="single" w:sz="4" w:space="0" w:color="auto"/>
            </w:tcBorders>
            <w:shd w:val="clear" w:color="auto" w:fill="E6E6E6"/>
          </w:tcPr>
          <w:p>
            <w:pPr>
              <w:spacing w:before="240"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benefits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 xml:space="preserve">of the preferred option (if any, otherwise of main ones)?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i/>
                <w:noProof/>
                <w:sz w:val="24"/>
                <w:szCs w:val="20"/>
              </w:rPr>
            </w:pPr>
            <w:r>
              <w:rPr>
                <w:rFonts w:ascii="Times New Roman" w:hAnsi="Times New Roman" w:cs="Times New Roman"/>
                <w:noProof/>
                <w:sz w:val="24"/>
              </w:rPr>
              <w:t>An institutionalised partnership would best ensure that the private and public sectors remain fully engaged in the implementation of a jointly agreed, long-term strategy for health R&amp;I. It is consistent with leveraging industrial financial and in-kind resources to maximise the impact of EU funding. It would support the development of a strategy for health innovation that is fully aligned with the Commission’s political priorities. The preferred option would also enable the setting</w:t>
            </w:r>
            <w:r>
              <w:rPr>
                <w:rFonts w:ascii="Times New Roman" w:hAnsi="Times New Roman" w:cs="Times New Roman"/>
                <w:noProof/>
                <w:sz w:val="24"/>
              </w:rPr>
              <w:noBreakHyphen/>
              <w:t>up of a Programme Office for dedicated administrative support, coordination and communication activities.</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b/>
                <w:noProof/>
                <w:sz w:val="24"/>
                <w:szCs w:val="20"/>
              </w:rPr>
              <w:t>What are the costs of the preferred option (if any, otherwise of main ones)?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EU and member industry associations will jointly fund the partnership, with the latter providing at least 50% of the total budget. The partners will also need to mobilise the resources required to cover the operational costs of funded actions and the administrative costs of the Programme Office. The associations will also undertake additional activities, as stipulated in the legislative act.</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are the impacts on SMEs and competitiveness?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noProof/>
                <w:sz w:val="24"/>
                <w:szCs w:val="20"/>
              </w:rPr>
              <w:t>Thanks to the close interaction of the health industry (including SMEs) with academia, all partners would strengthen their scientific base to deliver innovative health solutions. Thereby, and with the early involvement of other public health actors, the industry would be able to respond better to the needs of end</w:t>
            </w:r>
            <w:r>
              <w:rPr>
                <w:rFonts w:ascii="Times New Roman" w:eastAsia="Times New Roman" w:hAnsi="Times New Roman" w:cs="Times New Roman"/>
                <w:noProof/>
                <w:sz w:val="24"/>
                <w:szCs w:val="20"/>
              </w:rPr>
              <w:noBreakHyphen/>
              <w:t>users, i.e. patients, healthcare professionals and health care providers. It would also improve their competitive position in global markets and strengthen the EU’s economy and technological sovereignty. The integration of several industry sectors would create a more agile and SME</w:t>
            </w:r>
            <w:r>
              <w:rPr>
                <w:rFonts w:ascii="Times New Roman" w:eastAsia="Times New Roman" w:hAnsi="Times New Roman" w:cs="Times New Roman"/>
                <w:noProof/>
                <w:sz w:val="24"/>
                <w:szCs w:val="20"/>
              </w:rPr>
              <w:noBreakHyphen/>
              <w:t xml:space="preserve">friendly collaborative R&amp;I ecosystem. </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b/>
                <w:i/>
                <w:noProof/>
                <w:sz w:val="24"/>
                <w:szCs w:val="20"/>
              </w:rPr>
            </w:pPr>
            <w:r>
              <w:rPr>
                <w:rFonts w:ascii="Times New Roman" w:eastAsia="Times New Roman" w:hAnsi="Times New Roman" w:cs="Times New Roman"/>
                <w:b/>
                <w:noProof/>
                <w:sz w:val="24"/>
                <w:szCs w:val="20"/>
              </w:rPr>
              <w:t>Will there be significant impacts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on national budgets and administrations?</w:t>
            </w:r>
            <w:r>
              <w:rPr>
                <w:rFonts w:ascii="Times New Roman" w:eastAsia="Times New Roman" w:hAnsi="Times New Roman" w:cs="Times New Roman"/>
                <w:noProof/>
                <w:sz w:val="24"/>
                <w:szCs w:val="20"/>
              </w:rPr>
              <w:t xml:space="preserve"> </w:t>
            </w:r>
          </w:p>
        </w:tc>
      </w:tr>
      <w:tr>
        <w:tc>
          <w:tcPr>
            <w:tcW w:w="10490" w:type="dxa"/>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No significant impact on national budgets and administrations.</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Will there be other significant impacts?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Positive contribution on fundamental rights (right to health and right to access to health care, including preventive and treatment-related care);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Newly developed data-based health products and digital tools could have implications for the handling of personal health data and hence privacy rights;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digital tools could positively impact the ‘smart health’ value chain and standardisation, supporting EU industrial leadership;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No impact on simplification, regulatory aspects or administrative burdens.</w:t>
            </w:r>
          </w:p>
        </w:tc>
      </w:tr>
      <w:tr>
        <w:tc>
          <w:tcPr>
            <w:tcW w:w="10490" w:type="dxa"/>
            <w:tcBorders>
              <w:bottom w:val="single" w:sz="4" w:space="0" w:color="auto"/>
            </w:tcBorders>
            <w:shd w:val="clear" w:color="auto" w:fill="D9D9D9"/>
          </w:tcPr>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b/>
                <w:noProof/>
                <w:sz w:val="24"/>
                <w:szCs w:val="20"/>
              </w:rPr>
              <w:t>Proportionality?</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preferred option is proportional to what is necessary to tackle the problems in question.</w:t>
            </w:r>
          </w:p>
        </w:tc>
      </w:tr>
      <w:tr>
        <w:tc>
          <w:tcPr>
            <w:tcW w:w="10490" w:type="dxa"/>
            <w:tcBorders>
              <w:bottom w:val="single" w:sz="4" w:space="0" w:color="auto"/>
            </w:tcBorders>
            <w:shd w:val="clear" w:color="auto" w:fill="C0C0C0"/>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D. Follow up</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b/>
                <w:noProof/>
                <w:sz w:val="24"/>
                <w:szCs w:val="20"/>
              </w:rPr>
              <w:t xml:space="preserve">When will the policy be reviewed?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initiative would be reviewed in line with the Horizon Europe provisions and decisions to be laid down in the relevant Council Regulation.</w:t>
            </w:r>
          </w:p>
        </w:tc>
      </w:tr>
    </w:tbl>
    <w:p>
      <w:pPr>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709"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B67"/>
    <w:multiLevelType w:val="hybridMultilevel"/>
    <w:tmpl w:val="E9EED232"/>
    <w:lvl w:ilvl="0" w:tplc="71A40958">
      <w:start w:val="2"/>
      <w:numFmt w:val="bullet"/>
      <w:lvlText w:val="-"/>
      <w:lvlJc w:val="left"/>
      <w:pPr>
        <w:ind w:left="782" w:hanging="360"/>
      </w:pPr>
      <w:rPr>
        <w:rFonts w:ascii="Times New Roman" w:eastAsia="Times New Roman" w:hAnsi="Times New Roman" w:cs="Times New Roman"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nsid w:val="1D3D7446"/>
    <w:multiLevelType w:val="hybridMultilevel"/>
    <w:tmpl w:val="FDA431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ED1D41"/>
    <w:multiLevelType w:val="hybridMultilevel"/>
    <w:tmpl w:val="F3AE0EEC"/>
    <w:lvl w:ilvl="0" w:tplc="71A40958">
      <w:start w:val="2"/>
      <w:numFmt w:val="bullet"/>
      <w:lvlText w:val="-"/>
      <w:lvlJc w:val="left"/>
      <w:pPr>
        <w:ind w:left="782" w:hanging="360"/>
      </w:pPr>
      <w:rPr>
        <w:rFonts w:ascii="Times New Roman" w:eastAsia="Times New Roman" w:hAnsi="Times New Roman" w:cs="Times New Roman"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
    <w:nsid w:val="248E18B2"/>
    <w:multiLevelType w:val="hybridMultilevel"/>
    <w:tmpl w:val="222C61B4"/>
    <w:lvl w:ilvl="0" w:tplc="3F1C820A">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CA2A00"/>
    <w:multiLevelType w:val="hybridMultilevel"/>
    <w:tmpl w:val="E34C8586"/>
    <w:lvl w:ilvl="0" w:tplc="71A4095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5E4C01"/>
    <w:multiLevelType w:val="hybridMultilevel"/>
    <w:tmpl w:val="E8A45F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78717B"/>
    <w:multiLevelType w:val="hybridMultilevel"/>
    <w:tmpl w:val="74627762"/>
    <w:lvl w:ilvl="0" w:tplc="59045430">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7">
    <w:nsid w:val="5D4C7144"/>
    <w:multiLevelType w:val="hybridMultilevel"/>
    <w:tmpl w:val="2A8231D4"/>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8">
    <w:nsid w:val="744B38B3"/>
    <w:multiLevelType w:val="hybridMultilevel"/>
    <w:tmpl w:val="AFDAE0AE"/>
    <w:lvl w:ilvl="0" w:tplc="9C54D55C">
      <w:start w:val="1"/>
      <w:numFmt w:val="decimal"/>
      <w:lvlText w:val="(%1)"/>
      <w:lvlJc w:val="left"/>
      <w:pPr>
        <w:ind w:left="465" w:hanging="405"/>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6"/>
  </w:num>
  <w:num w:numId="2">
    <w:abstractNumId w:val="8"/>
  </w:num>
  <w:num w:numId="3">
    <w:abstractNumId w:val="1"/>
  </w:num>
  <w:num w:numId="4">
    <w:abstractNumId w:val="3"/>
  </w:num>
  <w:num w:numId="5">
    <w:abstractNumId w:val="7"/>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F0AB7152-0CD3-4980-B37D-896D5E277E6B"/>
    <w:docVar w:name="LW_COVERPAGE_TYPE" w:val="1"/>
    <w:docVar w:name="LW_CROSSREFERENCE" w:val="{COM(2021) 87 final} - {SEC(2021) 100 final} - {SWD(2021) 37 final}"/>
    <w:docVar w:name="LW_DocType" w:val="NORMAL"/>
    <w:docVar w:name="LW_EMISSION" w:val="23.2.2021"/>
    <w:docVar w:name="LW_EMISSION_ISODATE" w:val="2021-02-23"/>
    <w:docVar w:name="LW_EMISSION_LOCATION" w:val="BRX"/>
    <w:docVar w:name="LW_EMISSION_PREFIX" w:val="Brussels, "/>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European Partnership on Innovative Health"/>
    <w:docVar w:name="LW_PART_NBR" w:val="2"/>
    <w:docVar w:name="LW_PART_NBR_TOTAL" w:val="9"/>
    <w:docVar w:name="LW_REF.INST.NEW" w:val="SWD"/>
    <w:docVar w:name="LW_REF.INST.NEW_ADOPTED" w:val="final"/>
    <w:docVar w:name="LW_REF.INST.NEW_TEXT" w:val="(2021) 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
    <w:docVar w:name="LW_TYPEACTEPRINCIPAL.CP" w:val="Proposal for a Council Regulation establishing the Joint Undertakings under Horizon Europe"/>
    <w:docVar w:name="Stamp" w:val="\\dossiers.dgt.cec.eu.int\dossiers\RTD\RTD-2020-00154\RTD-2020-00154-00-08-EN-EDT-00.202010271606022789381.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_dlc_DocId xmlns="aa4db51b-e8a9-4026-8a86-c53de6a39483">ECCSC-732787739-2119</_dlc_DocId>
    <_dlc_DocIdUrl xmlns="aa4db51b-e8a9-4026-8a86-c53de6a39483">
      <Url>https://myintracomm-collab.ec.europa.eu/networks/H2020CSC/CIC_B5/_layouts/15/DocIdRedir.aspx?ID=ECCSC-732787739-2119</Url>
      <Description>ECCSC-732787739-2119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758F45BF4F41C4F9977FA6973AB32EB" ma:contentTypeVersion="2" ma:contentTypeDescription="Create a new document in this library." ma:contentTypeScope="" ma:versionID="330b4e21398754d12578fa9ddb2d7819">
  <xsd:schema xmlns:xsd="http://www.w3.org/2001/XMLSchema" xmlns:xs="http://www.w3.org/2001/XMLSchema" xmlns:p="http://schemas.microsoft.com/office/2006/metadata/properties" xmlns:ns2="http://schemas.microsoft.com/sharepoint/v3/fields" xmlns:ns3="aa4db51b-e8a9-4026-8a86-c53de6a39483" targetNamespace="http://schemas.microsoft.com/office/2006/metadata/properties" ma:root="true" ma:fieldsID="bcd3031ea884fd1e8b17a7d606cba757" ns2:_="" ns3:_="">
    <xsd:import namespace="http://schemas.microsoft.com/sharepoint/v3/fields"/>
    <xsd:import namespace="aa4db51b-e8a9-4026-8a86-c53de6a39483"/>
    <xsd:element name="properties">
      <xsd:complexType>
        <xsd:sequence>
          <xsd:element name="documentManagement">
            <xsd:complexType>
              <xsd:all>
                <xsd:element ref="ns2:_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4db51b-e8a9-4026-8a86-c53de6a3948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DCCEA-E0A2-4576-8F74-42BCA1D5F480}">
  <ds:schemaRefs>
    <ds:schemaRef ds:uri="http://schemas.microsoft.com/sharepoint/v3/field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aa4db51b-e8a9-4026-8a86-c53de6a39483"/>
    <ds:schemaRef ds:uri="http://www.w3.org/XML/1998/namespace"/>
  </ds:schemaRefs>
</ds:datastoreItem>
</file>

<file path=customXml/itemProps2.xml><?xml version="1.0" encoding="utf-8"?>
<ds:datastoreItem xmlns:ds="http://schemas.openxmlformats.org/officeDocument/2006/customXml" ds:itemID="{3E65F5A5-D725-496C-8723-68C56DE7C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db51b-e8a9-4026-8a86-c53de6a39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FD58C-5238-4EFD-A041-FA808BCC5608}">
  <ds:schemaRefs>
    <ds:schemaRef ds:uri="http://schemas.microsoft.com/sharepoint/events"/>
  </ds:schemaRefs>
</ds:datastoreItem>
</file>

<file path=customXml/itemProps4.xml><?xml version="1.0" encoding="utf-8"?>
<ds:datastoreItem xmlns:ds="http://schemas.openxmlformats.org/officeDocument/2006/customXml" ds:itemID="{0BC3D6C7-7926-4AC2-8139-144CB3672974}">
  <ds:schemaRefs>
    <ds:schemaRef ds:uri="http://schemas.microsoft.com/sharepoint/v3/contenttype/forms"/>
  </ds:schemaRefs>
</ds:datastoreItem>
</file>

<file path=customXml/itemProps5.xml><?xml version="1.0" encoding="utf-8"?>
<ds:datastoreItem xmlns:ds="http://schemas.openxmlformats.org/officeDocument/2006/customXml" ds:itemID="{C87B0DE3-5CA7-48DA-9708-2CB84433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954</Words>
  <Characters>5510</Characters>
  <Application>Microsoft Office Word</Application>
  <DocSecurity>0</DocSecurity>
  <Lines>87</Lines>
  <Paragraphs>50</Paragraphs>
  <ScaleCrop>false</ScaleCrop>
  <HeadingPairs>
    <vt:vector size="2" baseType="variant">
      <vt:variant>
        <vt:lpstr>Title</vt:lpstr>
      </vt:variant>
      <vt:variant>
        <vt:i4>1</vt:i4>
      </vt:variant>
    </vt:vector>
  </HeadingPairs>
  <TitlesOfParts>
    <vt:vector size="1" baseType="lpstr">
      <vt:lpstr>RTD-2020-00154-00-08-EN-EDT-00</vt:lpstr>
    </vt:vector>
  </TitlesOfParts>
  <Manager/>
  <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RTD-2020-00154-00-08-EN-EDT-00</dc:title>
  <dc:subject/>
  <dc:creator/>
  <cp:keywords/>
  <dc:description/>
  <cp:lastModifiedBy>WES PDFC Administrator</cp:lastModifiedBy>
  <cp:revision>17</cp:revision>
  <dcterms:created xsi:type="dcterms:W3CDTF">2021-01-19T11:38:00Z</dcterms:created>
  <dcterms:modified xsi:type="dcterms:W3CDTF">2021-02-22T10:42:00Z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2</vt:lpwstr>
  </property>
  <property fmtid="{D5CDD505-2E9C-101B-9397-08002B2CF9AE}" pid="4" name="Total parts">
    <vt:lpwstr>9</vt:lpwstr>
  </property>
  <property fmtid="{D5CDD505-2E9C-101B-9397-08002B2CF9AE}" pid="5" name="DocStatus">
    <vt:lpwstr>Green</vt:lpwstr>
  </property>
  <property fmtid="{D5CDD505-2E9C-101B-9397-08002B2CF9AE}" pid="6" name="Last edited using">
    <vt:lpwstr>LW 7.0.1, Build 20190916</vt:lpwstr>
  </property>
  <property fmtid="{D5CDD505-2E9C-101B-9397-08002B2CF9AE}" pid="7" name="CPTemplateID">
    <vt:lpwstr>CP-027</vt:lpwstr>
  </property>
  <property fmtid="{D5CDD505-2E9C-101B-9397-08002B2CF9AE}" pid="8" name="Created using">
    <vt:lpwstr>LW 6.0.1, Build 20180503</vt:lpwstr>
  </property>
  <property fmtid="{D5CDD505-2E9C-101B-9397-08002B2CF9AE}" pid="9" name="_dlc_DocIdItemGuid">
    <vt:lpwstr>7700deb6-2b54-40e0-9cca-69fb7f967316</vt:lpwstr>
  </property>
  <property fmtid="{D5CDD505-2E9C-101B-9397-08002B2CF9AE}" pid="10" name="_LW_INVALIDATED__LW_INVALIDATED__LW_INVALIDATED_ContentTypeId">
    <vt:lpwstr>0x010100258AA79CEB83498886A3A0868112325000D758F45BF4F41C4F9977FA6973AB32EB</vt:lpwstr>
  </property>
</Properties>
</file>