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E79B6E3E-A718-4390-9BFB-5438B3DA0875" style="width:450.15pt;height:406.8pt">
            <v:imagedata r:id="rId15" o:title=""/>
          </v:shape>
        </w:pict>
      </w:r>
    </w:p>
    <w:bookmarkEnd w:id="0"/>
    <w:p>
      <w:pPr>
        <w:pStyle w:val="Pagedecouvertur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pPr>
        <w:spacing w:before="100" w:beforeAutospacing="1" w:after="100" w:afterAutospacing="1"/>
        <w:jc w:val="center"/>
        <w:rPr>
          <w:b/>
          <w:noProof/>
        </w:rPr>
      </w:pPr>
      <w:bookmarkStart w:id="1" w:name="_GoBack"/>
      <w:bookmarkEnd w:id="1"/>
      <w:r>
        <w:rPr>
          <w:b/>
          <w:noProof/>
        </w:rPr>
        <w:lastRenderedPageBreak/>
        <w:t>ANNEXES</w:t>
      </w:r>
    </w:p>
    <w:p>
      <w:pPr>
        <w:spacing w:before="100" w:beforeAutospacing="1" w:after="100" w:afterAutospacing="1"/>
        <w:rPr>
          <w:b/>
          <w:noProof/>
        </w:rPr>
      </w:pP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spacing w:before="100" w:beforeAutospacing="1" w:after="100" w:afterAutospacing="1"/>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eastAsia="en-GB"/>
            </w:rPr>
          </w:pPr>
          <w:r>
            <w:rPr>
              <w:noProof/>
            </w:rPr>
            <w:t>Annex 1</w:t>
          </w:r>
          <w:r>
            <w:rPr>
              <w:rFonts w:asciiTheme="minorHAnsi" w:eastAsiaTheme="minorEastAsia" w:hAnsiTheme="minorHAnsi" w:cstheme="minorBidi"/>
              <w:caps w:val="0"/>
              <w:noProof/>
              <w:sz w:val="22"/>
              <w:szCs w:val="22"/>
              <w:lang w:eastAsia="en-GB"/>
            </w:rPr>
            <w:tab/>
          </w:r>
          <w:r>
            <w:rPr>
              <w:noProof/>
            </w:rPr>
            <w:t>Procedural information</w:t>
          </w:r>
          <w:r>
            <w:rPr>
              <w:noProof/>
              <w:webHidden/>
            </w:rPr>
            <w:tab/>
            <w:t>3</w:t>
          </w:r>
        </w:p>
        <w:p>
          <w:pPr>
            <w:pStyle w:val="TOC1"/>
            <w:tabs>
              <w:tab w:val="left" w:pos="1916"/>
            </w:tabs>
            <w:rPr>
              <w:rFonts w:asciiTheme="minorHAnsi" w:eastAsiaTheme="minorEastAsia" w:hAnsiTheme="minorHAnsi" w:cstheme="minorBidi"/>
              <w:caps w:val="0"/>
              <w:noProof/>
              <w:sz w:val="22"/>
              <w:szCs w:val="22"/>
              <w:lang w:eastAsia="en-GB"/>
            </w:rPr>
          </w:pPr>
          <w:r>
            <w:rPr>
              <w:noProof/>
            </w:rPr>
            <w:t>Annex 2</w:t>
          </w:r>
          <w:r>
            <w:rPr>
              <w:rFonts w:asciiTheme="minorHAnsi" w:eastAsiaTheme="minorEastAsia" w:hAnsiTheme="minorHAnsi" w:cstheme="minorBidi"/>
              <w:caps w:val="0"/>
              <w:noProof/>
              <w:sz w:val="22"/>
              <w:szCs w:val="22"/>
              <w:lang w:eastAsia="en-GB"/>
            </w:rPr>
            <w:tab/>
          </w:r>
          <w:r>
            <w:rPr>
              <w:noProof/>
            </w:rPr>
            <w:t>Stakeholder Consultation</w:t>
          </w:r>
          <w:r>
            <w:rPr>
              <w:noProof/>
              <w:webHidden/>
            </w:rPr>
            <w:tab/>
            <w:t>6</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Overview for all candidate institutionalised European Partnerships</w:t>
          </w:r>
          <w:r>
            <w:rPr>
              <w:noProof/>
              <w:webHidden/>
            </w:rPr>
            <w:tab/>
            <w:t>6</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Introduction</w:t>
          </w:r>
          <w:r>
            <w:rPr>
              <w:webHidden/>
            </w:rPr>
            <w:tab/>
            <w:t>6</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Horizontal results of the Open Public Consultation</w:t>
          </w:r>
          <w:r>
            <w:rPr>
              <w:webHidden/>
            </w:rPr>
            <w:tab/>
            <w:t>6</w:t>
          </w:r>
        </w:p>
        <w:p>
          <w:pPr>
            <w:pStyle w:val="TOC3"/>
            <w:tabs>
              <w:tab w:val="left" w:pos="1916"/>
            </w:tabs>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Profile of respondents</w:t>
          </w:r>
          <w:r>
            <w:rPr>
              <w:noProof/>
              <w:webHidden/>
            </w:rPr>
            <w:tab/>
            <w:t>6</w:t>
          </w:r>
        </w:p>
        <w:p>
          <w:pPr>
            <w:pStyle w:val="TOC3"/>
            <w:tabs>
              <w:tab w:val="left" w:pos="1916"/>
            </w:tabs>
            <w:rPr>
              <w:rFonts w:asciiTheme="minorHAnsi" w:eastAsiaTheme="minorEastAsia" w:hAnsiTheme="minorHAnsi" w:cstheme="minorBidi"/>
              <w:noProof/>
              <w:sz w:val="22"/>
              <w:szCs w:val="22"/>
              <w:lang w:eastAsia="en-GB"/>
            </w:rPr>
          </w:pPr>
          <w:r>
            <w:rPr>
              <w:bCs/>
              <w:noProof/>
            </w:rPr>
            <w:t>1.2.2.</w:t>
          </w:r>
          <w:r>
            <w:rPr>
              <w:rFonts w:asciiTheme="minorHAnsi" w:eastAsiaTheme="minorEastAsia" w:hAnsiTheme="minorHAnsi" w:cstheme="minorBidi"/>
              <w:noProof/>
              <w:sz w:val="22"/>
              <w:szCs w:val="22"/>
              <w:lang w:eastAsia="en-GB"/>
            </w:rPr>
            <w:tab/>
          </w:r>
          <w:r>
            <w:rPr>
              <w:bCs/>
              <w:noProof/>
            </w:rPr>
            <w:t>Characteristics of future candidate European Partnerships</w:t>
          </w:r>
          <w:r>
            <w:rPr>
              <w:noProof/>
              <w:webHidden/>
            </w:rPr>
            <w:tab/>
            <w:t>11</w:t>
          </w:r>
        </w:p>
        <w:p>
          <w:pPr>
            <w:pStyle w:val="TOC3"/>
            <w:tabs>
              <w:tab w:val="left" w:pos="1916"/>
            </w:tabs>
            <w:rPr>
              <w:rFonts w:asciiTheme="minorHAnsi" w:eastAsiaTheme="minorEastAsia" w:hAnsiTheme="minorHAnsi" w:cstheme="minorBidi"/>
              <w:noProof/>
              <w:sz w:val="22"/>
              <w:szCs w:val="22"/>
              <w:lang w:eastAsia="en-GB"/>
            </w:rPr>
          </w:pPr>
          <w:r>
            <w:rPr>
              <w:bCs/>
              <w:noProof/>
            </w:rPr>
            <w:t>1.2.3.</w:t>
          </w:r>
          <w:r>
            <w:rPr>
              <w:rFonts w:asciiTheme="minorHAnsi" w:eastAsiaTheme="minorEastAsia" w:hAnsiTheme="minorHAnsi" w:cstheme="minorBidi"/>
              <w:noProof/>
              <w:sz w:val="22"/>
              <w:szCs w:val="22"/>
              <w:lang w:eastAsia="en-GB"/>
            </w:rPr>
            <w:tab/>
          </w:r>
          <w:r>
            <w:rPr>
              <w:bCs/>
              <w:noProof/>
            </w:rPr>
            <w:t>Main advantages and disadvantages of Institutionalised European Partnerships</w:t>
          </w:r>
          <w:r>
            <w:rPr>
              <w:noProof/>
              <w:webHidden/>
            </w:rPr>
            <w:tab/>
            <w:t>12</w:t>
          </w:r>
        </w:p>
        <w:p>
          <w:pPr>
            <w:pStyle w:val="TOC3"/>
            <w:tabs>
              <w:tab w:val="left" w:pos="1916"/>
            </w:tabs>
            <w:rPr>
              <w:rFonts w:asciiTheme="minorHAnsi" w:eastAsiaTheme="minorEastAsia" w:hAnsiTheme="minorHAnsi" w:cstheme="minorBidi"/>
              <w:noProof/>
              <w:sz w:val="22"/>
              <w:szCs w:val="22"/>
              <w:lang w:eastAsia="en-GB"/>
            </w:rPr>
          </w:pPr>
          <w:r>
            <w:rPr>
              <w:bCs/>
              <w:noProof/>
            </w:rPr>
            <w:t>1.2.4.</w:t>
          </w:r>
          <w:r>
            <w:rPr>
              <w:rFonts w:asciiTheme="minorHAnsi" w:eastAsiaTheme="minorEastAsia" w:hAnsiTheme="minorHAnsi" w:cstheme="minorBidi"/>
              <w:noProof/>
              <w:sz w:val="22"/>
              <w:szCs w:val="22"/>
              <w:lang w:eastAsia="en-GB"/>
            </w:rPr>
            <w:tab/>
          </w:r>
          <w:r>
            <w:rPr>
              <w:bCs/>
              <w:noProof/>
            </w:rPr>
            <w:t>Relevance of EU level to address problems in Partnerships’ areas</w:t>
          </w:r>
          <w:r>
            <w:rPr>
              <w:noProof/>
              <w:webHidden/>
            </w:rPr>
            <w:tab/>
            <w:t>13</w:t>
          </w:r>
        </w:p>
        <w:p>
          <w:pPr>
            <w:pStyle w:val="TOC3"/>
            <w:tabs>
              <w:tab w:val="left" w:pos="1916"/>
            </w:tabs>
            <w:rPr>
              <w:rFonts w:asciiTheme="minorHAnsi" w:eastAsiaTheme="minorEastAsia" w:hAnsiTheme="minorHAnsi" w:cstheme="minorBidi"/>
              <w:noProof/>
              <w:sz w:val="22"/>
              <w:szCs w:val="22"/>
              <w:lang w:eastAsia="en-GB"/>
            </w:rPr>
          </w:pPr>
          <w:r>
            <w:rPr>
              <w:bCs/>
              <w:noProof/>
            </w:rPr>
            <w:t>1.2.5.</w:t>
          </w:r>
          <w:r>
            <w:rPr>
              <w:rFonts w:asciiTheme="minorHAnsi" w:eastAsiaTheme="minorEastAsia" w:hAnsiTheme="minorHAnsi" w:cstheme="minorBidi"/>
              <w:noProof/>
              <w:sz w:val="22"/>
              <w:szCs w:val="22"/>
              <w:lang w:eastAsia="en-GB"/>
            </w:rPr>
            <w:tab/>
          </w:r>
          <w:r>
            <w:rPr>
              <w:bCs/>
              <w:noProof/>
            </w:rPr>
            <w:t>Horizon Europe mode of intervention to address problems</w:t>
          </w:r>
          <w:r>
            <w:rPr>
              <w:noProof/>
              <w:webHidden/>
            </w:rPr>
            <w:tab/>
            <w:t>14</w:t>
          </w:r>
        </w:p>
        <w:p>
          <w:pPr>
            <w:pStyle w:val="TOC3"/>
            <w:tabs>
              <w:tab w:val="left" w:pos="1916"/>
            </w:tabs>
            <w:rPr>
              <w:rFonts w:asciiTheme="minorHAnsi" w:eastAsiaTheme="minorEastAsia" w:hAnsiTheme="minorHAnsi" w:cstheme="minorBidi"/>
              <w:noProof/>
              <w:sz w:val="22"/>
              <w:szCs w:val="22"/>
              <w:lang w:eastAsia="en-GB"/>
            </w:rPr>
          </w:pPr>
          <w:r>
            <w:rPr>
              <w:bCs/>
              <w:noProof/>
            </w:rPr>
            <w:t>1.2.6.</w:t>
          </w:r>
          <w:r>
            <w:rPr>
              <w:rFonts w:asciiTheme="minorHAnsi" w:eastAsiaTheme="minorEastAsia" w:hAnsiTheme="minorHAnsi" w:cstheme="minorBidi"/>
              <w:noProof/>
              <w:sz w:val="22"/>
              <w:szCs w:val="22"/>
              <w:lang w:eastAsia="en-GB"/>
            </w:rPr>
            <w:tab/>
          </w:r>
          <w:r>
            <w:rPr>
              <w:bCs/>
              <w:noProof/>
            </w:rPr>
            <w:t>Relevance of a set of elements and activities to ensure that the proposed European Partnership would meet its objectives</w:t>
          </w:r>
          <w:r>
            <w:rPr>
              <w:noProof/>
              <w:webHidden/>
            </w:rPr>
            <w:tab/>
            <w:t>14</w:t>
          </w:r>
        </w:p>
        <w:p>
          <w:pPr>
            <w:pStyle w:val="TOC3"/>
            <w:tabs>
              <w:tab w:val="left" w:pos="1916"/>
            </w:tabs>
            <w:rPr>
              <w:rFonts w:asciiTheme="minorHAnsi" w:eastAsiaTheme="minorEastAsia" w:hAnsiTheme="minorHAnsi" w:cstheme="minorBidi"/>
              <w:noProof/>
              <w:sz w:val="22"/>
              <w:szCs w:val="22"/>
              <w:lang w:eastAsia="en-GB"/>
            </w:rPr>
          </w:pPr>
          <w:r>
            <w:rPr>
              <w:bCs/>
              <w:noProof/>
            </w:rPr>
            <w:t>1.2.7.</w:t>
          </w:r>
          <w:r>
            <w:rPr>
              <w:rFonts w:asciiTheme="minorHAnsi" w:eastAsiaTheme="minorEastAsia" w:hAnsiTheme="minorHAnsi" w:cstheme="minorBidi"/>
              <w:noProof/>
              <w:sz w:val="22"/>
              <w:szCs w:val="22"/>
              <w:lang w:eastAsia="en-GB"/>
            </w:rPr>
            <w:tab/>
          </w:r>
          <w:r>
            <w:rPr>
              <w:bCs/>
              <w:noProof/>
            </w:rPr>
            <w:t>Relevance of setting up a legal structure (funding body) for the candidate European Partnerships to achieve improvements</w:t>
          </w:r>
          <w:r>
            <w:rPr>
              <w:noProof/>
              <w:webHidden/>
            </w:rPr>
            <w:tab/>
            <w:t>17</w:t>
          </w:r>
        </w:p>
        <w:p>
          <w:pPr>
            <w:pStyle w:val="TOC3"/>
            <w:tabs>
              <w:tab w:val="left" w:pos="1916"/>
            </w:tabs>
            <w:rPr>
              <w:rFonts w:asciiTheme="minorHAnsi" w:eastAsiaTheme="minorEastAsia" w:hAnsiTheme="minorHAnsi" w:cstheme="minorBidi"/>
              <w:noProof/>
              <w:sz w:val="22"/>
              <w:szCs w:val="22"/>
              <w:lang w:eastAsia="en-GB"/>
            </w:rPr>
          </w:pPr>
          <w:r>
            <w:rPr>
              <w:bCs/>
              <w:noProof/>
            </w:rPr>
            <w:t>1.2.8.</w:t>
          </w:r>
          <w:r>
            <w:rPr>
              <w:rFonts w:asciiTheme="minorHAnsi" w:eastAsiaTheme="minorEastAsia" w:hAnsiTheme="minorHAnsi" w:cstheme="minorBidi"/>
              <w:noProof/>
              <w:sz w:val="22"/>
              <w:szCs w:val="22"/>
              <w:lang w:eastAsia="en-GB"/>
            </w:rPr>
            <w:tab/>
          </w:r>
          <w:r>
            <w:rPr>
              <w:bCs/>
              <w:noProof/>
            </w:rPr>
            <w:t>Scope and coverage of the candidate European Partnerships based on their inception impact assessments</w:t>
          </w:r>
          <w:r>
            <w:rPr>
              <w:noProof/>
              <w:webHidden/>
            </w:rPr>
            <w:tab/>
            <w:t>18</w:t>
          </w:r>
        </w:p>
        <w:p>
          <w:pPr>
            <w:pStyle w:val="TOC3"/>
            <w:tabs>
              <w:tab w:val="left" w:pos="1916"/>
            </w:tabs>
            <w:rPr>
              <w:rFonts w:asciiTheme="minorHAnsi" w:eastAsiaTheme="minorEastAsia" w:hAnsiTheme="minorHAnsi" w:cstheme="minorBidi"/>
              <w:noProof/>
              <w:sz w:val="22"/>
              <w:szCs w:val="22"/>
              <w:lang w:eastAsia="en-GB"/>
            </w:rPr>
          </w:pPr>
          <w:r>
            <w:rPr>
              <w:bCs/>
              <w:noProof/>
            </w:rPr>
            <w:t>1.2.9.</w:t>
          </w:r>
          <w:r>
            <w:rPr>
              <w:rFonts w:asciiTheme="minorHAnsi" w:eastAsiaTheme="minorEastAsia" w:hAnsiTheme="minorHAnsi" w:cstheme="minorBidi"/>
              <w:noProof/>
              <w:sz w:val="22"/>
              <w:szCs w:val="22"/>
              <w:lang w:eastAsia="en-GB"/>
            </w:rPr>
            <w:tab/>
          </w:r>
          <w:r>
            <w:rPr>
              <w:bCs/>
              <w:noProof/>
            </w:rPr>
            <w:t>Scope for rationalisation and alignment of candidate European Partnerships with other initiatives</w:t>
          </w:r>
          <w:r>
            <w:rPr>
              <w:noProof/>
              <w:webHidden/>
            </w:rPr>
            <w:tab/>
            <w:t>19</w:t>
          </w:r>
        </w:p>
        <w:p>
          <w:pPr>
            <w:pStyle w:val="TOC3"/>
            <w:tabs>
              <w:tab w:val="left" w:pos="2880"/>
            </w:tabs>
            <w:rPr>
              <w:rFonts w:asciiTheme="minorHAnsi" w:eastAsiaTheme="minorEastAsia" w:hAnsiTheme="minorHAnsi" w:cstheme="minorBidi"/>
              <w:noProof/>
              <w:sz w:val="22"/>
              <w:szCs w:val="22"/>
              <w:lang w:eastAsia="en-GB"/>
            </w:rPr>
          </w:pPr>
          <w:r>
            <w:rPr>
              <w:bCs/>
              <w:noProof/>
            </w:rPr>
            <w:t>1.2.10.</w:t>
          </w:r>
          <w:r>
            <w:rPr>
              <w:rFonts w:asciiTheme="minorHAnsi" w:eastAsiaTheme="minorEastAsia" w:hAnsiTheme="minorHAnsi" w:cstheme="minorBidi"/>
              <w:noProof/>
              <w:sz w:val="22"/>
              <w:szCs w:val="22"/>
              <w:lang w:eastAsia="en-GB"/>
            </w:rPr>
            <w:tab/>
          </w:r>
          <w:r>
            <w:rPr>
              <w:bCs/>
              <w:noProof/>
            </w:rPr>
            <w:t>Relevance of European Partnerships to deliver targeted scientific, economic/technological and societal impacts</w:t>
          </w:r>
          <w:r>
            <w:rPr>
              <w:noProof/>
              <w:webHidden/>
            </w:rPr>
            <w:tab/>
            <w:t>19</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Stakeholder consultation results for the Innovative Health Initiative</w:t>
          </w:r>
          <w:r>
            <w:rPr>
              <w:webHidden/>
            </w:rPr>
            <w:tab/>
            <w:t>21</w:t>
          </w:r>
        </w:p>
        <w:p>
          <w:pPr>
            <w:pStyle w:val="TOC3"/>
            <w:tabs>
              <w:tab w:val="left" w:pos="1916"/>
            </w:tabs>
            <w:rPr>
              <w:rFonts w:asciiTheme="minorHAnsi" w:eastAsiaTheme="minorEastAsia" w:hAnsiTheme="minorHAnsi" w:cstheme="minorBidi"/>
              <w:noProof/>
              <w:sz w:val="22"/>
              <w:szCs w:val="22"/>
              <w:lang w:eastAsia="en-GB"/>
            </w:rPr>
          </w:pPr>
          <w:r>
            <w:rPr>
              <w:b/>
              <w:noProof/>
            </w:rPr>
            <w:t>1.3.1.</w:t>
          </w:r>
          <w:r>
            <w:rPr>
              <w:rFonts w:asciiTheme="minorHAnsi" w:eastAsiaTheme="minorEastAsia" w:hAnsiTheme="minorHAnsi" w:cstheme="minorBidi"/>
              <w:noProof/>
              <w:sz w:val="22"/>
              <w:szCs w:val="22"/>
              <w:lang w:eastAsia="en-GB"/>
            </w:rPr>
            <w:tab/>
          </w:r>
          <w:r>
            <w:rPr>
              <w:b/>
              <w:noProof/>
            </w:rPr>
            <w:t>Feedback to the inception impact assessment</w:t>
          </w:r>
          <w:r>
            <w:rPr>
              <w:noProof/>
              <w:webHidden/>
            </w:rPr>
            <w:tab/>
            <w:t>22</w:t>
          </w:r>
        </w:p>
        <w:p>
          <w:pPr>
            <w:pStyle w:val="TOC3"/>
            <w:tabs>
              <w:tab w:val="left" w:pos="1916"/>
            </w:tabs>
            <w:rPr>
              <w:rFonts w:asciiTheme="minorHAnsi" w:eastAsiaTheme="minorEastAsia" w:hAnsiTheme="minorHAnsi" w:cstheme="minorBidi"/>
              <w:noProof/>
              <w:sz w:val="22"/>
              <w:szCs w:val="22"/>
              <w:lang w:eastAsia="en-GB"/>
            </w:rPr>
          </w:pPr>
          <w:r>
            <w:rPr>
              <w:b/>
              <w:noProof/>
            </w:rPr>
            <w:t>1.3.2.</w:t>
          </w:r>
          <w:r>
            <w:rPr>
              <w:rFonts w:asciiTheme="minorHAnsi" w:eastAsiaTheme="minorEastAsia" w:hAnsiTheme="minorHAnsi" w:cstheme="minorBidi"/>
              <w:noProof/>
              <w:sz w:val="22"/>
              <w:szCs w:val="22"/>
              <w:lang w:eastAsia="en-GB"/>
            </w:rPr>
            <w:tab/>
          </w:r>
          <w:r>
            <w:rPr>
              <w:b/>
              <w:noProof/>
            </w:rPr>
            <w:t>Structured consultation of the Member States</w:t>
          </w:r>
          <w:r>
            <w:rPr>
              <w:noProof/>
              <w:webHidden/>
            </w:rPr>
            <w:tab/>
            <w:t>25</w:t>
          </w:r>
        </w:p>
        <w:p>
          <w:pPr>
            <w:pStyle w:val="TOC3"/>
            <w:tabs>
              <w:tab w:val="left" w:pos="1916"/>
            </w:tabs>
            <w:rPr>
              <w:rFonts w:asciiTheme="minorHAnsi" w:eastAsiaTheme="minorEastAsia" w:hAnsiTheme="minorHAnsi" w:cstheme="minorBidi"/>
              <w:noProof/>
              <w:sz w:val="22"/>
              <w:szCs w:val="22"/>
              <w:lang w:eastAsia="en-GB"/>
            </w:rPr>
          </w:pPr>
          <w:r>
            <w:rPr>
              <w:b/>
              <w:noProof/>
            </w:rPr>
            <w:t>1.3.3.</w:t>
          </w:r>
          <w:r>
            <w:rPr>
              <w:rFonts w:asciiTheme="minorHAnsi" w:eastAsiaTheme="minorEastAsia" w:hAnsiTheme="minorHAnsi" w:cstheme="minorBidi"/>
              <w:noProof/>
              <w:sz w:val="22"/>
              <w:szCs w:val="22"/>
              <w:lang w:eastAsia="en-GB"/>
            </w:rPr>
            <w:tab/>
          </w:r>
          <w:r>
            <w:rPr>
              <w:b/>
              <w:noProof/>
            </w:rPr>
            <w:t>Targeted consultation of stakeholders</w:t>
          </w:r>
          <w:r>
            <w:rPr>
              <w:noProof/>
              <w:webHidden/>
            </w:rPr>
            <w:tab/>
            <w:t>28</w:t>
          </w:r>
        </w:p>
        <w:p>
          <w:pPr>
            <w:pStyle w:val="TOC3"/>
            <w:tabs>
              <w:tab w:val="left" w:pos="1916"/>
            </w:tabs>
            <w:rPr>
              <w:rFonts w:asciiTheme="minorHAnsi" w:eastAsiaTheme="minorEastAsia" w:hAnsiTheme="minorHAnsi" w:cstheme="minorBidi"/>
              <w:noProof/>
              <w:sz w:val="22"/>
              <w:szCs w:val="22"/>
              <w:lang w:eastAsia="en-GB"/>
            </w:rPr>
          </w:pPr>
          <w:r>
            <w:rPr>
              <w:b/>
              <w:noProof/>
            </w:rPr>
            <w:t>1.3.4.</w:t>
          </w:r>
          <w:r>
            <w:rPr>
              <w:rFonts w:asciiTheme="minorHAnsi" w:eastAsiaTheme="minorEastAsia" w:hAnsiTheme="minorHAnsi" w:cstheme="minorBidi"/>
              <w:noProof/>
              <w:sz w:val="22"/>
              <w:szCs w:val="22"/>
              <w:lang w:eastAsia="en-GB"/>
            </w:rPr>
            <w:tab/>
          </w:r>
          <w:r>
            <w:rPr>
              <w:b/>
              <w:noProof/>
            </w:rPr>
            <w:t>Open Public Consultation</w:t>
          </w:r>
          <w:r>
            <w:rPr>
              <w:noProof/>
              <w:webHidden/>
            </w:rPr>
            <w:tab/>
            <w:t>33</w:t>
          </w:r>
        </w:p>
        <w:p>
          <w:pPr>
            <w:pStyle w:val="TOC3"/>
            <w:tabs>
              <w:tab w:val="left" w:pos="1916"/>
            </w:tabs>
            <w:rPr>
              <w:rFonts w:asciiTheme="minorHAnsi" w:eastAsiaTheme="minorEastAsia" w:hAnsiTheme="minorHAnsi" w:cstheme="minorBidi"/>
              <w:noProof/>
              <w:sz w:val="22"/>
              <w:szCs w:val="22"/>
              <w:lang w:eastAsia="en-GB"/>
            </w:rPr>
          </w:pPr>
          <w:r>
            <w:rPr>
              <w:b/>
              <w:noProof/>
            </w:rPr>
            <w:t>1.3.5.</w:t>
          </w:r>
          <w:r>
            <w:rPr>
              <w:rFonts w:asciiTheme="minorHAnsi" w:eastAsiaTheme="minorEastAsia" w:hAnsiTheme="minorHAnsi" w:cstheme="minorBidi"/>
              <w:noProof/>
              <w:sz w:val="22"/>
              <w:szCs w:val="22"/>
              <w:lang w:eastAsia="en-GB"/>
            </w:rPr>
            <w:tab/>
          </w:r>
          <w:r>
            <w:rPr>
              <w:b/>
              <w:noProof/>
            </w:rPr>
            <w:t>Integration of feedback received in the preparation of the partnership</w:t>
          </w:r>
          <w:r>
            <w:rPr>
              <w:noProof/>
              <w:webHidden/>
            </w:rPr>
            <w:tab/>
            <w:t>41</w:t>
          </w:r>
        </w:p>
        <w:p>
          <w:pPr>
            <w:pStyle w:val="TOC1"/>
            <w:tabs>
              <w:tab w:val="left" w:pos="1916"/>
            </w:tabs>
            <w:rPr>
              <w:rFonts w:asciiTheme="minorHAnsi" w:eastAsiaTheme="minorEastAsia" w:hAnsiTheme="minorHAnsi" w:cstheme="minorBidi"/>
              <w:caps w:val="0"/>
              <w:noProof/>
              <w:sz w:val="22"/>
              <w:szCs w:val="22"/>
              <w:lang w:eastAsia="en-GB"/>
            </w:rPr>
          </w:pPr>
          <w:r>
            <w:rPr>
              <w:noProof/>
            </w:rPr>
            <w:t>Annex 3</w:t>
          </w:r>
          <w:r>
            <w:rPr>
              <w:rFonts w:asciiTheme="minorHAnsi" w:eastAsiaTheme="minorEastAsia" w:hAnsiTheme="minorHAnsi" w:cstheme="minorBidi"/>
              <w:caps w:val="0"/>
              <w:noProof/>
              <w:sz w:val="22"/>
              <w:szCs w:val="22"/>
              <w:lang w:eastAsia="en-GB"/>
            </w:rPr>
            <w:tab/>
          </w:r>
          <w:r>
            <w:rPr>
              <w:noProof/>
            </w:rPr>
            <w:t>Who Is Affected And How?</w:t>
          </w:r>
          <w:r>
            <w:rPr>
              <w:noProof/>
              <w:webHidden/>
            </w:rPr>
            <w:tab/>
            <w:t>44</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Practical implications of the initiative</w:t>
          </w:r>
          <w:r>
            <w:rPr>
              <w:noProof/>
              <w:webHidden/>
            </w:rPr>
            <w:tab/>
            <w:t>44</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Summary of costs and benefits</w:t>
          </w:r>
          <w:r>
            <w:rPr>
              <w:noProof/>
              <w:webHidden/>
            </w:rPr>
            <w:tab/>
            <w:t>45</w:t>
          </w:r>
        </w:p>
        <w:p>
          <w:pPr>
            <w:pStyle w:val="TOC1"/>
            <w:tabs>
              <w:tab w:val="left" w:pos="1916"/>
            </w:tabs>
            <w:rPr>
              <w:rFonts w:asciiTheme="minorHAnsi" w:eastAsiaTheme="minorEastAsia" w:hAnsiTheme="minorHAnsi" w:cstheme="minorBidi"/>
              <w:caps w:val="0"/>
              <w:noProof/>
              <w:sz w:val="22"/>
              <w:szCs w:val="22"/>
              <w:lang w:eastAsia="en-GB"/>
            </w:rPr>
          </w:pPr>
          <w:r>
            <w:rPr>
              <w:noProof/>
            </w:rPr>
            <w:lastRenderedPageBreak/>
            <w:t>Annex 4</w:t>
          </w:r>
          <w:r>
            <w:rPr>
              <w:rFonts w:asciiTheme="minorHAnsi" w:eastAsiaTheme="minorEastAsia" w:hAnsiTheme="minorHAnsi" w:cstheme="minorBidi"/>
              <w:caps w:val="0"/>
              <w:noProof/>
              <w:sz w:val="22"/>
              <w:szCs w:val="22"/>
              <w:lang w:eastAsia="en-GB"/>
            </w:rPr>
            <w:tab/>
          </w:r>
          <w:r>
            <w:rPr>
              <w:noProof/>
            </w:rPr>
            <w:t>Analytical Methods</w:t>
          </w:r>
          <w:r>
            <w:rPr>
              <w:noProof/>
              <w:webHidden/>
            </w:rPr>
            <w:tab/>
            <w:t>49</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Overview of the methodologies employed</w:t>
          </w:r>
          <w:r>
            <w:rPr>
              <w:noProof/>
              <w:webHidden/>
            </w:rPr>
            <w:tab/>
            <w:t>49</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Method for assessing the effectiveness, efficiency and coherence of each option - The use of functionalities</w:t>
          </w:r>
          <w:r>
            <w:rPr>
              <w:noProof/>
              <w:webHidden/>
            </w:rPr>
            <w:tab/>
            <w:t>50</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Method for identifying the preferred option – The scorecard analysis</w:t>
          </w:r>
          <w:r>
            <w:rPr>
              <w:noProof/>
              <w:webHidden/>
            </w:rPr>
            <w:tab/>
            <w:t>55</w:t>
          </w:r>
        </w:p>
        <w:p>
          <w:pPr>
            <w:pStyle w:val="TOC1"/>
            <w:tabs>
              <w:tab w:val="left" w:pos="1916"/>
            </w:tabs>
            <w:rPr>
              <w:rFonts w:asciiTheme="minorHAnsi" w:eastAsiaTheme="minorEastAsia" w:hAnsiTheme="minorHAnsi" w:cstheme="minorBidi"/>
              <w:caps w:val="0"/>
              <w:noProof/>
              <w:sz w:val="22"/>
              <w:szCs w:val="22"/>
              <w:lang w:eastAsia="en-GB"/>
            </w:rPr>
          </w:pPr>
          <w:r>
            <w:rPr>
              <w:noProof/>
            </w:rPr>
            <w:t>Annex 5</w:t>
          </w:r>
          <w:r>
            <w:rPr>
              <w:rFonts w:asciiTheme="minorHAnsi" w:eastAsiaTheme="minorEastAsia" w:hAnsiTheme="minorHAnsi" w:cstheme="minorBidi"/>
              <w:caps w:val="0"/>
              <w:noProof/>
              <w:sz w:val="22"/>
              <w:szCs w:val="22"/>
              <w:lang w:eastAsia="en-GB"/>
            </w:rPr>
            <w:tab/>
          </w:r>
          <w:r>
            <w:rPr>
              <w:noProof/>
            </w:rPr>
            <w:t>Subsidiarity Grid</w:t>
          </w:r>
          <w:r>
            <w:rPr>
              <w:noProof/>
              <w:webHidden/>
            </w:rPr>
            <w:tab/>
            <w:t>57</w:t>
          </w:r>
        </w:p>
        <w:p>
          <w:pPr>
            <w:spacing w:before="100" w:beforeAutospacing="1" w:after="100" w:afterAutospacing="1"/>
            <w:rPr>
              <w:noProof/>
            </w:rPr>
          </w:pPr>
        </w:p>
      </w:sdtContent>
    </w:sdt>
    <w:p>
      <w:pPr>
        <w:spacing w:before="100" w:beforeAutospacing="1" w:after="100" w:afterAutospacing="1"/>
        <w:rPr>
          <w:i/>
          <w:noProof/>
        </w:rPr>
      </w:pPr>
      <w:r>
        <w:rPr>
          <w:noProof/>
        </w:rPr>
        <w:br w:type="page"/>
      </w:r>
    </w:p>
    <w:p>
      <w:pPr>
        <w:pStyle w:val="AnnexTitle"/>
        <w:numPr>
          <w:ilvl w:val="0"/>
          <w:numId w:val="0"/>
        </w:numPr>
        <w:spacing w:before="100" w:beforeAutospacing="1" w:after="100" w:afterAutospacing="1"/>
        <w:ind w:left="2268" w:hanging="2268"/>
        <w:rPr>
          <w:noProof/>
        </w:rPr>
      </w:pPr>
      <w:bookmarkStart w:id="2" w:name="_Toc52793598"/>
      <w:r>
        <w:rPr>
          <w:noProof/>
        </w:rPr>
        <w:t>Annex 1</w:t>
      </w:r>
      <w:r>
        <w:rPr>
          <w:noProof/>
        </w:rPr>
        <w:tab/>
        <w:t>Procedural information</w:t>
      </w:r>
      <w:bookmarkEnd w:id="2"/>
    </w:p>
    <w:p>
      <w:pPr>
        <w:spacing w:before="100" w:beforeAutospacing="1" w:after="100" w:afterAutospacing="1"/>
        <w:rPr>
          <w:noProof/>
        </w:rPr>
      </w:pPr>
    </w:p>
    <w:p>
      <w:pPr>
        <w:numPr>
          <w:ilvl w:val="0"/>
          <w:numId w:val="19"/>
        </w:numPr>
        <w:spacing w:before="100" w:beforeAutospacing="1" w:after="100" w:afterAutospacing="1"/>
        <w:rPr>
          <w:b/>
          <w:noProof/>
        </w:rPr>
      </w:pPr>
      <w:r>
        <w:rPr>
          <w:b/>
          <w:noProof/>
        </w:rPr>
        <w:t>LEAD DG, DECIDE PLANNING REFERENCES</w:t>
      </w:r>
    </w:p>
    <w:p>
      <w:pPr>
        <w:spacing w:before="100" w:beforeAutospacing="1" w:after="100" w:afterAutospacing="1"/>
        <w:rPr>
          <w:noProof/>
        </w:rPr>
      </w:pPr>
      <w:r>
        <w:rPr>
          <w:noProof/>
        </w:rPr>
        <w:t xml:space="preserve">Lead DG: Directorate General Research and Innovation (RTD) </w:t>
      </w:r>
    </w:p>
    <w:p>
      <w:pPr>
        <w:spacing w:before="100" w:beforeAutospacing="1" w:after="100" w:afterAutospacing="1"/>
        <w:rPr>
          <w:noProof/>
        </w:rPr>
      </w:pPr>
      <w:r>
        <w:rPr>
          <w:noProof/>
        </w:rPr>
        <w:t>Decide number: PLAN/2019/5302</w:t>
      </w:r>
    </w:p>
    <w:p>
      <w:pPr>
        <w:numPr>
          <w:ilvl w:val="0"/>
          <w:numId w:val="19"/>
        </w:numPr>
        <w:spacing w:before="100" w:beforeAutospacing="1" w:after="100" w:afterAutospacing="1"/>
        <w:rPr>
          <w:b/>
          <w:noProof/>
        </w:rPr>
      </w:pPr>
      <w:r>
        <w:rPr>
          <w:b/>
          <w:noProof/>
        </w:rPr>
        <w:t>ORGANISATION AND TIMING</w:t>
      </w:r>
    </w:p>
    <w:p>
      <w:pPr>
        <w:spacing w:before="100" w:beforeAutospacing="1" w:after="100" w:afterAutospacing="1"/>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spacing w:before="100" w:beforeAutospacing="1" w:after="100" w:afterAutospacing="1"/>
        <w:rPr>
          <w:noProof/>
        </w:rPr>
      </w:pPr>
      <w:r>
        <w:rPr>
          <w:noProof/>
        </w:rPr>
        <w:t xml:space="preserve">Following political validation in June 2019, the impact assessment process started with the publication of inception impact assessments for each initiative in August 2019. </w:t>
      </w:r>
    </w:p>
    <w:p>
      <w:pPr>
        <w:spacing w:before="100" w:beforeAutospacing="1" w:after="100" w:afterAutospacing="1"/>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spacing w:before="100" w:beforeAutospacing="1" w:after="100" w:afterAutospacing="1"/>
        <w:rPr>
          <w:noProof/>
        </w:rPr>
      </w:pPr>
      <w:r>
        <w:rPr>
          <w:noProof/>
        </w:rPr>
        <w:t>An online public stakeholder consultation was launched between September and November 2019, gathering 1635 replies for all 12 initiatives.</w:t>
      </w:r>
    </w:p>
    <w:p>
      <w:pPr>
        <w:numPr>
          <w:ilvl w:val="0"/>
          <w:numId w:val="19"/>
        </w:numPr>
        <w:spacing w:before="100" w:beforeAutospacing="1" w:after="100" w:afterAutospacing="1"/>
        <w:rPr>
          <w:b/>
          <w:noProof/>
        </w:rPr>
      </w:pPr>
      <w:r>
        <w:rPr>
          <w:b/>
          <w:noProof/>
        </w:rPr>
        <w:t>CONSULTATION OF THE RSB</w:t>
      </w:r>
    </w:p>
    <w:p>
      <w:pPr>
        <w:spacing w:before="100" w:beforeAutospacing="1" w:after="100" w:afterAutospacing="1"/>
        <w:rPr>
          <w:noProof/>
        </w:rPr>
      </w:pPr>
      <w:r>
        <w:rPr>
          <w:noProof/>
        </w:rPr>
        <w:t>Two upstream meetings with the Regulatory Scrutiny Board of were held on 10 July 2019 and 30 September 2019.</w:t>
      </w:r>
    </w:p>
    <w:p>
      <w:pPr>
        <w:spacing w:before="100" w:beforeAutospacing="1" w:after="100" w:afterAutospacing="1"/>
        <w:rPr>
          <w:noProof/>
        </w:rPr>
      </w:pPr>
      <w:r>
        <w:rPr>
          <w:noProof/>
        </w:rPr>
        <w:t xml:space="preserve">In accordance with the feedback received from the Regulatory Scrutiny Board on 15 May 2020, the Staff Working Document has been revised as presented in Figure 1. These revisions were endorsed by the Inter Service Steering Group on 20 January 2020. </w:t>
      </w:r>
    </w:p>
    <w:p>
      <w:pPr>
        <w:keepNext/>
        <w:numPr>
          <w:ilvl w:val="0"/>
          <w:numId w:val="19"/>
        </w:numPr>
        <w:spacing w:before="100" w:beforeAutospacing="1" w:after="100" w:afterAutospacing="1"/>
        <w:ind w:left="357" w:hanging="357"/>
        <w:rPr>
          <w:b/>
          <w:noProof/>
        </w:rPr>
      </w:pPr>
      <w:r>
        <w:rPr>
          <w:b/>
          <w:noProof/>
        </w:rPr>
        <w:t xml:space="preserve">EVIDENCE, SOURCES AND QUALITY </w:t>
      </w:r>
    </w:p>
    <w:p>
      <w:pPr>
        <w:spacing w:before="100" w:beforeAutospacing="1" w:after="100" w:afterAutospacing="1"/>
        <w:rPr>
          <w:noProof/>
        </w:rPr>
      </w:pPr>
      <w:r>
        <w:rPr>
          <w:noProof/>
        </w:rPr>
        <w:t>To ensure a high level of coherence and comparability of analysis for all candidate initiatives, an external study was procured to feed into the impact assessments of the 12 candidate Institutionalised Partnerships</w:t>
      </w:r>
      <w:r>
        <w:rPr>
          <w:rStyle w:val="FootnoteReference"/>
          <w:noProof/>
        </w:rPr>
        <w:footnoteReference w:id="1"/>
      </w:r>
      <w:r>
        <w:rPr>
          <w:noProof/>
        </w:rPr>
        <w:t xml:space="preserve"> (Technopolis Group, 2020). It consisted of a horizontal analysis and individual thematic analyses for each of the initiatives under review.</w:t>
      </w:r>
    </w:p>
    <w:p>
      <w:pPr>
        <w:spacing w:before="100" w:beforeAutospacing="1" w:after="100" w:afterAutospacing="1"/>
        <w:rPr>
          <w:noProof/>
        </w:rPr>
      </w:pPr>
      <w:r>
        <w:rPr>
          <w:noProof/>
        </w:rPr>
        <w:t>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 – Nov 2019), the consultation of the Member States through the Strategic Programme Committee and the online feedback received on the Inception Impact Assessments of the set of candidate Institutionalised European Partnerships.</w:t>
      </w:r>
    </w:p>
    <w:p>
      <w:pPr>
        <w:spacing w:before="100" w:beforeAutospacing="1" w:after="100" w:afterAutospacing="1"/>
        <w:rPr>
          <w:noProof/>
        </w:rPr>
      </w:pPr>
      <w:r>
        <w:rPr>
          <w:noProof/>
        </w:rPr>
        <w:t>A more detailed description of the methodology and evidence base used, completed by thematic specific methodologies, is provided in Annexes 4 and 6.</w:t>
      </w:r>
    </w:p>
    <w:p>
      <w:pPr>
        <w:pStyle w:val="Caption"/>
        <w:spacing w:before="100" w:beforeAutospacing="1" w:after="100" w:afterAutospacing="1"/>
        <w:rPr>
          <w:noProof/>
        </w:rPr>
      </w:pPr>
      <w:r>
        <w:rPr>
          <w:noProof/>
        </w:rPr>
        <w:t>Figure 1 Modifications to the draft Staff Working Document based on comments received from the Regulatory Scrutiny Board</w:t>
      </w:r>
    </w:p>
    <w:tbl>
      <w:tblPr>
        <w:tblStyle w:val="TableGrid"/>
        <w:tblW w:w="0" w:type="auto"/>
        <w:tblCellMar>
          <w:top w:w="57" w:type="dxa"/>
        </w:tblCellMar>
        <w:tblLook w:val="04A0" w:firstRow="1" w:lastRow="0" w:firstColumn="1" w:lastColumn="0" w:noHBand="0" w:noVBand="1"/>
      </w:tblPr>
      <w:tblGrid>
        <w:gridCol w:w="5495"/>
        <w:gridCol w:w="3652"/>
      </w:tblGrid>
      <w:tr>
        <w:tc>
          <w:tcPr>
            <w:tcW w:w="5495" w:type="dxa"/>
          </w:tcPr>
          <w:p>
            <w:pPr>
              <w:spacing w:before="100" w:beforeAutospacing="1" w:after="100" w:afterAutospacing="1"/>
              <w:rPr>
                <w:b/>
                <w:noProof/>
              </w:rPr>
            </w:pPr>
            <w:r>
              <w:rPr>
                <w:b/>
                <w:noProof/>
              </w:rPr>
              <w:t>Comments from the Regulatory Scrutiny Board – main considerations</w:t>
            </w:r>
          </w:p>
        </w:tc>
        <w:tc>
          <w:tcPr>
            <w:tcW w:w="3652" w:type="dxa"/>
          </w:tcPr>
          <w:p>
            <w:pPr>
              <w:spacing w:before="100" w:beforeAutospacing="1" w:after="100" w:afterAutospacing="1"/>
              <w:rPr>
                <w:b/>
                <w:noProof/>
              </w:rPr>
            </w:pPr>
            <w:r>
              <w:rPr>
                <w:b/>
                <w:noProof/>
              </w:rPr>
              <w:t>Actions taken for the Staff Working Document</w:t>
            </w:r>
          </w:p>
        </w:tc>
      </w:tr>
      <w:tr>
        <w:tc>
          <w:tcPr>
            <w:tcW w:w="5495" w:type="dxa"/>
          </w:tcPr>
          <w:p>
            <w:pPr>
              <w:pStyle w:val="ListParagraph"/>
              <w:numPr>
                <w:ilvl w:val="0"/>
                <w:numId w:val="60"/>
              </w:numPr>
              <w:autoSpaceDE w:val="0"/>
              <w:autoSpaceDN w:val="0"/>
              <w:adjustRightInd w:val="0"/>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The report does not sufficiently explain how the problems and challenges addressed by the new partnership differ from those addressed by the present one.</w:t>
            </w:r>
          </w:p>
        </w:tc>
        <w:tc>
          <w:tcPr>
            <w:tcW w:w="3652" w:type="dxa"/>
          </w:tcPr>
          <w:p>
            <w:pPr>
              <w:spacing w:before="100" w:beforeAutospacing="1" w:after="100" w:afterAutospacing="1"/>
              <w:rPr>
                <w:noProof/>
                <w:szCs w:val="24"/>
              </w:rPr>
            </w:pPr>
            <w:r>
              <w:rPr>
                <w:noProof/>
                <w:szCs w:val="24"/>
              </w:rPr>
              <w:t>More information on the problems and challenges was added in Sections 2.2.1 (page 36) and 2.2.4 (page 40), and the differences in scope and activities were further highlighted in Section 7.2.1 (pages 82-83).</w:t>
            </w:r>
          </w:p>
        </w:tc>
      </w:tr>
      <w:tr>
        <w:tc>
          <w:tcPr>
            <w:tcW w:w="5495" w:type="dxa"/>
          </w:tcPr>
          <w:p>
            <w:pPr>
              <w:pStyle w:val="ListParagraph"/>
              <w:numPr>
                <w:ilvl w:val="0"/>
                <w:numId w:val="60"/>
              </w:numPr>
              <w:autoSpaceDE w:val="0"/>
              <w:autoSpaceDN w:val="0"/>
              <w:adjustRightInd w:val="0"/>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The report does not clearly explain to what extent the different partnership types are likely to attract health industry partners (small or big) and why.</w:t>
            </w:r>
          </w:p>
        </w:tc>
        <w:tc>
          <w:tcPr>
            <w:tcW w:w="3652" w:type="dxa"/>
          </w:tcPr>
          <w:p>
            <w:pPr>
              <w:spacing w:before="100" w:beforeAutospacing="1" w:after="100" w:afterAutospacing="1"/>
              <w:rPr>
                <w:noProof/>
                <w:szCs w:val="24"/>
              </w:rPr>
            </w:pPr>
            <w:r>
              <w:rPr>
                <w:noProof/>
                <w:szCs w:val="24"/>
              </w:rPr>
              <w:t>More detail on the expected attractiveness of the various forms of partnerships to industry was provided in Sections 5 (page 56) and 6 (notably 6.3.2, pages 61 and 73-74).</w:t>
            </w:r>
          </w:p>
        </w:tc>
      </w:tr>
      <w:tr>
        <w:tc>
          <w:tcPr>
            <w:tcW w:w="5495" w:type="dxa"/>
          </w:tcPr>
          <w:p>
            <w:pPr>
              <w:pStyle w:val="ListParagraph"/>
              <w:numPr>
                <w:ilvl w:val="0"/>
                <w:numId w:val="60"/>
              </w:numPr>
              <w:autoSpaceDE w:val="0"/>
              <w:autoSpaceDN w:val="0"/>
              <w:adjustRightInd w:val="0"/>
              <w:spacing w:after="0"/>
              <w:ind w:left="426" w:hanging="426"/>
              <w:rPr>
                <w:rFonts w:ascii="Times New Roman" w:hAnsi="Times New Roman" w:cs="Times New Roman"/>
                <w:noProof/>
                <w:sz w:val="24"/>
                <w:szCs w:val="24"/>
                <w:lang w:val="en-GB"/>
              </w:rPr>
            </w:pPr>
            <w:r>
              <w:rPr>
                <w:rFonts w:ascii="Times New Roman" w:hAnsi="Times New Roman" w:cs="Times New Roman"/>
                <w:noProof/>
                <w:sz w:val="24"/>
                <w:szCs w:val="24"/>
                <w:lang w:val="en-GB"/>
              </w:rPr>
              <w:t>The report does not provide sufficient information about how the partnership would be implemented in practice.</w:t>
            </w:r>
          </w:p>
          <w:p>
            <w:pPr>
              <w:autoSpaceDE w:val="0"/>
              <w:autoSpaceDN w:val="0"/>
              <w:adjustRightInd w:val="0"/>
              <w:spacing w:after="0"/>
              <w:ind w:left="426" w:hanging="426"/>
              <w:jc w:val="left"/>
              <w:rPr>
                <w:noProof/>
                <w:szCs w:val="24"/>
              </w:rPr>
            </w:pPr>
          </w:p>
        </w:tc>
        <w:tc>
          <w:tcPr>
            <w:tcW w:w="3652" w:type="dxa"/>
          </w:tcPr>
          <w:p>
            <w:pPr>
              <w:spacing w:before="100" w:beforeAutospacing="1" w:after="100" w:afterAutospacing="1"/>
              <w:rPr>
                <w:noProof/>
                <w:szCs w:val="24"/>
              </w:rPr>
            </w:pPr>
            <w:r>
              <w:rPr>
                <w:noProof/>
                <w:szCs w:val="24"/>
              </w:rPr>
              <w:t>Information was added in Section 7.2.1, notably on the selection of the actual areas for support (pages 81/82), practical functioning of the initiative and comparison of IHI activities with those of IMI2 JU (pages 82-83).</w:t>
            </w:r>
          </w:p>
        </w:tc>
      </w:tr>
    </w:tbl>
    <w:p>
      <w:pPr>
        <w:spacing w:before="100" w:beforeAutospacing="1" w:after="100" w:afterAutospacing="1"/>
        <w:rPr>
          <w:noProof/>
        </w:rPr>
      </w:pPr>
    </w:p>
    <w:p>
      <w:pPr>
        <w:spacing w:before="100" w:beforeAutospacing="1" w:after="100" w:afterAutospacing="1"/>
        <w:rPr>
          <w:noProof/>
          <w:szCs w:val="24"/>
        </w:rPr>
      </w:pPr>
      <w:r>
        <w:rPr>
          <w:noProof/>
          <w:szCs w:val="24"/>
        </w:rPr>
        <w:t>Furthermore, the whole text was revised to provide more clarity on the aspects raised in the “Further considerations and adjustment requirements” section of RSB opinion. The main of these revisions are listed below:</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presentation of stakeholder views in all sections were re-visited (throughout the whole text). </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reasons for the change of scope from IMI2 JU further were explained (section 6.4, pages 82/83). </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The definitions of specific and general objectives were adjusted to better convey the intended content (Sections 4.1 and 4.2 in pages 43-46, and in related figures).</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intervention logic was revisited to provide more clarity and to better explain the interdependencies between objectives, problems and their drivers (Sections 4.2 and 4.3, pages 48-50). </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The differences between the various partnership forms considered in the report were explained in more detail, notably for an Institutionalised Partnership (Sections 5 and 6, page 58, 59, 70, 73-74).</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Discrepancies in the scoring of options were removed and further explanation was added to justify certain conclusions and scores (throughout Section 6).</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The analysis of the options is better linked to the objectives (Sections 5 and 6).</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A clear justification for the choice of Horizon Europe calls as baseline, rather than a continuation of the current partnership, was provided in Section 5.1 (page 56).</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The advantages of a dedicated Programme Office were presented in Section 6.4 (page 77).</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The analysis of risks and uncertainties of the final choice was provided in Section 6.4 (page 77).</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Targets by the end of the initiative were presented together with the proposed monitoring indicators in Section 7.2 (pages 84-86).</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A statement was added to clarify that the comparison and choice of the options is a qualitative judgement rather than a quantitation (Section 6.4, page 75).</w:t>
      </w:r>
    </w:p>
    <w:p>
      <w:pPr>
        <w:pStyle w:val="ListParagraph"/>
        <w:numPr>
          <w:ilvl w:val="0"/>
          <w:numId w:val="61"/>
        </w:numPr>
        <w:spacing w:before="100" w:beforeAutospacing="1" w:after="100" w:afterAutospacing="1"/>
        <w:ind w:left="284" w:hanging="284"/>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Numerous revisions were made to increase readability and strengthen the argumentation, also using more examples, and taking into account various technical comments received from the RSB. The content of the text was also updated to reflect developments in the preparation of the partnership that took place since the RSB assessment (throughout the whole text), including making the general objectives (page 43), the operational objectives (pages 80-81), the indicators and targets (pages 84-86) more measurable and representative of the partnership. </w:t>
      </w:r>
    </w:p>
    <w:p>
      <w:pPr>
        <w:spacing w:before="100" w:beforeAutospacing="1" w:after="100" w:afterAutospacing="1"/>
        <w:rPr>
          <w:noProof/>
        </w:rPr>
      </w:pPr>
      <w:r>
        <w:rPr>
          <w:noProof/>
        </w:rPr>
        <w:br w:type="page"/>
      </w:r>
    </w:p>
    <w:p>
      <w:pPr>
        <w:pStyle w:val="AnnexTitle"/>
        <w:numPr>
          <w:ilvl w:val="0"/>
          <w:numId w:val="0"/>
        </w:numPr>
        <w:spacing w:before="100" w:beforeAutospacing="1" w:after="100" w:afterAutospacing="1"/>
        <w:ind w:left="2268" w:hanging="2268"/>
        <w:rPr>
          <w:noProof/>
        </w:rPr>
      </w:pPr>
      <w:bookmarkStart w:id="3" w:name="_Toc52793599"/>
      <w:bookmarkStart w:id="4" w:name="_Toc26452662"/>
      <w:r>
        <w:rPr>
          <w:noProof/>
        </w:rPr>
        <w:t>Annex 2</w:t>
      </w:r>
      <w:r>
        <w:rPr>
          <w:noProof/>
        </w:rPr>
        <w:tab/>
        <w:t>Stakeholder Consultation</w:t>
      </w:r>
      <w:bookmarkEnd w:id="3"/>
    </w:p>
    <w:p>
      <w:pPr>
        <w:pStyle w:val="Heading1"/>
        <w:spacing w:before="100" w:beforeAutospacing="1" w:after="100" w:afterAutospacing="1"/>
        <w:rPr>
          <w:noProof/>
        </w:rPr>
      </w:pPr>
      <w:bookmarkStart w:id="5" w:name="_Toc52793600"/>
      <w:r>
        <w:rPr>
          <w:noProof/>
        </w:rPr>
        <w:t>Overview for all candidate institutionalised European Partnerships</w:t>
      </w:r>
      <w:bookmarkEnd w:id="5"/>
    </w:p>
    <w:p>
      <w:pPr>
        <w:pStyle w:val="Heading2"/>
        <w:spacing w:before="100" w:beforeAutospacing="1" w:after="100" w:afterAutospacing="1"/>
        <w:rPr>
          <w:noProof/>
        </w:rPr>
      </w:pPr>
      <w:bookmarkStart w:id="6" w:name="_Toc52793601"/>
      <w:r>
        <w:rPr>
          <w:noProof/>
        </w:rPr>
        <w:t>Introduction</w:t>
      </w:r>
      <w:bookmarkEnd w:id="6"/>
    </w:p>
    <w:p>
      <w:pPr>
        <w:pStyle w:val="Text2"/>
        <w:spacing w:before="100" w:beforeAutospacing="1" w:after="100" w:afterAutospacing="1"/>
        <w:ind w:left="0"/>
        <w:rPr>
          <w:noProof/>
        </w:rPr>
      </w:pPr>
      <w:r>
        <w:rPr>
          <w:noProof/>
        </w:rPr>
        <w:t>In line with the Better Regulation Guidelines,</w:t>
      </w:r>
      <w:r>
        <w:rPr>
          <w:noProof/>
          <w:vertAlign w:val="superscript"/>
        </w:rPr>
        <w:footnoteReference w:id="2"/>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pStyle w:val="Text2"/>
        <w:numPr>
          <w:ilvl w:val="0"/>
          <w:numId w:val="29"/>
        </w:numPr>
        <w:spacing w:before="100" w:beforeAutospacing="1" w:after="100" w:afterAutospacing="1"/>
        <w:ind w:left="284" w:hanging="284"/>
        <w:contextualSpacing/>
        <w:rPr>
          <w:noProof/>
        </w:rPr>
      </w:pPr>
      <w:r>
        <w:rPr>
          <w:noProof/>
        </w:rPr>
        <w:t>A feedback phase on the inception impact assessments of the candidate initiatives in August 2019, gathering 350 replies for all 12 initiatives on the “Have your say” web portal during a period of 3 weeks;</w:t>
      </w:r>
    </w:p>
    <w:p>
      <w:pPr>
        <w:pStyle w:val="Text2"/>
        <w:numPr>
          <w:ilvl w:val="0"/>
          <w:numId w:val="29"/>
        </w:numPr>
        <w:spacing w:before="100" w:beforeAutospacing="1" w:after="100" w:afterAutospacing="1"/>
        <w:ind w:left="284" w:hanging="284"/>
        <w:contextualSpacing/>
        <w:rPr>
          <w:noProof/>
        </w:rPr>
      </w:pPr>
      <w:r>
        <w:rPr>
          <w:noProof/>
        </w:rPr>
        <w:t xml:space="preserve">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Text2"/>
        <w:numPr>
          <w:ilvl w:val="0"/>
          <w:numId w:val="29"/>
        </w:numPr>
        <w:spacing w:before="100" w:beforeAutospacing="1" w:after="100" w:afterAutospacing="1"/>
        <w:ind w:left="284" w:hanging="284"/>
        <w:contextualSpacing/>
        <w:rPr>
          <w:noProof/>
        </w:rPr>
      </w:pPr>
      <w:r>
        <w:rPr>
          <w:noProof/>
        </w:rPr>
        <w:t>An online public stakeholder consultation administered by the EC, based on a structured questionnaire, open between September and November 2019, gathering 1635 replies for all 12 initiatives;</w:t>
      </w:r>
    </w:p>
    <w:p>
      <w:pPr>
        <w:pStyle w:val="Text2"/>
        <w:numPr>
          <w:ilvl w:val="0"/>
          <w:numId w:val="29"/>
        </w:numPr>
        <w:spacing w:before="100" w:beforeAutospacing="1" w:after="100" w:afterAutospacing="1"/>
        <w:ind w:left="284" w:hanging="284"/>
        <w:contextualSpacing/>
        <w:rPr>
          <w:noProof/>
        </w:rPr>
      </w:pPr>
      <w:r>
        <w:rPr>
          <w:noProof/>
        </w:rPr>
        <w:t>A targeted consultation run by the external study contractors with a total of 608 interviews performed as part of the thematic studies by the different study teams between August 2019 and January 2020.</w:t>
      </w:r>
    </w:p>
    <w:p>
      <w:pPr>
        <w:pStyle w:val="Heading2"/>
        <w:spacing w:before="100" w:beforeAutospacing="1" w:after="100" w:afterAutospacing="1"/>
        <w:rPr>
          <w:noProof/>
        </w:rPr>
      </w:pPr>
      <w:bookmarkStart w:id="7" w:name="_Toc52793602"/>
      <w:r>
        <w:rPr>
          <w:noProof/>
        </w:rPr>
        <w:t>Horizontal results of the Open Public Consultation</w:t>
      </w:r>
      <w:bookmarkEnd w:id="7"/>
    </w:p>
    <w:p>
      <w:pPr>
        <w:pStyle w:val="Text2"/>
        <w:spacing w:before="100" w:beforeAutospacing="1" w:after="100" w:afterAutospacing="1"/>
        <w:ind w:left="0"/>
        <w:rPr>
          <w:noProof/>
        </w:rPr>
      </w:pPr>
      <w:r>
        <w:rPr>
          <w:noProof/>
        </w:rPr>
        <w:t>The consultation was open to everyone via the EU Survey online system</w:t>
      </w:r>
      <w:r>
        <w:rPr>
          <w:noProof/>
          <w:vertAlign w:val="superscript"/>
        </w:rPr>
        <w:footnoteReference w:id="3"/>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till 12 November 2019. The consultation was available in English, German and French and advertised widely through the European Commission’s online channels as well as via various stakeholder organisations. </w:t>
      </w:r>
    </w:p>
    <w:p>
      <w:pPr>
        <w:pStyle w:val="Heading3"/>
        <w:spacing w:before="100" w:beforeAutospacing="1" w:after="100" w:afterAutospacing="1"/>
        <w:rPr>
          <w:noProof/>
        </w:rPr>
      </w:pPr>
      <w:bookmarkStart w:id="8" w:name="_Toc52793603"/>
      <w:r>
        <w:rPr>
          <w:noProof/>
        </w:rPr>
        <w:t>Profile of respondents</w:t>
      </w:r>
      <w:bookmarkEnd w:id="4"/>
      <w:bookmarkEnd w:id="8"/>
    </w:p>
    <w:p>
      <w:pPr>
        <w:spacing w:before="100" w:beforeAutospacing="1" w:after="100" w:afterAutospacing="1"/>
        <w:rPr>
          <w:noProof/>
        </w:rPr>
      </w:pPr>
      <w:r>
        <w:rPr>
          <w:noProof/>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rPr>
        <w:t xml:space="preserve">‘campaigns’, </w:t>
      </w:r>
      <w:r>
        <w:rPr>
          <w:noProof/>
        </w:rPr>
        <w:t>segregated and analysed separately and from other responses. In total 11 campaigns were identified, the largest of them includes 57 respondents</w:t>
      </w:r>
      <w:r>
        <w:rPr>
          <w:rStyle w:val="FootnoteReference"/>
          <w:noProof/>
        </w:rPr>
        <w:footnoteReference w:id="4"/>
      </w:r>
      <w:r>
        <w:rPr>
          <w:noProof/>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spacing w:before="100" w:beforeAutospacing="1" w:after="100" w:afterAutospacing="1"/>
        <w:rPr>
          <w:i/>
          <w:noProof/>
          <w:sz w:val="22"/>
        </w:rPr>
      </w:pPr>
      <w:bookmarkStart w:id="9" w:name="_Ref25070147"/>
      <w:r>
        <w:rPr>
          <w:i/>
          <w:noProof/>
          <w:sz w:val="22"/>
        </w:rPr>
        <w:t>Table 1</w:t>
      </w:r>
      <w:bookmarkEnd w:id="9"/>
      <w:r>
        <w:rPr>
          <w:i/>
          <w:noProof/>
          <w:sz w:val="22"/>
        </w:rPr>
        <w:t>: Country of origin of respondents (N=1635)</w:t>
      </w:r>
    </w:p>
    <w:tbl>
      <w:tblPr>
        <w:tblStyle w:val="ECRTDIPIA"/>
        <w:tblW w:w="0" w:type="auto"/>
        <w:tblLook w:val="04A0" w:firstRow="1" w:lastRow="0" w:firstColumn="1" w:lastColumn="0" w:noHBand="0" w:noVBand="1"/>
      </w:tblPr>
      <w:tblGrid>
        <w:gridCol w:w="5853"/>
        <w:gridCol w:w="1627"/>
        <w:gridCol w:w="1747"/>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Country</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Number of respondents</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Percentage of respondents</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Germany</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254</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15.54%</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Italy</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221</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13.52%</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France</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175</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10.70%</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Spain</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173</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10.58%</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Belgium</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140</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8.56%</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The Netherlands</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86</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5.26%</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Austria; United Kingdom</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61</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3.73%</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Finland</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49</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3.00%</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Sweden</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48</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2.94%</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Poland</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45</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2.75%</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Portugal</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32</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1.96%</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Switzerland</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28</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1.71%</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Czechia</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24</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1.47%</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Greece</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23</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1.41%</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Norway; Romania</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22</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1.35%</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Denmark</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20</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1.22%</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Turkey</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19</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1.16%</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Hungary</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14</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0.86%</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Ireland</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12</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0.73%</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United States</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11</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0.67%</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Estonia; Slovakia; Slovenia</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10</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0.61%</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Bulgaria; Latvia</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9</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0.55%</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Bosnia and Herzegovina</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7</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0.43%</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Lithuania</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4</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0.24%</w:t>
            </w:r>
          </w:p>
        </w:tc>
      </w:tr>
      <w:tr>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Canada; Croatia; Israel</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3</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0.18%</w:t>
            </w:r>
          </w:p>
        </w:tc>
      </w:tr>
      <w:tr>
        <w:tc>
          <w:tcPr>
            <w:tcW w:w="0" w:type="auto"/>
            <w:vAlign w:val="center"/>
          </w:tcPr>
          <w:p>
            <w:pPr>
              <w:spacing w:before="100" w:beforeAutospacing="1" w:after="100" w:afterAutospacing="1"/>
              <w:rPr>
                <w:rFonts w:ascii="Times New Roman" w:hAnsi="Times New Roman"/>
                <w:noProof/>
                <w:sz w:val="20"/>
                <w:lang w:val="fr-BE"/>
              </w:rPr>
            </w:pPr>
            <w:r>
              <w:rPr>
                <w:rFonts w:ascii="Times New Roman" w:hAnsi="Times New Roman"/>
                <w:noProof/>
                <w:sz w:val="20"/>
                <w:lang w:val="fr-BE"/>
              </w:rPr>
              <w:t>China; Ghana; Iceland; Japan; Luxembourg; Morocco</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2</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0.12%</w:t>
            </w:r>
          </w:p>
        </w:tc>
      </w:tr>
      <w:tr>
        <w:trPr>
          <w:trHeight w:val="643"/>
        </w:trPr>
        <w:tc>
          <w:tcPr>
            <w:tcW w:w="0" w:type="auto"/>
            <w:vAlign w:val="center"/>
          </w:tcPr>
          <w:p>
            <w:pPr>
              <w:spacing w:before="100" w:beforeAutospacing="1" w:after="100" w:afterAutospacing="1"/>
              <w:rPr>
                <w:rFonts w:ascii="Times New Roman" w:hAnsi="Times New Roman"/>
                <w:noProof/>
                <w:sz w:val="20"/>
                <w:lang w:val="it-IT"/>
              </w:rPr>
            </w:pPr>
            <w:r>
              <w:rPr>
                <w:rFonts w:ascii="Times New Roman" w:hAnsi="Times New Roman"/>
                <w:noProof/>
                <w:sz w:val="20"/>
                <w:lang w:val="it-IT"/>
              </w:rPr>
              <w:t>Bhutan; Botswana; Cyprus; Iran; Malta; Mexico; Moldova; Mongolia; Palestine; Russia; Serbia; South Africa; Tunisia; Ukraine; Uruguay</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1</w:t>
            </w:r>
          </w:p>
        </w:tc>
        <w:tc>
          <w:tcPr>
            <w:tcW w:w="0" w:type="auto"/>
            <w:vAlign w:val="center"/>
          </w:tcPr>
          <w:p>
            <w:pPr>
              <w:spacing w:before="100" w:beforeAutospacing="1" w:after="100" w:afterAutospacing="1"/>
              <w:rPr>
                <w:rFonts w:ascii="Times New Roman" w:hAnsi="Times New Roman"/>
                <w:noProof/>
                <w:sz w:val="20"/>
              </w:rPr>
            </w:pPr>
            <w:r>
              <w:rPr>
                <w:rFonts w:ascii="Times New Roman" w:hAnsi="Times New Roman"/>
                <w:noProof/>
                <w:sz w:val="20"/>
              </w:rPr>
              <w:t>0.06%</w:t>
            </w:r>
          </w:p>
        </w:tc>
      </w:tr>
    </w:tbl>
    <w:p>
      <w:pPr>
        <w:spacing w:before="100" w:beforeAutospacing="1" w:after="100" w:afterAutospacing="1"/>
        <w:rPr>
          <w:noProof/>
        </w:rPr>
      </w:pPr>
      <w:r>
        <w:rPr>
          <w:noProof/>
        </w:rPr>
        <w:t xml:space="preserve">As shown in Figure 2, the three biggest </w:t>
      </w:r>
      <w:r>
        <w:rPr>
          <w:b/>
          <w:noProof/>
        </w:rPr>
        <w:t>categories of</w:t>
      </w:r>
      <w:r>
        <w:rPr>
          <w:noProof/>
        </w:rPr>
        <w:t xml:space="preserve"> </w:t>
      </w:r>
      <w:r>
        <w:rPr>
          <w:b/>
          <w:noProof/>
        </w:rPr>
        <w:t>respondents</w:t>
      </w:r>
      <w:r>
        <w:rPr>
          <w:noProof/>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pStyle w:val="Caption"/>
        <w:keepNext/>
        <w:spacing w:before="100" w:beforeAutospacing="1" w:after="100" w:afterAutospacing="1"/>
        <w:rPr>
          <w:noProof/>
        </w:rPr>
      </w:pPr>
      <w:r>
        <w:rPr>
          <w:noProof/>
        </w:rPr>
        <w:t>Figure 2. Type of respondents (N=1635) - For all candidate initiatives</w:t>
      </w:r>
    </w:p>
    <w:p>
      <w:pPr>
        <w:spacing w:before="100" w:beforeAutospacing="1" w:after="100" w:afterAutospacing="1"/>
        <w:rPr>
          <w:noProof/>
        </w:rPr>
      </w:pPr>
      <w:r>
        <w:rPr>
          <w:noProof/>
          <w:lang w:eastAsia="en-GB"/>
        </w:rPr>
        <w:drawing>
          <wp:inline distT="0" distB="0" distL="0" distR="0">
            <wp:extent cx="5635796" cy="1454400"/>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8855" cy="1460351"/>
                    </a:xfrm>
                    <a:prstGeom prst="rect">
                      <a:avLst/>
                    </a:prstGeom>
                  </pic:spPr>
                </pic:pic>
              </a:graphicData>
            </a:graphic>
          </wp:inline>
        </w:drawing>
      </w:r>
    </w:p>
    <w:p>
      <w:pPr>
        <w:spacing w:before="100" w:beforeAutospacing="1" w:after="100" w:afterAutospacing="1"/>
        <w:rPr>
          <w:b/>
          <w:i/>
          <w:noProof/>
          <w:szCs w:val="22"/>
        </w:rPr>
      </w:pPr>
      <w:r>
        <w:rPr>
          <w:noProof/>
        </w:rPr>
        <w:t xml:space="preserve">Among all consultation respondents, 1303 (79.69%) have been </w:t>
      </w:r>
      <w:r>
        <w:rPr>
          <w:b/>
          <w:noProof/>
        </w:rPr>
        <w:t>involved in the on-going research and innovation framework programme</w:t>
      </w:r>
      <w:r>
        <w:rPr>
          <w:noProof/>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bookmarkStart w:id="10" w:name="_Ref31554571"/>
    </w:p>
    <w:bookmarkEnd w:id="10"/>
    <w:p>
      <w:pPr>
        <w:pStyle w:val="Body"/>
        <w:spacing w:before="100" w:beforeAutospacing="1" w:after="100" w:afterAutospacing="1"/>
        <w:rPr>
          <w:noProof/>
          <w:sz w:val="24"/>
        </w:rPr>
      </w:pPr>
      <w:r>
        <w:rPr>
          <w:noProof/>
          <w:sz w:val="24"/>
        </w:rPr>
        <w:t xml:space="preserve">Among those who have been involved in Horizon 2020 or the preceding Framework Programme 7, 1035 respondents (79.43%) are/were </w:t>
      </w:r>
      <w:r>
        <w:rPr>
          <w:b/>
          <w:noProof/>
          <w:sz w:val="24"/>
        </w:rPr>
        <w:t>involved in a partnership</w:t>
      </w:r>
      <w:r>
        <w:rPr>
          <w:noProof/>
          <w:sz w:val="24"/>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Table 2,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pStyle w:val="Body"/>
        <w:spacing w:before="100" w:beforeAutospacing="1" w:after="100" w:afterAutospacing="1"/>
        <w:rPr>
          <w:noProof/>
          <w:sz w:val="24"/>
        </w:rPr>
      </w:pPr>
      <w:r>
        <w:rPr>
          <w:noProof/>
          <w:sz w:val="24"/>
        </w:rPr>
        <w:t xml:space="preserve">When respondents were asked in which </w:t>
      </w:r>
      <w:r>
        <w:rPr>
          <w:b/>
          <w:noProof/>
          <w:sz w:val="24"/>
        </w:rPr>
        <w:t>role</w:t>
      </w:r>
      <w:r>
        <w:rPr>
          <w:noProof/>
          <w:sz w:val="24"/>
        </w:rPr>
        <w:t>(s</w:t>
      </w:r>
      <w:r>
        <w:rPr>
          <w:b/>
          <w:noProof/>
          <w:sz w:val="24"/>
        </w:rPr>
        <w:t>) they participate(d) in a</w:t>
      </w:r>
      <w:r>
        <w:rPr>
          <w:noProof/>
          <w:sz w:val="24"/>
        </w:rPr>
        <w:t xml:space="preserve"> </w:t>
      </w:r>
      <w:r>
        <w:rPr>
          <w:b/>
          <w:noProof/>
          <w:sz w:val="24"/>
        </w:rPr>
        <w:t>partnership</w:t>
      </w:r>
      <w:r>
        <w:rPr>
          <w:noProof/>
          <w:sz w:val="24"/>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pStyle w:val="Caption"/>
        <w:keepNext/>
        <w:spacing w:before="100" w:beforeAutospacing="1" w:after="100" w:afterAutospacing="1"/>
        <w:rPr>
          <w:noProof/>
        </w:rPr>
      </w:pPr>
      <w:r>
        <w:rPr>
          <w:noProof/>
        </w:rPr>
        <w:t>Table 2: Partnerships in which consultation respondents participated (N=1035)</w:t>
      </w:r>
    </w:p>
    <w:tbl>
      <w:tblPr>
        <w:tblStyle w:val="ECRTDIPIA"/>
        <w:tblW w:w="9460" w:type="dxa"/>
        <w:tblLook w:val="04A0" w:firstRow="1" w:lastRow="0" w:firstColumn="1" w:lastColumn="0" w:noHBand="0" w:noVBand="1"/>
      </w:tblPr>
      <w:tblGrid>
        <w:gridCol w:w="1912"/>
        <w:gridCol w:w="1290"/>
        <w:gridCol w:w="1345"/>
        <w:gridCol w:w="699"/>
        <w:gridCol w:w="699"/>
        <w:gridCol w:w="699"/>
        <w:gridCol w:w="699"/>
        <w:gridCol w:w="699"/>
        <w:gridCol w:w="699"/>
        <w:gridCol w:w="719"/>
      </w:tblGrid>
      <w:tr>
        <w:trPr>
          <w:cnfStyle w:val="100000000000" w:firstRow="1" w:lastRow="0" w:firstColumn="0" w:lastColumn="0" w:oddVBand="0" w:evenVBand="0" w:oddHBand="0" w:evenHBand="0" w:firstRowFirstColumn="0" w:firstRowLastColumn="0" w:lastRowFirstColumn="0" w:lastRowLastColumn="0"/>
          <w:cantSplit/>
          <w:trHeight w:val="1803"/>
          <w:tblHeader/>
        </w:trPr>
        <w:tc>
          <w:tcPr>
            <w:tcW w:w="2356" w:type="dxa"/>
            <w:vAlign w:val="center"/>
            <w:hideMark/>
          </w:tcPr>
          <w:p>
            <w:pPr>
              <w:spacing w:before="100" w:beforeAutospacing="1" w:after="100" w:afterAutospacing="1"/>
              <w:rPr>
                <w:rFonts w:ascii="Times New Roman" w:hAnsi="Times New Roman"/>
                <w:b/>
                <w:noProof/>
                <w:sz w:val="20"/>
              </w:rPr>
            </w:pPr>
            <w:r>
              <w:rPr>
                <w:rFonts w:ascii="Times New Roman" w:hAnsi="Times New Roman"/>
                <w:b/>
                <w:noProof/>
                <w:sz w:val="20"/>
              </w:rPr>
              <w:t>Name of the partnership</w:t>
            </w:r>
          </w:p>
        </w:tc>
        <w:tc>
          <w:tcPr>
            <w:tcW w:w="1250" w:type="dxa"/>
            <w:vAlign w:val="center"/>
            <w:hideMark/>
          </w:tcPr>
          <w:p>
            <w:pPr>
              <w:spacing w:before="100" w:beforeAutospacing="1" w:after="100" w:afterAutospacing="1"/>
              <w:rPr>
                <w:rFonts w:ascii="Times New Roman" w:hAnsi="Times New Roman"/>
                <w:b/>
                <w:noProof/>
                <w:sz w:val="20"/>
              </w:rPr>
            </w:pPr>
            <w:r>
              <w:rPr>
                <w:rFonts w:ascii="Times New Roman" w:hAnsi="Times New Roman"/>
                <w:b/>
                <w:noProof/>
                <w:sz w:val="20"/>
              </w:rPr>
              <w:t xml:space="preserve">Number and % of respondents from both groups </w:t>
            </w:r>
          </w:p>
          <w:p>
            <w:pPr>
              <w:spacing w:before="100" w:beforeAutospacing="1" w:after="100" w:afterAutospacing="1"/>
              <w:rPr>
                <w:rFonts w:ascii="Times New Roman" w:hAnsi="Times New Roman"/>
                <w:b/>
                <w:noProof/>
                <w:sz w:val="20"/>
              </w:rPr>
            </w:pPr>
            <w:r>
              <w:rPr>
                <w:rFonts w:ascii="Times New Roman" w:hAnsi="Times New Roman"/>
                <w:b/>
                <w:noProof/>
                <w:sz w:val="20"/>
              </w:rPr>
              <w:t>(n=1035)</w:t>
            </w:r>
          </w:p>
        </w:tc>
        <w:tc>
          <w:tcPr>
            <w:tcW w:w="1364" w:type="dxa"/>
            <w:vAlign w:val="center"/>
            <w:hideMark/>
          </w:tcPr>
          <w:p>
            <w:pPr>
              <w:spacing w:before="100" w:beforeAutospacing="1" w:after="100" w:afterAutospacing="1"/>
              <w:rPr>
                <w:rFonts w:ascii="Times New Roman" w:hAnsi="Times New Roman"/>
                <w:b/>
                <w:noProof/>
                <w:sz w:val="20"/>
              </w:rPr>
            </w:pPr>
            <w:r>
              <w:rPr>
                <w:rFonts w:ascii="Times New Roman" w:hAnsi="Times New Roman"/>
                <w:b/>
                <w:noProof/>
                <w:sz w:val="20"/>
              </w:rPr>
              <w:t>Number and % of respondents from a non-campaign group</w:t>
            </w:r>
          </w:p>
          <w:p>
            <w:pPr>
              <w:spacing w:before="100" w:beforeAutospacing="1" w:after="100" w:afterAutospacing="1"/>
              <w:rPr>
                <w:rFonts w:ascii="Times New Roman" w:hAnsi="Times New Roman"/>
                <w:b/>
                <w:noProof/>
                <w:sz w:val="20"/>
              </w:rPr>
            </w:pPr>
            <w:r>
              <w:rPr>
                <w:rFonts w:ascii="Times New Roman" w:hAnsi="Times New Roman"/>
                <w:b/>
                <w:noProof/>
                <w:sz w:val="20"/>
              </w:rPr>
              <w:t>(n=815)</w:t>
            </w:r>
          </w:p>
        </w:tc>
        <w:tc>
          <w:tcPr>
            <w:tcW w:w="579" w:type="dxa"/>
            <w:textDirection w:val="btLr"/>
            <w:hideMark/>
          </w:tcPr>
          <w:p>
            <w:pPr>
              <w:spacing w:before="100" w:beforeAutospacing="1" w:after="100" w:afterAutospacing="1"/>
              <w:ind w:left="113" w:right="113"/>
              <w:rPr>
                <w:rFonts w:ascii="Times New Roman" w:hAnsi="Times New Roman"/>
                <w:b/>
                <w:noProof/>
                <w:sz w:val="20"/>
              </w:rPr>
            </w:pPr>
            <w:r>
              <w:rPr>
                <w:rFonts w:ascii="Times New Roman" w:hAnsi="Times New Roman"/>
                <w:b/>
                <w:noProof/>
                <w:sz w:val="20"/>
              </w:rPr>
              <w:t>Academic/research institutions</w:t>
            </w:r>
          </w:p>
        </w:tc>
        <w:tc>
          <w:tcPr>
            <w:tcW w:w="580" w:type="dxa"/>
            <w:textDirection w:val="btLr"/>
            <w:hideMark/>
          </w:tcPr>
          <w:p>
            <w:pPr>
              <w:spacing w:before="100" w:beforeAutospacing="1" w:after="100" w:afterAutospacing="1"/>
              <w:ind w:left="113" w:right="113"/>
              <w:rPr>
                <w:rFonts w:ascii="Times New Roman" w:hAnsi="Times New Roman"/>
                <w:b/>
                <w:noProof/>
                <w:sz w:val="20"/>
              </w:rPr>
            </w:pPr>
            <w:r>
              <w:rPr>
                <w:rFonts w:ascii="Times New Roman" w:hAnsi="Times New Roman"/>
                <w:b/>
                <w:noProof/>
                <w:sz w:val="20"/>
              </w:rPr>
              <w:t>Business associations</w:t>
            </w:r>
          </w:p>
        </w:tc>
        <w:tc>
          <w:tcPr>
            <w:tcW w:w="579" w:type="dxa"/>
            <w:textDirection w:val="btLr"/>
            <w:hideMark/>
          </w:tcPr>
          <w:p>
            <w:pPr>
              <w:spacing w:before="100" w:beforeAutospacing="1" w:after="100" w:afterAutospacing="1"/>
              <w:ind w:left="113" w:right="113"/>
              <w:rPr>
                <w:rFonts w:ascii="Times New Roman" w:hAnsi="Times New Roman"/>
                <w:b/>
                <w:noProof/>
                <w:sz w:val="20"/>
              </w:rPr>
            </w:pPr>
            <w:r>
              <w:rPr>
                <w:rFonts w:ascii="Times New Roman" w:hAnsi="Times New Roman"/>
                <w:b/>
                <w:noProof/>
                <w:sz w:val="20"/>
              </w:rPr>
              <w:t>Company/business organisations (&lt;250)</w:t>
            </w:r>
          </w:p>
        </w:tc>
        <w:tc>
          <w:tcPr>
            <w:tcW w:w="580" w:type="dxa"/>
            <w:textDirection w:val="btLr"/>
            <w:hideMark/>
          </w:tcPr>
          <w:p>
            <w:pPr>
              <w:spacing w:before="100" w:beforeAutospacing="1" w:after="100" w:afterAutospacing="1"/>
              <w:ind w:left="113" w:right="113"/>
              <w:rPr>
                <w:rFonts w:ascii="Times New Roman" w:hAnsi="Times New Roman"/>
                <w:b/>
                <w:noProof/>
                <w:sz w:val="20"/>
              </w:rPr>
            </w:pPr>
            <w:r>
              <w:rPr>
                <w:rFonts w:ascii="Times New Roman" w:hAnsi="Times New Roman"/>
                <w:b/>
                <w:noProof/>
                <w:sz w:val="20"/>
              </w:rPr>
              <w:t>Company/business organisations (250+)</w:t>
            </w:r>
          </w:p>
        </w:tc>
        <w:tc>
          <w:tcPr>
            <w:tcW w:w="579" w:type="dxa"/>
            <w:textDirection w:val="btLr"/>
            <w:hideMark/>
          </w:tcPr>
          <w:p>
            <w:pPr>
              <w:spacing w:before="100" w:beforeAutospacing="1" w:after="100" w:afterAutospacing="1"/>
              <w:ind w:left="113" w:right="113"/>
              <w:rPr>
                <w:rFonts w:ascii="Times New Roman" w:hAnsi="Times New Roman"/>
                <w:b/>
                <w:noProof/>
                <w:sz w:val="20"/>
              </w:rPr>
            </w:pPr>
            <w:r>
              <w:rPr>
                <w:rFonts w:ascii="Times New Roman" w:hAnsi="Times New Roman"/>
                <w:b/>
                <w:noProof/>
                <w:sz w:val="20"/>
              </w:rPr>
              <w:t>EU citizens</w:t>
            </w:r>
          </w:p>
        </w:tc>
        <w:tc>
          <w:tcPr>
            <w:tcW w:w="580" w:type="dxa"/>
            <w:textDirection w:val="btLr"/>
            <w:hideMark/>
          </w:tcPr>
          <w:p>
            <w:pPr>
              <w:spacing w:before="100" w:beforeAutospacing="1" w:after="100" w:afterAutospacing="1"/>
              <w:ind w:left="113" w:right="113"/>
              <w:rPr>
                <w:rFonts w:ascii="Times New Roman" w:hAnsi="Times New Roman"/>
                <w:b/>
                <w:noProof/>
                <w:sz w:val="20"/>
              </w:rPr>
            </w:pPr>
            <w:r>
              <w:rPr>
                <w:rFonts w:ascii="Times New Roman" w:hAnsi="Times New Roman"/>
                <w:b/>
                <w:noProof/>
                <w:sz w:val="20"/>
              </w:rPr>
              <w:t>NGOs</w:t>
            </w:r>
          </w:p>
        </w:tc>
        <w:tc>
          <w:tcPr>
            <w:tcW w:w="573" w:type="dxa"/>
            <w:textDirection w:val="btLr"/>
            <w:hideMark/>
          </w:tcPr>
          <w:p>
            <w:pPr>
              <w:spacing w:before="100" w:beforeAutospacing="1" w:after="100" w:afterAutospacing="1"/>
              <w:ind w:left="113" w:right="113"/>
              <w:rPr>
                <w:rFonts w:ascii="Times New Roman" w:hAnsi="Times New Roman"/>
                <w:b/>
                <w:noProof/>
                <w:sz w:val="20"/>
              </w:rPr>
            </w:pPr>
            <w:r>
              <w:rPr>
                <w:rFonts w:ascii="Times New Roman" w:hAnsi="Times New Roman"/>
                <w:b/>
                <w:noProof/>
                <w:sz w:val="20"/>
              </w:rPr>
              <w:t>Public authority</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 xml:space="preserve">Fuel Cells and Hydrogen 2 (FCH2) Joint Undertaking </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354 (33.33%)</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247 (30.31%)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97</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43</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41</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8</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Clean Sky 2 Joint Undertaking</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195 (18.84%)</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145 (17.79%)</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57</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European Metrology Programme for Innovation and Research (EMPIR)</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150 (14.49%)</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124 (15.21%)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64</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13</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19</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Bio-Based Industries Joint Undertaking</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142 (13.72%)</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122 (14.97%)</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39</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8</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Shift2Rail Joint Undertaking</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124 (11.98%)</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101 (12.40%)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31</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7</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Electronic Components and Systems for European Leadership (ECSEL) Joint Undertaking</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111 (10.72%)</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88 (10.80%)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42</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Single European Sky Air Traffic Management Research (SESAR) Joint Undertaking</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66 (6.38%)</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46 (5.64%)</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r>
      <w:tr>
        <w:trPr>
          <w:trHeight w:val="317"/>
        </w:trP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5G (5G PPP)</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53 (5.12%)</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47 (5.77%)</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14</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Eurostrars-2 (supporting research-performing small and medium-sized enterprises)</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44 (4.25%)</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40 (4.91%)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17</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Innovative Medicines Initiative 2 (IMI2) Joint Undertaking</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37 (3.57%)</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35 (4.29%)</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18</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4</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Partnership for Research and Innovation in the Mediterranean Area (PRIMA)</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28 (2.71%)</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26 (3.19%)</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15</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European and Developing Countries Clinical Trials Partnership</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25 (2.42%)</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24 (2.94%)</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Ambient Assisted Living (AAL 2)</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22 (2.13%)</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21 (2.58%)</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11</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European High-Performance Computing Joint Undertaking (EuroHPC)</w:t>
            </w:r>
          </w:p>
        </w:tc>
        <w:tc>
          <w:tcPr>
            <w:tcW w:w="1250"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22 (2.13%)</w:t>
            </w:r>
          </w:p>
        </w:tc>
        <w:tc>
          <w:tcPr>
            <w:tcW w:w="1364"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18 (2.21%)</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before="100" w:beforeAutospacing="1" w:after="100" w:afterAutospacing="1"/>
              <w:jc w:val="center"/>
              <w:rPr>
                <w:rFonts w:ascii="Times New Roman" w:hAnsi="Times New Roman"/>
                <w:noProof/>
                <w:sz w:val="20"/>
              </w:rPr>
            </w:pPr>
            <w:r>
              <w:rPr>
                <w:rFonts w:ascii="Times New Roman" w:hAnsi="Times New Roman"/>
                <w:noProof/>
                <w:sz w:val="20"/>
              </w:rPr>
              <w:t>2</w:t>
            </w:r>
          </w:p>
        </w:tc>
      </w:tr>
    </w:tbl>
    <w:p>
      <w:pPr>
        <w:spacing w:before="100" w:beforeAutospacing="1" w:after="100" w:afterAutospacing="1"/>
        <w:jc w:val="left"/>
        <w:rPr>
          <w:noProof/>
        </w:rPr>
      </w:pPr>
    </w:p>
    <w:p>
      <w:pPr>
        <w:pStyle w:val="Body"/>
        <w:spacing w:before="100" w:beforeAutospacing="1" w:after="100" w:afterAutospacing="1"/>
        <w:rPr>
          <w:b/>
          <w:i/>
          <w:noProof/>
          <w:szCs w:val="22"/>
        </w:rPr>
      </w:pPr>
      <w:r>
        <w:rPr>
          <w:noProof/>
          <w:sz w:val="24"/>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pStyle w:val="Caption"/>
        <w:spacing w:before="100" w:beforeAutospacing="1" w:after="100" w:afterAutospacing="1"/>
        <w:rPr>
          <w:b/>
          <w:noProof/>
          <w:szCs w:val="22"/>
        </w:rPr>
      </w:pPr>
      <w:r>
        <w:rPr>
          <w:noProof/>
        </w:rPr>
        <w:t>Table 3: Candidate Institutionalised Partnerships for which consultation respondents provide responses (N=1613)</w:t>
      </w:r>
    </w:p>
    <w:tbl>
      <w:tblPr>
        <w:tblStyle w:val="ECRTDIPIA"/>
        <w:tblW w:w="0" w:type="auto"/>
        <w:tblLook w:val="04A0" w:firstRow="1" w:lastRow="0" w:firstColumn="1" w:lastColumn="0" w:noHBand="0" w:noVBand="1"/>
      </w:tblPr>
      <w:tblGrid>
        <w:gridCol w:w="5535"/>
        <w:gridCol w:w="1843"/>
        <w:gridCol w:w="1842"/>
      </w:tblGrid>
      <w:tr>
        <w:trPr>
          <w:cnfStyle w:val="100000000000" w:firstRow="1" w:lastRow="0" w:firstColumn="0" w:lastColumn="0" w:oddVBand="0" w:evenVBand="0" w:oddHBand="0" w:evenHBand="0" w:firstRowFirstColumn="0" w:firstRowLastColumn="0" w:lastRowFirstColumn="0" w:lastRowLastColumn="0"/>
        </w:trPr>
        <w:tc>
          <w:tcPr>
            <w:tcW w:w="5475" w:type="dxa"/>
            <w:vAlign w:val="center"/>
            <w:hideMark/>
          </w:tcPr>
          <w:p>
            <w:pPr>
              <w:spacing w:before="100" w:beforeAutospacing="1" w:after="100" w:afterAutospacing="1"/>
              <w:rPr>
                <w:rFonts w:ascii="Times New Roman" w:hAnsi="Times New Roman"/>
                <w:b/>
                <w:noProof/>
                <w:sz w:val="20"/>
              </w:rPr>
            </w:pPr>
            <w:r>
              <w:rPr>
                <w:rFonts w:ascii="Times New Roman" w:hAnsi="Times New Roman"/>
                <w:b/>
                <w:noProof/>
                <w:sz w:val="20"/>
              </w:rPr>
              <w:t>Name of the candidate Institutionalised European partnership</w:t>
            </w:r>
          </w:p>
        </w:tc>
        <w:tc>
          <w:tcPr>
            <w:tcW w:w="1803" w:type="dxa"/>
            <w:vAlign w:val="center"/>
            <w:hideMark/>
          </w:tcPr>
          <w:p>
            <w:pPr>
              <w:spacing w:before="100" w:beforeAutospacing="1" w:after="100" w:afterAutospacing="1"/>
              <w:rPr>
                <w:rFonts w:ascii="Times New Roman" w:hAnsi="Times New Roman"/>
                <w:b/>
                <w:noProof/>
                <w:sz w:val="20"/>
              </w:rPr>
            </w:pPr>
            <w:r>
              <w:rPr>
                <w:rFonts w:ascii="Times New Roman" w:hAnsi="Times New Roman"/>
                <w:b/>
                <w:noProof/>
                <w:sz w:val="20"/>
              </w:rPr>
              <w:t xml:space="preserve">Number and % of respondents from both groups </w:t>
            </w:r>
          </w:p>
          <w:p>
            <w:pPr>
              <w:spacing w:before="100" w:beforeAutospacing="1" w:after="100" w:afterAutospacing="1"/>
              <w:rPr>
                <w:rFonts w:ascii="Times New Roman" w:hAnsi="Times New Roman"/>
                <w:b/>
                <w:noProof/>
                <w:sz w:val="20"/>
              </w:rPr>
            </w:pPr>
            <w:r>
              <w:rPr>
                <w:rFonts w:ascii="Times New Roman" w:hAnsi="Times New Roman"/>
                <w:b/>
                <w:noProof/>
                <w:sz w:val="20"/>
              </w:rPr>
              <w:t>(n=1613)</w:t>
            </w:r>
          </w:p>
        </w:tc>
        <w:tc>
          <w:tcPr>
            <w:tcW w:w="1782" w:type="dxa"/>
            <w:vAlign w:val="center"/>
            <w:hideMark/>
          </w:tcPr>
          <w:p>
            <w:pPr>
              <w:spacing w:before="100" w:beforeAutospacing="1" w:after="100" w:afterAutospacing="1"/>
              <w:ind w:right="-53"/>
              <w:rPr>
                <w:rFonts w:ascii="Times New Roman" w:hAnsi="Times New Roman"/>
                <w:b/>
                <w:noProof/>
                <w:sz w:val="20"/>
              </w:rPr>
            </w:pPr>
            <w:r>
              <w:rPr>
                <w:rFonts w:ascii="Times New Roman" w:hAnsi="Times New Roman"/>
                <w:b/>
                <w:noProof/>
                <w:sz w:val="20"/>
              </w:rPr>
              <w:t>Number and % of respondents from a non-campaign group</w:t>
            </w:r>
          </w:p>
          <w:p>
            <w:pPr>
              <w:spacing w:before="100" w:beforeAutospacing="1" w:after="100" w:afterAutospacing="1"/>
              <w:rPr>
                <w:rFonts w:ascii="Times New Roman" w:hAnsi="Times New Roman"/>
                <w:b/>
                <w:noProof/>
                <w:sz w:val="20"/>
              </w:rPr>
            </w:pPr>
            <w:r>
              <w:rPr>
                <w:rFonts w:ascii="Times New Roman" w:hAnsi="Times New Roman"/>
                <w:b/>
                <w:noProof/>
                <w:sz w:val="20"/>
              </w:rPr>
              <w:t>(n=1341)</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Clean Hydrogen</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506 (31.37%)</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382 (28.49%)</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European Metrology</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265 (16.43%)</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225 (16.78%)</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Clean Aviation</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246 (15.25%)</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191 (14.24%)</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Circular bio-based Europe</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242 (15%)</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215 (16.03%)</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Transforming Europe’s rail system</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184 (11.41%)</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151 (11.26%)</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Key Digital Technologies</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182 (11.28%)</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162 (12.08%)</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Innovative SMEs</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111 (6.88%)</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110 (8.20%)</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Innovative Health Initiative</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110 (6.82%)</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108 (8.05%)</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Smart Networks and Services</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109 (6.76%)</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107 (7.98%)</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Safe and Automated Road Transport</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108 (6.70%)</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102 (7.61%)</w:t>
            </w:r>
          </w:p>
        </w:tc>
      </w:tr>
      <w:tr>
        <w:tc>
          <w:tcPr>
            <w:tcW w:w="5475"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Integrated Air Traffic Management</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93 (5.77%)</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66 (4.92%)</w:t>
            </w:r>
          </w:p>
        </w:tc>
      </w:tr>
      <w:tr>
        <w:trPr>
          <w:trHeight w:val="404"/>
        </w:trPr>
        <w:tc>
          <w:tcPr>
            <w:tcW w:w="5475" w:type="dxa"/>
            <w:hideMark/>
          </w:tcPr>
          <w:p>
            <w:pPr>
              <w:spacing w:before="100" w:beforeAutospacing="1" w:after="100" w:afterAutospacing="1"/>
              <w:ind w:right="-115"/>
              <w:rPr>
                <w:rFonts w:ascii="Times New Roman" w:hAnsi="Times New Roman"/>
                <w:noProof/>
                <w:sz w:val="20"/>
              </w:rPr>
            </w:pPr>
            <w:r>
              <w:rPr>
                <w:rFonts w:ascii="Times New Roman" w:hAnsi="Times New Roman"/>
                <w:noProof/>
                <w:sz w:val="20"/>
              </w:rPr>
              <w:t>EU-Africa research partnership on health security to tackle infectious diseases – Global Health</w:t>
            </w:r>
          </w:p>
        </w:tc>
        <w:tc>
          <w:tcPr>
            <w:tcW w:w="1803"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49 (3.04%)</w:t>
            </w:r>
          </w:p>
        </w:tc>
        <w:tc>
          <w:tcPr>
            <w:tcW w:w="1782" w:type="dxa"/>
            <w:vAlign w:val="center"/>
            <w:hideMark/>
          </w:tcPr>
          <w:p>
            <w:pPr>
              <w:spacing w:before="100" w:beforeAutospacing="1" w:after="100" w:afterAutospacing="1"/>
              <w:rPr>
                <w:rFonts w:ascii="Times New Roman" w:hAnsi="Times New Roman"/>
                <w:noProof/>
                <w:sz w:val="20"/>
              </w:rPr>
            </w:pPr>
            <w:r>
              <w:rPr>
                <w:rFonts w:ascii="Times New Roman" w:hAnsi="Times New Roman"/>
                <w:noProof/>
                <w:sz w:val="20"/>
              </w:rPr>
              <w:t>47 (3.50%)</w:t>
            </w:r>
          </w:p>
        </w:tc>
      </w:tr>
    </w:tbl>
    <w:p>
      <w:pPr>
        <w:pStyle w:val="Heading3"/>
        <w:spacing w:before="100" w:beforeAutospacing="1" w:after="100" w:afterAutospacing="1"/>
        <w:ind w:left="2138"/>
        <w:rPr>
          <w:bCs/>
          <w:noProof/>
        </w:rPr>
      </w:pPr>
      <w:bookmarkStart w:id="11" w:name="_Toc31581364"/>
      <w:bookmarkStart w:id="12" w:name="_Toc31572995"/>
      <w:bookmarkStart w:id="13" w:name="_Toc31125475"/>
      <w:bookmarkStart w:id="14" w:name="_Toc52793604"/>
      <w:r>
        <w:rPr>
          <w:bCs/>
          <w:noProof/>
        </w:rPr>
        <w:t>Characteristics of future candidate European Partnerships</w:t>
      </w:r>
      <w:bookmarkEnd w:id="11"/>
      <w:bookmarkEnd w:id="12"/>
      <w:bookmarkEnd w:id="13"/>
      <w:bookmarkEnd w:id="14"/>
    </w:p>
    <w:p>
      <w:pPr>
        <w:pStyle w:val="Body"/>
        <w:spacing w:before="100" w:beforeAutospacing="1" w:after="100" w:afterAutospacing="1"/>
        <w:rPr>
          <w:noProof/>
          <w:sz w:val="24"/>
        </w:rPr>
      </w:pPr>
      <w:r>
        <w:rPr>
          <w:noProof/>
          <w:sz w:val="24"/>
        </w:rPr>
        <w:t xml:space="preserve">Respondents were asked to assess what areas, objectives, aspects need to be in the </w:t>
      </w:r>
      <w:r>
        <w:rPr>
          <w:b/>
          <w:noProof/>
          <w:sz w:val="24"/>
        </w:rPr>
        <w:t>focus of the future European Partnerships</w:t>
      </w:r>
      <w:r>
        <w:rPr>
          <w:noProof/>
          <w:sz w:val="24"/>
        </w:rPr>
        <w:t xml:space="preserve"> under Horizon Europe and to what extent. According to Figure 6,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pStyle w:val="Body"/>
        <w:spacing w:before="100" w:beforeAutospacing="1" w:after="100" w:afterAutospacing="1"/>
        <w:rPr>
          <w:noProof/>
          <w:sz w:val="24"/>
        </w:rPr>
      </w:pPr>
      <w:r>
        <w:rPr>
          <w:noProof/>
          <w:sz w:val="24"/>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UN’s Sustainable Development Goals.</w:t>
      </w:r>
    </w:p>
    <w:p>
      <w:pPr>
        <w:pStyle w:val="Body"/>
        <w:spacing w:before="100" w:beforeAutospacing="1" w:after="100" w:afterAutospacing="1"/>
        <w:rPr>
          <w:noProof/>
          <w:sz w:val="24"/>
        </w:rPr>
      </w:pPr>
      <w:r>
        <w:rPr>
          <w:noProof/>
          <w:sz w:val="24"/>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pStyle w:val="Body"/>
        <w:spacing w:before="100" w:beforeAutospacing="1" w:after="100" w:afterAutospacing="1"/>
        <w:rPr>
          <w:b/>
          <w:i/>
          <w:noProof/>
          <w:szCs w:val="22"/>
        </w:rPr>
      </w:pPr>
      <w:r>
        <w:rPr>
          <w:b/>
          <w:i/>
          <w:noProof/>
          <w:szCs w:val="22"/>
        </w:rPr>
        <w:t>Figure 3: To what extent do you think that the future European Partnerships under Horizon Europe need to (N=1363) (non-campaign replies) For all candidate initiatives</w:t>
      </w:r>
    </w:p>
    <w:p>
      <w:pPr>
        <w:spacing w:before="100" w:beforeAutospacing="1" w:after="100" w:afterAutospacing="1"/>
        <w:jc w:val="center"/>
        <w:rPr>
          <w:noProof/>
          <w:szCs w:val="24"/>
        </w:rPr>
      </w:pPr>
      <w:r>
        <w:rPr>
          <w:noProof/>
          <w:szCs w:val="24"/>
          <w:lang w:eastAsia="en-GB"/>
        </w:rPr>
        <w:drawing>
          <wp:inline distT="0" distB="0" distL="0" distR="0">
            <wp:extent cx="4544272" cy="4192886"/>
            <wp:effectExtent l="19050" t="19050" r="27940" b="177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pStyle w:val="Heading3"/>
        <w:spacing w:before="100" w:beforeAutospacing="1" w:after="100" w:afterAutospacing="1"/>
        <w:rPr>
          <w:bCs/>
          <w:noProof/>
          <w:szCs w:val="24"/>
        </w:rPr>
      </w:pPr>
      <w:bookmarkStart w:id="15" w:name="_Toc31581365"/>
      <w:bookmarkStart w:id="16" w:name="_Toc31572996"/>
      <w:bookmarkStart w:id="17" w:name="_Toc31125476"/>
      <w:r>
        <w:rPr>
          <w:bCs/>
          <w:noProof/>
          <w:szCs w:val="24"/>
        </w:rPr>
        <w:tab/>
      </w:r>
      <w:bookmarkStart w:id="18" w:name="_Toc52793605"/>
      <w:r>
        <w:rPr>
          <w:bCs/>
          <w:noProof/>
          <w:szCs w:val="24"/>
        </w:rPr>
        <w:t>Main advantages and disadvantages of Institutionalised European Partnerships</w:t>
      </w:r>
      <w:bookmarkEnd w:id="15"/>
      <w:bookmarkEnd w:id="16"/>
      <w:bookmarkEnd w:id="17"/>
      <w:bookmarkEnd w:id="18"/>
    </w:p>
    <w:p>
      <w:pPr>
        <w:pStyle w:val="Body"/>
        <w:spacing w:before="100" w:beforeAutospacing="1" w:after="100" w:afterAutospacing="1"/>
        <w:rPr>
          <w:noProof/>
          <w:sz w:val="24"/>
        </w:rPr>
      </w:pPr>
      <w:r>
        <w:rPr>
          <w:noProof/>
          <w:sz w:val="24"/>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before="100" w:beforeAutospacing="1" w:after="100" w:afterAutospacing="1"/>
        <w:rPr>
          <w:noProof/>
          <w:szCs w:val="24"/>
        </w:rPr>
      </w:pPr>
      <w:r>
        <w:rPr>
          <w:b/>
          <w:noProof/>
          <w:szCs w:val="24"/>
        </w:rPr>
        <w:t xml:space="preserve">Advantages mentioned: </w:t>
      </w:r>
      <w:r>
        <w:rPr>
          <w:noProof/>
          <w:szCs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before="100" w:beforeAutospacing="1" w:after="100" w:afterAutospacing="1"/>
        <w:rPr>
          <w:noProof/>
          <w:szCs w:val="24"/>
        </w:rPr>
      </w:pPr>
      <w:r>
        <w:rPr>
          <w:b/>
          <w:noProof/>
          <w:szCs w:val="24"/>
        </w:rPr>
        <w:t xml:space="preserve">Disadvantages mentioned: </w:t>
      </w:r>
      <w:r>
        <w:rPr>
          <w:noProof/>
          <w:szCs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keepNext w:val="0"/>
        <w:spacing w:before="100" w:beforeAutospacing="1" w:after="100" w:afterAutospacing="1"/>
        <w:ind w:left="2138"/>
        <w:rPr>
          <w:bCs/>
          <w:noProof/>
          <w:szCs w:val="24"/>
        </w:rPr>
      </w:pPr>
      <w:bookmarkStart w:id="19" w:name="_Toc31581366"/>
      <w:bookmarkStart w:id="20" w:name="_Toc31572997"/>
      <w:bookmarkStart w:id="21" w:name="_Toc31125477"/>
      <w:r>
        <w:rPr>
          <w:bCs/>
          <w:noProof/>
          <w:szCs w:val="24"/>
        </w:rPr>
        <w:tab/>
      </w:r>
      <w:bookmarkStart w:id="22" w:name="_Toc52793606"/>
      <w:r>
        <w:rPr>
          <w:bCs/>
          <w:noProof/>
          <w:szCs w:val="24"/>
        </w:rPr>
        <w:t>Relevance of EU level to address problems in Partnerships’ areas</w:t>
      </w:r>
      <w:bookmarkEnd w:id="19"/>
      <w:bookmarkEnd w:id="20"/>
      <w:bookmarkEnd w:id="21"/>
      <w:bookmarkEnd w:id="22"/>
    </w:p>
    <w:p>
      <w:pPr>
        <w:pStyle w:val="Body"/>
        <w:spacing w:before="100" w:beforeAutospacing="1" w:after="100" w:afterAutospacing="1"/>
        <w:rPr>
          <w:noProof/>
          <w:sz w:val="24"/>
        </w:rPr>
      </w:pPr>
      <w:r>
        <w:rPr>
          <w:noProof/>
          <w:sz w:val="24"/>
        </w:rPr>
        <w:t xml:space="preserve">Respondents were asked to rate the </w:t>
      </w:r>
      <w:r>
        <w:rPr>
          <w:b/>
          <w:noProof/>
          <w:sz w:val="24"/>
        </w:rPr>
        <w:t>relevance of research and innovation efforts at EU level efforts to address specific problems in the area of partnerships</w:t>
      </w:r>
      <w:r>
        <w:rPr>
          <w:noProof/>
          <w:sz w:val="24"/>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bookmarkStart w:id="23" w:name="_Ref31553519"/>
    </w:p>
    <w:p>
      <w:pPr>
        <w:pStyle w:val="Body"/>
        <w:spacing w:before="100" w:beforeAutospacing="1" w:after="100" w:afterAutospacing="1"/>
        <w:rPr>
          <w:noProof/>
        </w:rPr>
      </w:pPr>
      <w:r>
        <w:rPr>
          <w:b/>
          <w:i/>
          <w:noProof/>
        </w:rPr>
        <w:t xml:space="preserve">Figure </w:t>
      </w:r>
      <w:bookmarkEnd w:id="23"/>
      <w:r>
        <w:rPr>
          <w:b/>
          <w:i/>
          <w:noProof/>
        </w:rPr>
        <w:t>4: To what extent do you think this is relevant for research and innovation efforts at EU level to address the following problems in relation to the candidate partnership in question? (non-campaign replies) Aggregation of responses of all candidate initiatives</w:t>
      </w:r>
    </w:p>
    <w:p>
      <w:pPr>
        <w:spacing w:before="100" w:beforeAutospacing="1" w:after="100" w:afterAutospacing="1"/>
        <w:jc w:val="center"/>
        <w:rPr>
          <w:noProof/>
          <w:szCs w:val="24"/>
        </w:rPr>
      </w:pPr>
      <w:r>
        <w:rPr>
          <w:noProof/>
          <w:szCs w:val="24"/>
          <w:lang w:eastAsia="en-GB"/>
        </w:rPr>
        <w:drawing>
          <wp:inline distT="0" distB="0" distL="0" distR="0">
            <wp:extent cx="4079475" cy="1566333"/>
            <wp:effectExtent l="19050" t="19050" r="16510" b="152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pStyle w:val="Heading3"/>
        <w:spacing w:before="100" w:beforeAutospacing="1" w:after="100" w:afterAutospacing="1"/>
        <w:rPr>
          <w:bCs/>
          <w:noProof/>
          <w:szCs w:val="24"/>
        </w:rPr>
      </w:pPr>
      <w:bookmarkStart w:id="24" w:name="_Toc31581367"/>
      <w:bookmarkStart w:id="25" w:name="_Toc31572998"/>
      <w:bookmarkStart w:id="26" w:name="_Toc31125478"/>
      <w:r>
        <w:rPr>
          <w:bCs/>
          <w:noProof/>
          <w:szCs w:val="24"/>
        </w:rPr>
        <w:tab/>
      </w:r>
      <w:bookmarkStart w:id="27" w:name="_Toc52793607"/>
      <w:r>
        <w:rPr>
          <w:bCs/>
          <w:noProof/>
          <w:szCs w:val="24"/>
        </w:rPr>
        <w:t>Horizon Europe mode of intervention to address problems</w:t>
      </w:r>
      <w:bookmarkEnd w:id="24"/>
      <w:bookmarkEnd w:id="25"/>
      <w:bookmarkEnd w:id="26"/>
      <w:bookmarkEnd w:id="27"/>
    </w:p>
    <w:p>
      <w:pPr>
        <w:pStyle w:val="Body"/>
        <w:spacing w:before="100" w:beforeAutospacing="1" w:after="100" w:afterAutospacing="1"/>
        <w:rPr>
          <w:noProof/>
          <w:sz w:val="24"/>
        </w:rPr>
      </w:pPr>
      <w:r>
        <w:rPr>
          <w:noProof/>
          <w:sz w:val="24"/>
        </w:rPr>
        <w:t xml:space="preserve">Respondents were asked to indicate how these challenges could be addressed through </w:t>
      </w:r>
      <w:r>
        <w:rPr>
          <w:b/>
          <w:noProof/>
          <w:sz w:val="24"/>
        </w:rPr>
        <w:t>Horizon Europe intervention</w:t>
      </w:r>
      <w:r>
        <w:rPr>
          <w:noProof/>
          <w:sz w:val="24"/>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00" w:beforeAutospacing="1" w:after="100" w:afterAutospacing="1"/>
        <w:rPr>
          <w:b/>
          <w:i/>
          <w:noProof/>
          <w:sz w:val="22"/>
          <w:szCs w:val="24"/>
        </w:rPr>
      </w:pPr>
      <w:bookmarkStart w:id="28" w:name="_Ref31555940"/>
      <w:r>
        <w:rPr>
          <w:b/>
          <w:i/>
          <w:noProof/>
          <w:sz w:val="22"/>
          <w:szCs w:val="24"/>
        </w:rPr>
        <w:t xml:space="preserve">Figure </w:t>
      </w:r>
      <w:bookmarkEnd w:id="28"/>
      <w:r>
        <w:rPr>
          <w:b/>
          <w:i/>
          <w:noProof/>
          <w:sz w:val="22"/>
          <w:szCs w:val="24"/>
        </w:rPr>
        <w:t>5: In your view, how should the specific challenges described above be addressed through Horizon Europe intervention? (non-campaign replies) For all candidate initiatives</w:t>
      </w:r>
    </w:p>
    <w:p>
      <w:pPr>
        <w:spacing w:before="100" w:beforeAutospacing="1" w:after="100" w:afterAutospacing="1"/>
        <w:jc w:val="center"/>
        <w:rPr>
          <w:noProof/>
          <w:szCs w:val="24"/>
        </w:rPr>
      </w:pPr>
      <w:r>
        <w:rPr>
          <w:noProof/>
          <w:szCs w:val="24"/>
          <w:lang w:eastAsia="en-GB"/>
        </w:rPr>
        <w:drawing>
          <wp:inline distT="0" distB="0" distL="0" distR="0">
            <wp:extent cx="4168352" cy="1148438"/>
            <wp:effectExtent l="19050" t="19050" r="22860" b="139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pStyle w:val="Body"/>
        <w:spacing w:before="100" w:beforeAutospacing="1" w:after="100" w:afterAutospacing="1"/>
        <w:rPr>
          <w:noProof/>
          <w:sz w:val="24"/>
        </w:rPr>
      </w:pPr>
      <w:r>
        <w:rPr>
          <w:noProof/>
          <w:sz w:val="24"/>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33"/>
        </w:numPr>
        <w:spacing w:before="100" w:beforeAutospacing="1" w:after="100" w:afterAutospacing="1"/>
        <w:rPr>
          <w:noProof/>
          <w:szCs w:val="24"/>
        </w:rPr>
      </w:pPr>
      <w:r>
        <w:rPr>
          <w:noProof/>
          <w:szCs w:val="24"/>
        </w:rPr>
        <w:t>Traditional calls, because of their flexibility and integration of a wide range of actors, as long as the evaluation panels do not deviate from the policy focus. This was mentioned by 94 participants, including companies (25), academics (26) and EU citizens (25).</w:t>
      </w:r>
    </w:p>
    <w:p>
      <w:pPr>
        <w:numPr>
          <w:ilvl w:val="0"/>
          <w:numId w:val="33"/>
        </w:numPr>
        <w:spacing w:before="100" w:beforeAutospacing="1" w:after="100" w:afterAutospacing="1"/>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33"/>
        </w:numPr>
        <w:spacing w:before="100" w:beforeAutospacing="1" w:after="100" w:afterAutospacing="1"/>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before="100" w:beforeAutospacing="1" w:after="100" w:afterAutospacing="1"/>
        <w:ind w:left="360"/>
        <w:rPr>
          <w:noProof/>
          <w:szCs w:val="24"/>
        </w:rPr>
      </w:pPr>
    </w:p>
    <w:p>
      <w:pPr>
        <w:pStyle w:val="Heading3"/>
        <w:keepNext w:val="0"/>
        <w:spacing w:before="100" w:beforeAutospacing="1" w:after="100" w:afterAutospacing="1"/>
        <w:ind w:left="2138"/>
        <w:rPr>
          <w:bCs/>
          <w:noProof/>
          <w:szCs w:val="24"/>
        </w:rPr>
      </w:pPr>
      <w:bookmarkStart w:id="29" w:name="_Toc31581368"/>
      <w:bookmarkStart w:id="30" w:name="_Toc31572999"/>
      <w:bookmarkStart w:id="31" w:name="_Toc31125479"/>
      <w:r>
        <w:rPr>
          <w:bCs/>
          <w:noProof/>
          <w:szCs w:val="24"/>
        </w:rPr>
        <w:tab/>
      </w:r>
      <w:bookmarkStart w:id="32" w:name="_Toc52793608"/>
      <w:r>
        <w:rPr>
          <w:bCs/>
          <w:noProof/>
          <w:szCs w:val="24"/>
        </w:rPr>
        <w:t>Relevance of a set of elements and activities to ensure that the proposed European Partnership would meet its objectives</w:t>
      </w:r>
      <w:bookmarkEnd w:id="29"/>
      <w:bookmarkEnd w:id="30"/>
      <w:bookmarkEnd w:id="31"/>
      <w:bookmarkEnd w:id="32"/>
    </w:p>
    <w:p>
      <w:pPr>
        <w:pStyle w:val="Body"/>
        <w:spacing w:before="100" w:beforeAutospacing="1" w:after="100" w:afterAutospacing="1"/>
        <w:rPr>
          <w:b/>
          <w:bCs/>
          <w:noProof/>
          <w:sz w:val="24"/>
          <w:u w:val="single"/>
        </w:rPr>
      </w:pPr>
    </w:p>
    <w:p>
      <w:pPr>
        <w:pStyle w:val="Body"/>
        <w:spacing w:before="100" w:beforeAutospacing="1" w:after="100" w:afterAutospacing="1"/>
        <w:rPr>
          <w:b/>
          <w:bCs/>
          <w:noProof/>
          <w:sz w:val="24"/>
          <w:u w:val="single"/>
        </w:rPr>
      </w:pPr>
      <w:r>
        <w:rPr>
          <w:b/>
          <w:bCs/>
          <w:noProof/>
          <w:sz w:val="24"/>
          <w:u w:val="single"/>
        </w:rPr>
        <w:t>Setting joint long-term agendas</w:t>
      </w:r>
    </w:p>
    <w:p>
      <w:pPr>
        <w:pStyle w:val="Body"/>
        <w:spacing w:before="100" w:beforeAutospacing="1" w:after="100" w:afterAutospacing="1"/>
        <w:rPr>
          <w:noProof/>
          <w:sz w:val="24"/>
        </w:rPr>
      </w:pPr>
      <w:r>
        <w:rPr>
          <w:noProof/>
          <w:sz w:val="24"/>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00" w:beforeAutospacing="1" w:after="100" w:afterAutospacing="1"/>
        <w:rPr>
          <w:b/>
          <w:i/>
          <w:noProof/>
          <w:sz w:val="22"/>
          <w:szCs w:val="24"/>
        </w:rPr>
      </w:pPr>
      <w:bookmarkStart w:id="33" w:name="_Ref31556048"/>
      <w:r>
        <w:rPr>
          <w:b/>
          <w:i/>
          <w:noProof/>
          <w:sz w:val="22"/>
          <w:szCs w:val="24"/>
        </w:rPr>
        <w:t xml:space="preserve">Figure </w:t>
      </w:r>
      <w:bookmarkEnd w:id="33"/>
      <w:r>
        <w:rPr>
          <w:b/>
          <w:i/>
          <w:noProof/>
          <w:sz w:val="22"/>
          <w:szCs w:val="24"/>
        </w:rPr>
        <w:t>6: In your view, how relevant are the following elements and activities to ensure that the proposed European Partnership would meet its objectives - Setting joint long-term agenda with strong involvement of: (non-campaign replies) For all candidate initiatives</w:t>
      </w:r>
    </w:p>
    <w:p>
      <w:pPr>
        <w:spacing w:before="100" w:beforeAutospacing="1" w:after="100" w:afterAutospacing="1"/>
        <w:jc w:val="center"/>
        <w:rPr>
          <w:noProof/>
          <w:szCs w:val="24"/>
        </w:rPr>
      </w:pPr>
      <w:r>
        <w:rPr>
          <w:noProof/>
          <w:szCs w:val="24"/>
          <w:lang w:eastAsia="en-GB"/>
        </w:rPr>
        <w:drawing>
          <wp:inline distT="0" distB="0" distL="0" distR="0">
            <wp:extent cx="4104222" cy="1893193"/>
            <wp:effectExtent l="19050" t="19050" r="10795" b="1206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9106" cy="1909284"/>
                    </a:xfrm>
                    <a:prstGeom prst="rect">
                      <a:avLst/>
                    </a:prstGeom>
                    <a:noFill/>
                    <a:ln w="9525" cmpd="sng">
                      <a:solidFill>
                        <a:srgbClr val="BFBFBF"/>
                      </a:solidFill>
                      <a:miter lim="800000"/>
                      <a:headEnd/>
                      <a:tailEnd/>
                    </a:ln>
                    <a:effectLst/>
                  </pic:spPr>
                </pic:pic>
              </a:graphicData>
            </a:graphic>
          </wp:inline>
        </w:drawing>
      </w:r>
    </w:p>
    <w:p>
      <w:pPr>
        <w:pStyle w:val="Body"/>
        <w:spacing w:before="100" w:beforeAutospacing="1" w:after="100" w:afterAutospacing="1"/>
        <w:rPr>
          <w:b/>
          <w:bCs/>
          <w:noProof/>
          <w:sz w:val="24"/>
          <w:u w:val="single"/>
        </w:rPr>
      </w:pPr>
      <w:r>
        <w:rPr>
          <w:b/>
          <w:bCs/>
          <w:noProof/>
          <w:sz w:val="24"/>
          <w:u w:val="single"/>
        </w:rPr>
        <w:t>Pooling and leveraging resources through coordination, alignment and integration with stakeholders</w:t>
      </w:r>
    </w:p>
    <w:p>
      <w:pPr>
        <w:pStyle w:val="Body"/>
        <w:spacing w:before="100" w:beforeAutospacing="1" w:after="100" w:afterAutospacing="1"/>
        <w:rPr>
          <w:b/>
          <w:i/>
          <w:noProof/>
          <w:sz w:val="24"/>
        </w:rPr>
      </w:pPr>
      <w:r>
        <w:rPr>
          <w:noProof/>
          <w:sz w:val="24"/>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00" w:beforeAutospacing="1" w:after="100" w:afterAutospacing="1"/>
        <w:rPr>
          <w:b/>
          <w:i/>
          <w:noProof/>
          <w:sz w:val="22"/>
          <w:szCs w:val="24"/>
        </w:rPr>
      </w:pPr>
      <w:r>
        <w:rPr>
          <w:b/>
          <w:i/>
          <w:noProof/>
          <w:sz w:val="22"/>
          <w:szCs w:val="24"/>
        </w:rPr>
        <w:t xml:space="preserve">Figure 7: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spacing w:before="100" w:beforeAutospacing="1" w:after="100" w:afterAutospacing="1"/>
        <w:jc w:val="center"/>
        <w:rPr>
          <w:noProof/>
          <w:szCs w:val="24"/>
        </w:rPr>
      </w:pPr>
      <w:r>
        <w:rPr>
          <w:noProof/>
          <w:szCs w:val="24"/>
          <w:lang w:eastAsia="en-GB"/>
        </w:rPr>
        <w:drawing>
          <wp:inline distT="0" distB="0" distL="0" distR="0">
            <wp:extent cx="3716444" cy="1835140"/>
            <wp:effectExtent l="19050" t="19050" r="17780" b="133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spacing w:before="100" w:beforeAutospacing="1" w:after="100" w:afterAutospacing="1"/>
        <w:rPr>
          <w:b/>
          <w:bCs/>
          <w:noProof/>
          <w:szCs w:val="24"/>
          <w:u w:val="single"/>
        </w:rPr>
      </w:pPr>
      <w:r>
        <w:rPr>
          <w:b/>
          <w:bCs/>
          <w:noProof/>
          <w:szCs w:val="24"/>
          <w:u w:val="single"/>
        </w:rPr>
        <w:t>Composition of the partnerships</w:t>
      </w:r>
    </w:p>
    <w:p>
      <w:pPr>
        <w:pStyle w:val="Body"/>
        <w:spacing w:before="100" w:beforeAutospacing="1" w:after="100" w:afterAutospacing="1"/>
        <w:rPr>
          <w:noProof/>
          <w:sz w:val="24"/>
        </w:rPr>
      </w:pPr>
      <w:r>
        <w:rPr>
          <w:noProof/>
          <w:sz w:val="24"/>
        </w:rPr>
        <w:t>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Figure 6).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00" w:beforeAutospacing="1" w:after="100" w:afterAutospacing="1"/>
        <w:rPr>
          <w:b/>
          <w:i/>
          <w:noProof/>
          <w:sz w:val="22"/>
          <w:szCs w:val="24"/>
        </w:rPr>
      </w:pPr>
      <w:bookmarkStart w:id="34" w:name="_Ref31556101"/>
      <w:r>
        <w:rPr>
          <w:b/>
          <w:i/>
          <w:noProof/>
          <w:sz w:val="22"/>
          <w:szCs w:val="24"/>
        </w:rPr>
        <w:t xml:space="preserve">Figure </w:t>
      </w:r>
      <w:bookmarkEnd w:id="34"/>
      <w:r>
        <w:rPr>
          <w:b/>
          <w:i/>
          <w:noProof/>
          <w:sz w:val="22"/>
          <w:szCs w:val="24"/>
        </w:rPr>
        <w:t>8: In your view, how relevant are the following elements and activities to ensure that the proposed European Partnership would meet its objectives – Partnership composition (non-campaign replies) Aggregation of responses of all candidate initiatives</w:t>
      </w:r>
    </w:p>
    <w:p>
      <w:pPr>
        <w:spacing w:before="100" w:beforeAutospacing="1" w:after="100" w:afterAutospacing="1"/>
        <w:jc w:val="center"/>
        <w:rPr>
          <w:noProof/>
          <w:szCs w:val="24"/>
        </w:rPr>
      </w:pPr>
      <w:r>
        <w:rPr>
          <w:noProof/>
          <w:szCs w:val="24"/>
          <w:lang w:eastAsia="en-GB"/>
        </w:rPr>
        <w:drawing>
          <wp:inline distT="0" distB="0" distL="0" distR="0">
            <wp:extent cx="4806106" cy="1495456"/>
            <wp:effectExtent l="19050" t="19050" r="13970" b="952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spacing w:before="100" w:beforeAutospacing="1" w:after="100" w:afterAutospacing="1"/>
        <w:rPr>
          <w:b/>
          <w:bCs/>
          <w:noProof/>
          <w:szCs w:val="24"/>
          <w:u w:val="single"/>
        </w:rPr>
      </w:pPr>
      <w:r>
        <w:rPr>
          <w:b/>
          <w:bCs/>
          <w:noProof/>
          <w:szCs w:val="24"/>
          <w:u w:val="single"/>
        </w:rPr>
        <w:t>Implementation of activities</w:t>
      </w:r>
    </w:p>
    <w:p>
      <w:pPr>
        <w:pStyle w:val="Body"/>
        <w:spacing w:before="100" w:beforeAutospacing="1" w:after="100" w:afterAutospacing="1"/>
        <w:rPr>
          <w:noProof/>
          <w:sz w:val="24"/>
        </w:rPr>
      </w:pPr>
      <w:r>
        <w:rPr>
          <w:noProof/>
          <w:sz w:val="24"/>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after="0"/>
        <w:jc w:val="left"/>
        <w:rPr>
          <w:b/>
          <w:i/>
          <w:noProof/>
          <w:sz w:val="22"/>
          <w:szCs w:val="24"/>
        </w:rPr>
      </w:pPr>
      <w:r>
        <w:rPr>
          <w:b/>
          <w:i/>
          <w:noProof/>
          <w:sz w:val="22"/>
          <w:szCs w:val="24"/>
        </w:rPr>
        <w:t>Figure 9: In your view, how relevant are the following elements and activities to ensure that the proposed European Partnership would meet its objectives – Implementing the following activities (non-campaign replies) For all candidate initiatives</w:t>
      </w:r>
    </w:p>
    <w:p>
      <w:pPr>
        <w:spacing w:before="100" w:beforeAutospacing="1" w:after="100" w:afterAutospacing="1"/>
        <w:jc w:val="center"/>
        <w:rPr>
          <w:noProof/>
          <w:szCs w:val="24"/>
        </w:rPr>
      </w:pPr>
      <w:r>
        <w:rPr>
          <w:noProof/>
          <w:szCs w:val="24"/>
          <w:lang w:eastAsia="en-GB"/>
        </w:rPr>
        <w:drawing>
          <wp:inline distT="0" distB="0" distL="0" distR="0">
            <wp:extent cx="4537317" cy="2058203"/>
            <wp:effectExtent l="19050" t="19050" r="15875"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pStyle w:val="Heading3"/>
        <w:spacing w:before="100" w:beforeAutospacing="1" w:after="100" w:afterAutospacing="1"/>
        <w:rPr>
          <w:bCs/>
          <w:noProof/>
          <w:szCs w:val="24"/>
        </w:rPr>
      </w:pPr>
      <w:bookmarkStart w:id="35" w:name="_Toc31581369"/>
      <w:bookmarkStart w:id="36" w:name="_Toc31573000"/>
      <w:bookmarkStart w:id="37" w:name="_Toc31125480"/>
      <w:r>
        <w:rPr>
          <w:bCs/>
          <w:noProof/>
          <w:szCs w:val="24"/>
        </w:rPr>
        <w:tab/>
      </w:r>
      <w:bookmarkStart w:id="38" w:name="_Toc52793609"/>
      <w:r>
        <w:rPr>
          <w:bCs/>
          <w:noProof/>
          <w:szCs w:val="24"/>
        </w:rPr>
        <w:t>Relevance of setting up a legal structure (funding body) for the candidate European Partnerships to achieve improvements</w:t>
      </w:r>
      <w:bookmarkEnd w:id="35"/>
      <w:bookmarkEnd w:id="36"/>
      <w:bookmarkEnd w:id="37"/>
      <w:bookmarkEnd w:id="38"/>
    </w:p>
    <w:p>
      <w:pPr>
        <w:pStyle w:val="Body"/>
        <w:spacing w:before="100" w:beforeAutospacing="1" w:after="100" w:afterAutospacing="1"/>
        <w:rPr>
          <w:noProof/>
          <w:sz w:val="24"/>
        </w:rPr>
      </w:pPr>
      <w:r>
        <w:rPr>
          <w:noProof/>
          <w:sz w:val="24"/>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00" w:beforeAutospacing="1" w:after="100" w:afterAutospacing="1"/>
        <w:rPr>
          <w:b/>
          <w:i/>
          <w:noProof/>
          <w:sz w:val="22"/>
          <w:szCs w:val="24"/>
        </w:rPr>
      </w:pPr>
      <w:bookmarkStart w:id="39" w:name="_Ref31556188"/>
      <w:r>
        <w:rPr>
          <w:b/>
          <w:i/>
          <w:noProof/>
          <w:sz w:val="22"/>
          <w:szCs w:val="24"/>
        </w:rPr>
        <w:t xml:space="preserve">Figure </w:t>
      </w:r>
      <w:bookmarkEnd w:id="39"/>
      <w:r>
        <w:rPr>
          <w:b/>
          <w:i/>
          <w:noProof/>
          <w:sz w:val="22"/>
          <w:szCs w:val="24"/>
        </w:rPr>
        <w:t>10: In your view, how relevant is to set up a specific legal structure (funding body) for the candidate European Partnership to achieve the following? (non-campaign replies) Aggregation of responses of all candidate initiatives</w:t>
      </w:r>
    </w:p>
    <w:p>
      <w:pPr>
        <w:spacing w:before="100" w:beforeAutospacing="1" w:after="100" w:afterAutospacing="1"/>
        <w:jc w:val="center"/>
        <w:rPr>
          <w:noProof/>
          <w:szCs w:val="24"/>
        </w:rPr>
      </w:pPr>
      <w:r>
        <w:rPr>
          <w:noProof/>
          <w:szCs w:val="24"/>
          <w:lang w:eastAsia="en-GB"/>
        </w:rPr>
        <w:drawing>
          <wp:inline distT="0" distB="0" distL="0" distR="0">
            <wp:extent cx="4593944" cy="3556000"/>
            <wp:effectExtent l="19050" t="19050" r="16510" b="2540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pStyle w:val="Body"/>
        <w:spacing w:before="100" w:beforeAutospacing="1" w:after="100" w:afterAutospacing="1"/>
        <w:rPr>
          <w:noProof/>
          <w:sz w:val="24"/>
        </w:rPr>
      </w:pPr>
      <w:r>
        <w:rPr>
          <w:noProof/>
          <w:sz w:val="24"/>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noProof/>
        </w:rPr>
        <w:t xml:space="preserve"> </w:t>
      </w:r>
      <w:r>
        <w:rPr>
          <w:noProof/>
          <w:sz w:val="24"/>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spacing w:before="100" w:beforeAutospacing="1" w:after="100" w:afterAutospacing="1"/>
        <w:rPr>
          <w:bCs/>
          <w:noProof/>
          <w:szCs w:val="24"/>
        </w:rPr>
      </w:pPr>
      <w:bookmarkStart w:id="40" w:name="_Toc31581370"/>
      <w:bookmarkStart w:id="41" w:name="_Toc31573001"/>
      <w:bookmarkStart w:id="42" w:name="_Toc31125481"/>
      <w:r>
        <w:rPr>
          <w:bCs/>
          <w:noProof/>
          <w:szCs w:val="24"/>
        </w:rPr>
        <w:tab/>
      </w:r>
      <w:bookmarkStart w:id="43" w:name="_Toc52793610"/>
      <w:r>
        <w:rPr>
          <w:bCs/>
          <w:noProof/>
          <w:szCs w:val="24"/>
        </w:rPr>
        <w:t>Scope and coverage of the candidate European Partnerships based on their inception impact assessments</w:t>
      </w:r>
      <w:bookmarkEnd w:id="40"/>
      <w:bookmarkEnd w:id="41"/>
      <w:bookmarkEnd w:id="42"/>
      <w:bookmarkEnd w:id="43"/>
    </w:p>
    <w:p>
      <w:pPr>
        <w:pStyle w:val="Body"/>
        <w:spacing w:before="100" w:beforeAutospacing="1" w:after="100" w:afterAutospacing="1"/>
        <w:rPr>
          <w:noProof/>
          <w:sz w:val="24"/>
        </w:rPr>
      </w:pPr>
      <w:r>
        <w:rPr>
          <w:noProof/>
          <w:sz w:val="24"/>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00" w:beforeAutospacing="1" w:after="100" w:afterAutospacing="1"/>
        <w:rPr>
          <w:b/>
          <w:i/>
          <w:noProof/>
          <w:sz w:val="22"/>
          <w:szCs w:val="24"/>
        </w:rPr>
      </w:pPr>
      <w:bookmarkStart w:id="44" w:name="_Ref31556230"/>
      <w:r>
        <w:rPr>
          <w:b/>
          <w:i/>
          <w:noProof/>
          <w:sz w:val="22"/>
          <w:szCs w:val="24"/>
        </w:rPr>
        <w:t xml:space="preserve">Figure </w:t>
      </w:r>
      <w:bookmarkEnd w:id="44"/>
      <w:r>
        <w:rPr>
          <w:b/>
          <w:i/>
          <w:noProof/>
          <w:sz w:val="22"/>
          <w:szCs w:val="24"/>
        </w:rPr>
        <w:t>11: What is your view on the scope and coverage proposed for this candidate institutionalised European Partnership, based on its inception impact assessment? (non-campaign replies) Aggregation of responses of all candidate initiatives</w:t>
      </w:r>
    </w:p>
    <w:p>
      <w:pPr>
        <w:spacing w:before="100" w:beforeAutospacing="1" w:after="100" w:afterAutospacing="1"/>
        <w:jc w:val="center"/>
        <w:rPr>
          <w:noProof/>
          <w:szCs w:val="24"/>
        </w:rPr>
      </w:pPr>
      <w:r>
        <w:rPr>
          <w:noProof/>
          <w:szCs w:val="24"/>
          <w:lang w:eastAsia="en-GB"/>
        </w:rPr>
        <w:drawing>
          <wp:inline distT="0" distB="0" distL="0" distR="0">
            <wp:extent cx="3951004" cy="1994080"/>
            <wp:effectExtent l="19050" t="19050" r="11430" b="2540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pStyle w:val="Heading3"/>
        <w:spacing w:before="100" w:beforeAutospacing="1" w:after="100" w:afterAutospacing="1"/>
        <w:rPr>
          <w:bCs/>
          <w:noProof/>
          <w:szCs w:val="24"/>
        </w:rPr>
      </w:pPr>
      <w:bookmarkStart w:id="45" w:name="_Toc31581371"/>
      <w:bookmarkStart w:id="46" w:name="_Toc31573002"/>
      <w:bookmarkStart w:id="47" w:name="_Toc31125482"/>
      <w:bookmarkStart w:id="48" w:name="_Toc52793611"/>
      <w:r>
        <w:rPr>
          <w:bCs/>
          <w:noProof/>
          <w:szCs w:val="24"/>
        </w:rPr>
        <w:t>Scope for rationalisation and alignment of candidate European Partnerships with other initiatives</w:t>
      </w:r>
      <w:bookmarkEnd w:id="45"/>
      <w:bookmarkEnd w:id="46"/>
      <w:bookmarkEnd w:id="47"/>
      <w:bookmarkEnd w:id="48"/>
      <w:r>
        <w:rPr>
          <w:bCs/>
          <w:noProof/>
          <w:szCs w:val="24"/>
        </w:rPr>
        <w:t xml:space="preserve"> </w:t>
      </w:r>
    </w:p>
    <w:p>
      <w:pPr>
        <w:pStyle w:val="Body"/>
        <w:spacing w:before="100" w:beforeAutospacing="1" w:after="100" w:afterAutospacing="1"/>
        <w:rPr>
          <w:noProof/>
          <w:sz w:val="24"/>
        </w:rPr>
      </w:pPr>
      <w:r>
        <w:rPr>
          <w:noProof/>
          <w:sz w:val="24"/>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pStyle w:val="Heading3"/>
        <w:spacing w:before="100" w:beforeAutospacing="1" w:after="100" w:afterAutospacing="1"/>
        <w:rPr>
          <w:bCs/>
          <w:noProof/>
          <w:szCs w:val="24"/>
        </w:rPr>
      </w:pPr>
      <w:bookmarkStart w:id="49" w:name="_Toc31581372"/>
      <w:bookmarkStart w:id="50" w:name="_Toc31573003"/>
      <w:bookmarkStart w:id="51" w:name="_Toc31125483"/>
      <w:bookmarkStart w:id="52" w:name="_Toc52793612"/>
      <w:r>
        <w:rPr>
          <w:bCs/>
          <w:noProof/>
          <w:szCs w:val="24"/>
        </w:rPr>
        <w:t>Relevance of European Partnerships to deliver targeted scientific, economic/technological and societal impacts</w:t>
      </w:r>
      <w:bookmarkEnd w:id="49"/>
      <w:bookmarkEnd w:id="50"/>
      <w:bookmarkEnd w:id="51"/>
      <w:bookmarkEnd w:id="52"/>
      <w:r>
        <w:rPr>
          <w:bCs/>
          <w:noProof/>
          <w:szCs w:val="24"/>
        </w:rPr>
        <w:t xml:space="preserve"> </w:t>
      </w:r>
    </w:p>
    <w:p>
      <w:pPr>
        <w:pStyle w:val="Body"/>
        <w:spacing w:before="100" w:beforeAutospacing="1" w:after="100" w:afterAutospacing="1"/>
        <w:rPr>
          <w:noProof/>
          <w:sz w:val="24"/>
        </w:rPr>
      </w:pPr>
      <w:r>
        <w:rPr>
          <w:noProof/>
          <w:sz w:val="24"/>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00" w:beforeAutospacing="1" w:after="100" w:afterAutospacing="1"/>
        <w:rPr>
          <w:b/>
          <w:i/>
          <w:noProof/>
          <w:sz w:val="22"/>
          <w:szCs w:val="24"/>
        </w:rPr>
      </w:pPr>
      <w:bookmarkStart w:id="53" w:name="_Ref31556342"/>
      <w:r>
        <w:rPr>
          <w:b/>
          <w:i/>
          <w:noProof/>
          <w:sz w:val="22"/>
          <w:szCs w:val="24"/>
        </w:rPr>
        <w:t xml:space="preserve">Figure </w:t>
      </w:r>
      <w:bookmarkEnd w:id="53"/>
      <w:r>
        <w:rPr>
          <w:b/>
          <w:i/>
          <w:noProof/>
          <w:sz w:val="22"/>
          <w:szCs w:val="24"/>
        </w:rPr>
        <w:t>12: In your view, how relevant is it for the candidate European Institutionalised Partnership to deliver on the following impacts? (non-campaign replies) Aggregation of responses of all candidate initiatives</w:t>
      </w:r>
    </w:p>
    <w:p>
      <w:pPr>
        <w:spacing w:before="100" w:beforeAutospacing="1" w:after="100" w:afterAutospacing="1"/>
        <w:jc w:val="center"/>
        <w:rPr>
          <w:noProof/>
          <w:szCs w:val="24"/>
        </w:rPr>
      </w:pPr>
      <w:r>
        <w:rPr>
          <w:noProof/>
          <w:szCs w:val="24"/>
          <w:lang w:eastAsia="en-GB"/>
        </w:rPr>
        <w:drawing>
          <wp:inline distT="0" distB="0" distL="0" distR="0">
            <wp:extent cx="4494699" cy="1663138"/>
            <wp:effectExtent l="19050" t="19050" r="20320" b="133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pStyle w:val="Heading2"/>
        <w:spacing w:before="100" w:beforeAutospacing="1" w:after="100" w:afterAutospacing="1"/>
        <w:rPr>
          <w:noProof/>
        </w:rPr>
      </w:pPr>
      <w:r>
        <w:rPr>
          <w:noProof/>
        </w:rPr>
        <w:br w:type="page"/>
      </w:r>
      <w:bookmarkStart w:id="54" w:name="_Toc52793613"/>
      <w:r>
        <w:rPr>
          <w:noProof/>
        </w:rPr>
        <w:t>Stakeholder consultation results for the Innovative Health Initiative</w:t>
      </w:r>
      <w:bookmarkEnd w:id="54"/>
    </w:p>
    <w:p>
      <w:pPr>
        <w:pStyle w:val="ListDash1"/>
        <w:numPr>
          <w:ilvl w:val="0"/>
          <w:numId w:val="0"/>
        </w:numPr>
        <w:spacing w:before="100" w:beforeAutospacing="1" w:after="100" w:afterAutospacing="1"/>
        <w:ind w:right="-28"/>
        <w:rPr>
          <w:noProof/>
        </w:rPr>
      </w:pPr>
      <w:r>
        <w:rPr>
          <w:noProof/>
        </w:rPr>
        <w:t xml:space="preserve">An overview of the number and description of participants in each consultation activity targeting this specific initiative is </w:t>
      </w:r>
      <w:r>
        <w:rPr>
          <w:noProof/>
          <w:szCs w:val="24"/>
        </w:rPr>
        <w:t>available in Table 2. Participants were clustered into five categories: academic/research institutions, companies</w:t>
      </w:r>
      <w:r>
        <w:rPr>
          <w:noProof/>
        </w:rPr>
        <w:t xml:space="preserve">/business associations, Non-Governmental Organisations (NGOs), public authorities and European citizens. European patient organisations, health care professionals’ organisations, organisations promoting the interest of specific groups of the population (e.g. people aged 60 and above), organisations of social health care payers were included among NGOs. Respondents from companies and business associations covered the various sectors potentially involved in IHI: pharmaceutical, biotech and vaccines, medical devices, imaging, in-vitro diagnostics and digital technologies. In addition to Member States, feedback has been received from the entire scope of all relevant stakeholders, in particular researchers, industry, health care professionals, patients, payers and public authorities. </w:t>
      </w:r>
    </w:p>
    <w:p>
      <w:pPr>
        <w:pStyle w:val="Caption"/>
        <w:spacing w:before="100" w:beforeAutospacing="1" w:after="100" w:afterAutospacing="1"/>
        <w:rPr>
          <w:noProof/>
          <w:szCs w:val="22"/>
        </w:rPr>
      </w:pPr>
      <w:bookmarkStart w:id="55" w:name="_Ref34392385"/>
      <w:r>
        <w:rPr>
          <w:noProof/>
          <w:szCs w:val="22"/>
        </w:rPr>
        <w:t>Table 2</w:t>
      </w:r>
      <w:bookmarkEnd w:id="55"/>
      <w:r>
        <w:rPr>
          <w:noProof/>
          <w:szCs w:val="22"/>
        </w:rPr>
        <w:t xml:space="preserve">. Participation in the various consultation activities </w:t>
      </w:r>
    </w:p>
    <w:tbl>
      <w:tblPr>
        <w:tblStyle w:val="TableGrid"/>
        <w:tblW w:w="9180" w:type="dxa"/>
        <w:tblLook w:val="04A0" w:firstRow="1" w:lastRow="0" w:firstColumn="1" w:lastColumn="0" w:noHBand="0" w:noVBand="1"/>
      </w:tblPr>
      <w:tblGrid>
        <w:gridCol w:w="2660"/>
        <w:gridCol w:w="2268"/>
        <w:gridCol w:w="4252"/>
      </w:tblGrid>
      <w:tr>
        <w:trPr>
          <w:trHeight w:val="347"/>
        </w:trPr>
        <w:tc>
          <w:tcPr>
            <w:tcW w:w="2660" w:type="dxa"/>
          </w:tcPr>
          <w:p>
            <w:pPr>
              <w:pStyle w:val="ListDash1"/>
              <w:numPr>
                <w:ilvl w:val="0"/>
                <w:numId w:val="0"/>
              </w:numPr>
              <w:spacing w:before="100" w:beforeAutospacing="1" w:after="100" w:afterAutospacing="1" w:line="264" w:lineRule="auto"/>
              <w:rPr>
                <w:b/>
                <w:noProof/>
                <w:sz w:val="21"/>
                <w:szCs w:val="21"/>
              </w:rPr>
            </w:pPr>
            <w:r>
              <w:rPr>
                <w:b/>
                <w:noProof/>
                <w:sz w:val="21"/>
                <w:szCs w:val="21"/>
              </w:rPr>
              <w:t>Consultation activity</w:t>
            </w:r>
          </w:p>
        </w:tc>
        <w:tc>
          <w:tcPr>
            <w:tcW w:w="2268" w:type="dxa"/>
          </w:tcPr>
          <w:p>
            <w:pPr>
              <w:pStyle w:val="ListDash1"/>
              <w:numPr>
                <w:ilvl w:val="0"/>
                <w:numId w:val="0"/>
              </w:numPr>
              <w:spacing w:before="100" w:beforeAutospacing="1" w:after="100" w:afterAutospacing="1" w:line="264" w:lineRule="auto"/>
              <w:jc w:val="left"/>
              <w:rPr>
                <w:b/>
                <w:noProof/>
                <w:sz w:val="21"/>
                <w:szCs w:val="21"/>
              </w:rPr>
            </w:pPr>
            <w:r>
              <w:rPr>
                <w:b/>
                <w:noProof/>
                <w:sz w:val="21"/>
                <w:szCs w:val="21"/>
              </w:rPr>
              <w:t>Consultation period</w:t>
            </w:r>
          </w:p>
        </w:tc>
        <w:tc>
          <w:tcPr>
            <w:tcW w:w="4252" w:type="dxa"/>
          </w:tcPr>
          <w:p>
            <w:pPr>
              <w:pStyle w:val="ListDash1"/>
              <w:numPr>
                <w:ilvl w:val="0"/>
                <w:numId w:val="0"/>
              </w:numPr>
              <w:spacing w:before="100" w:beforeAutospacing="1" w:after="100" w:afterAutospacing="1" w:line="264" w:lineRule="auto"/>
              <w:rPr>
                <w:b/>
                <w:noProof/>
                <w:sz w:val="21"/>
                <w:szCs w:val="21"/>
              </w:rPr>
            </w:pPr>
            <w:r>
              <w:rPr>
                <w:b/>
                <w:noProof/>
                <w:sz w:val="21"/>
                <w:szCs w:val="21"/>
              </w:rPr>
              <w:t>Participation and profile of participants</w:t>
            </w:r>
          </w:p>
        </w:tc>
      </w:tr>
      <w:tr>
        <w:trPr>
          <w:trHeight w:val="649"/>
        </w:trPr>
        <w:tc>
          <w:tcPr>
            <w:tcW w:w="2660" w:type="dxa"/>
          </w:tcPr>
          <w:p>
            <w:pPr>
              <w:pStyle w:val="ListDash1"/>
              <w:numPr>
                <w:ilvl w:val="0"/>
                <w:numId w:val="0"/>
              </w:numPr>
              <w:spacing w:before="100" w:beforeAutospacing="1" w:after="100" w:afterAutospacing="1" w:line="264" w:lineRule="auto"/>
              <w:rPr>
                <w:noProof/>
                <w:sz w:val="21"/>
                <w:szCs w:val="21"/>
              </w:rPr>
            </w:pPr>
            <w:r>
              <w:rPr>
                <w:noProof/>
                <w:sz w:val="21"/>
                <w:szCs w:val="21"/>
              </w:rPr>
              <w:t>Structured consultation of Member States</w:t>
            </w:r>
          </w:p>
        </w:tc>
        <w:tc>
          <w:tcPr>
            <w:tcW w:w="2268" w:type="dxa"/>
          </w:tcPr>
          <w:p>
            <w:pPr>
              <w:pStyle w:val="ListDash1"/>
              <w:numPr>
                <w:ilvl w:val="0"/>
                <w:numId w:val="0"/>
              </w:numPr>
              <w:spacing w:before="100" w:beforeAutospacing="1" w:after="100" w:afterAutospacing="1" w:line="264" w:lineRule="auto"/>
              <w:jc w:val="left"/>
              <w:rPr>
                <w:noProof/>
                <w:sz w:val="21"/>
                <w:szCs w:val="21"/>
              </w:rPr>
            </w:pPr>
            <w:r>
              <w:rPr>
                <w:noProof/>
                <w:sz w:val="21"/>
                <w:szCs w:val="21"/>
              </w:rPr>
              <w:t>June 2019</w:t>
            </w:r>
          </w:p>
        </w:tc>
        <w:tc>
          <w:tcPr>
            <w:tcW w:w="4252" w:type="dxa"/>
          </w:tcPr>
          <w:p>
            <w:pPr>
              <w:pStyle w:val="ListDash1"/>
              <w:numPr>
                <w:ilvl w:val="0"/>
                <w:numId w:val="0"/>
              </w:numPr>
              <w:spacing w:before="100" w:beforeAutospacing="1" w:after="100" w:afterAutospacing="1" w:line="264" w:lineRule="auto"/>
              <w:rPr>
                <w:noProof/>
                <w:sz w:val="21"/>
                <w:szCs w:val="21"/>
              </w:rPr>
            </w:pPr>
            <w:r>
              <w:rPr>
                <w:noProof/>
                <w:sz w:val="21"/>
                <w:szCs w:val="21"/>
              </w:rPr>
              <w:t>26 Member States (all but Lithuania and Bulgaria), Iceland and Norway</w:t>
            </w:r>
          </w:p>
        </w:tc>
      </w:tr>
      <w:tr>
        <w:tc>
          <w:tcPr>
            <w:tcW w:w="2660" w:type="dxa"/>
          </w:tcPr>
          <w:p>
            <w:pPr>
              <w:pStyle w:val="ListDash1"/>
              <w:numPr>
                <w:ilvl w:val="0"/>
                <w:numId w:val="0"/>
              </w:numPr>
              <w:spacing w:before="100" w:beforeAutospacing="1" w:after="100" w:afterAutospacing="1" w:line="264" w:lineRule="auto"/>
              <w:rPr>
                <w:noProof/>
                <w:sz w:val="21"/>
                <w:szCs w:val="21"/>
              </w:rPr>
            </w:pPr>
            <w:r>
              <w:rPr>
                <w:noProof/>
                <w:sz w:val="21"/>
                <w:szCs w:val="21"/>
              </w:rPr>
              <w:t>Public consultation on IHI Inception Impact Assessment</w:t>
            </w:r>
          </w:p>
        </w:tc>
        <w:tc>
          <w:tcPr>
            <w:tcW w:w="2268" w:type="dxa"/>
          </w:tcPr>
          <w:p>
            <w:pPr>
              <w:pStyle w:val="ListDash1"/>
              <w:numPr>
                <w:ilvl w:val="0"/>
                <w:numId w:val="0"/>
              </w:numPr>
              <w:spacing w:before="100" w:beforeAutospacing="1" w:after="100" w:afterAutospacing="1" w:line="264" w:lineRule="auto"/>
              <w:jc w:val="left"/>
              <w:rPr>
                <w:noProof/>
                <w:sz w:val="21"/>
                <w:szCs w:val="21"/>
              </w:rPr>
            </w:pPr>
            <w:r>
              <w:rPr>
                <w:noProof/>
                <w:sz w:val="21"/>
                <w:szCs w:val="21"/>
              </w:rPr>
              <w:t>July – August 2019</w:t>
            </w:r>
          </w:p>
        </w:tc>
        <w:tc>
          <w:tcPr>
            <w:tcW w:w="4252" w:type="dxa"/>
          </w:tcPr>
          <w:p>
            <w:pPr>
              <w:pStyle w:val="ListDash1"/>
              <w:numPr>
                <w:ilvl w:val="0"/>
                <w:numId w:val="0"/>
              </w:numPr>
              <w:spacing w:before="100" w:beforeAutospacing="1" w:after="100" w:afterAutospacing="1" w:line="264" w:lineRule="auto"/>
              <w:rPr>
                <w:noProof/>
                <w:sz w:val="21"/>
                <w:szCs w:val="21"/>
              </w:rPr>
            </w:pPr>
            <w:r>
              <w:rPr>
                <w:noProof/>
                <w:sz w:val="21"/>
                <w:szCs w:val="21"/>
              </w:rPr>
              <w:t>43 respondents:</w:t>
            </w:r>
          </w:p>
          <w:p>
            <w:pPr>
              <w:pStyle w:val="ListDash1"/>
              <w:numPr>
                <w:ilvl w:val="0"/>
                <w:numId w:val="38"/>
              </w:numPr>
              <w:spacing w:before="100" w:beforeAutospacing="1" w:after="100" w:afterAutospacing="1" w:line="264" w:lineRule="auto"/>
              <w:ind w:left="415" w:hanging="179"/>
              <w:rPr>
                <w:noProof/>
                <w:sz w:val="21"/>
                <w:szCs w:val="21"/>
              </w:rPr>
            </w:pPr>
            <w:r>
              <w:rPr>
                <w:noProof/>
                <w:sz w:val="21"/>
                <w:szCs w:val="21"/>
              </w:rPr>
              <w:t>12 academic/research institutions (28%)</w:t>
            </w:r>
          </w:p>
          <w:p>
            <w:pPr>
              <w:pStyle w:val="ListDash1"/>
              <w:numPr>
                <w:ilvl w:val="0"/>
                <w:numId w:val="38"/>
              </w:numPr>
              <w:spacing w:before="100" w:beforeAutospacing="1" w:after="100" w:afterAutospacing="1" w:line="264" w:lineRule="auto"/>
              <w:ind w:left="415" w:hanging="179"/>
              <w:rPr>
                <w:noProof/>
                <w:sz w:val="21"/>
                <w:szCs w:val="21"/>
              </w:rPr>
            </w:pPr>
            <w:r>
              <w:rPr>
                <w:noProof/>
                <w:sz w:val="21"/>
                <w:szCs w:val="21"/>
              </w:rPr>
              <w:t>9 companies/business associations (21%)</w:t>
            </w:r>
          </w:p>
          <w:p>
            <w:pPr>
              <w:pStyle w:val="ListDash1"/>
              <w:numPr>
                <w:ilvl w:val="0"/>
                <w:numId w:val="38"/>
              </w:numPr>
              <w:spacing w:before="100" w:beforeAutospacing="1" w:after="100" w:afterAutospacing="1" w:line="264" w:lineRule="auto"/>
              <w:ind w:left="415" w:hanging="179"/>
              <w:rPr>
                <w:noProof/>
                <w:sz w:val="21"/>
                <w:szCs w:val="21"/>
              </w:rPr>
            </w:pPr>
            <w:r>
              <w:rPr>
                <w:noProof/>
                <w:sz w:val="21"/>
                <w:szCs w:val="21"/>
              </w:rPr>
              <w:t>14 NGOs (32%)</w:t>
            </w:r>
          </w:p>
          <w:p>
            <w:pPr>
              <w:pStyle w:val="ListDash1"/>
              <w:numPr>
                <w:ilvl w:val="0"/>
                <w:numId w:val="38"/>
              </w:numPr>
              <w:spacing w:before="100" w:beforeAutospacing="1" w:after="100" w:afterAutospacing="1" w:line="264" w:lineRule="auto"/>
              <w:ind w:left="415" w:hanging="179"/>
              <w:rPr>
                <w:noProof/>
                <w:sz w:val="21"/>
                <w:szCs w:val="21"/>
              </w:rPr>
            </w:pPr>
            <w:r>
              <w:rPr>
                <w:noProof/>
                <w:sz w:val="21"/>
                <w:szCs w:val="21"/>
              </w:rPr>
              <w:t>5 public authorities incl. the German government (12%)</w:t>
            </w:r>
          </w:p>
          <w:p>
            <w:pPr>
              <w:pStyle w:val="ListDash1"/>
              <w:numPr>
                <w:ilvl w:val="0"/>
                <w:numId w:val="38"/>
              </w:numPr>
              <w:spacing w:before="100" w:beforeAutospacing="1" w:after="100" w:afterAutospacing="1" w:line="264" w:lineRule="auto"/>
              <w:ind w:left="415" w:hanging="179"/>
              <w:rPr>
                <w:noProof/>
                <w:sz w:val="21"/>
                <w:szCs w:val="21"/>
              </w:rPr>
            </w:pPr>
            <w:r>
              <w:rPr>
                <w:noProof/>
                <w:sz w:val="21"/>
                <w:szCs w:val="21"/>
              </w:rPr>
              <w:t>3 EU citizens (7%)</w:t>
            </w:r>
          </w:p>
        </w:tc>
      </w:tr>
      <w:tr>
        <w:tc>
          <w:tcPr>
            <w:tcW w:w="2660" w:type="dxa"/>
          </w:tcPr>
          <w:p>
            <w:pPr>
              <w:pStyle w:val="ListDash1"/>
              <w:numPr>
                <w:ilvl w:val="0"/>
                <w:numId w:val="0"/>
              </w:numPr>
              <w:spacing w:before="100" w:beforeAutospacing="1" w:after="100" w:afterAutospacing="1" w:line="264" w:lineRule="auto"/>
              <w:rPr>
                <w:noProof/>
                <w:sz w:val="21"/>
                <w:szCs w:val="21"/>
              </w:rPr>
            </w:pPr>
            <w:r>
              <w:rPr>
                <w:noProof/>
                <w:sz w:val="21"/>
                <w:szCs w:val="21"/>
              </w:rPr>
              <w:t>Targeted consultation of stakeholders</w:t>
            </w:r>
          </w:p>
        </w:tc>
        <w:tc>
          <w:tcPr>
            <w:tcW w:w="2268" w:type="dxa"/>
          </w:tcPr>
          <w:p>
            <w:pPr>
              <w:pStyle w:val="ListDash1"/>
              <w:numPr>
                <w:ilvl w:val="0"/>
                <w:numId w:val="0"/>
              </w:numPr>
              <w:spacing w:before="100" w:beforeAutospacing="1" w:after="100" w:afterAutospacing="1" w:line="264" w:lineRule="auto"/>
              <w:jc w:val="left"/>
              <w:rPr>
                <w:noProof/>
                <w:sz w:val="21"/>
                <w:szCs w:val="21"/>
              </w:rPr>
            </w:pPr>
            <w:r>
              <w:rPr>
                <w:noProof/>
                <w:sz w:val="21"/>
                <w:szCs w:val="21"/>
              </w:rPr>
              <w:t>September – December 2019</w:t>
            </w:r>
          </w:p>
        </w:tc>
        <w:tc>
          <w:tcPr>
            <w:tcW w:w="4252" w:type="dxa"/>
          </w:tcPr>
          <w:p>
            <w:pPr>
              <w:spacing w:before="100" w:beforeAutospacing="1" w:after="100" w:afterAutospacing="1" w:line="264" w:lineRule="auto"/>
              <w:rPr>
                <w:noProof/>
                <w:sz w:val="21"/>
                <w:szCs w:val="21"/>
              </w:rPr>
            </w:pPr>
            <w:r>
              <w:rPr>
                <w:noProof/>
                <w:sz w:val="21"/>
                <w:szCs w:val="21"/>
              </w:rPr>
              <w:t>48 interviewees:</w:t>
            </w:r>
          </w:p>
          <w:p>
            <w:pPr>
              <w:pStyle w:val="ListParagraph"/>
              <w:numPr>
                <w:ilvl w:val="0"/>
                <w:numId w:val="39"/>
              </w:numPr>
              <w:spacing w:before="100" w:beforeAutospacing="1" w:after="100" w:afterAutospacing="1" w:line="264" w:lineRule="auto"/>
              <w:ind w:left="501" w:hanging="307"/>
              <w:contextualSpacing w:val="0"/>
              <w:rPr>
                <w:rFonts w:ascii="Times New Roman" w:hAnsi="Times New Roman" w:cs="Times New Roman"/>
                <w:noProof/>
                <w:sz w:val="21"/>
                <w:szCs w:val="21"/>
                <w:lang w:val="en-GB" w:eastAsia="fr-BE"/>
              </w:rPr>
            </w:pPr>
            <w:r>
              <w:rPr>
                <w:rFonts w:ascii="Times New Roman" w:hAnsi="Times New Roman" w:cs="Times New Roman"/>
                <w:noProof/>
                <w:sz w:val="21"/>
                <w:szCs w:val="21"/>
                <w:lang w:val="en-GB" w:eastAsia="fr-BE"/>
              </w:rPr>
              <w:t>8 academic/research institutions/research infrastructures (17%)</w:t>
            </w:r>
          </w:p>
          <w:p>
            <w:pPr>
              <w:pStyle w:val="ListParagraph"/>
              <w:numPr>
                <w:ilvl w:val="0"/>
                <w:numId w:val="39"/>
              </w:numPr>
              <w:spacing w:before="100" w:beforeAutospacing="1" w:after="100" w:afterAutospacing="1" w:line="264" w:lineRule="auto"/>
              <w:ind w:left="501" w:hanging="307"/>
              <w:contextualSpacing w:val="0"/>
              <w:rPr>
                <w:rFonts w:ascii="Times New Roman" w:hAnsi="Times New Roman" w:cs="Times New Roman"/>
                <w:noProof/>
                <w:sz w:val="21"/>
                <w:szCs w:val="21"/>
                <w:lang w:val="en-GB" w:eastAsia="fr-BE"/>
              </w:rPr>
            </w:pPr>
            <w:r>
              <w:rPr>
                <w:rFonts w:ascii="Times New Roman" w:hAnsi="Times New Roman" w:cs="Times New Roman"/>
                <w:noProof/>
                <w:sz w:val="21"/>
                <w:szCs w:val="21"/>
                <w:lang w:val="en-GB" w:eastAsia="fr-BE"/>
              </w:rPr>
              <w:t>22 companies/business associations (46%)</w:t>
            </w:r>
          </w:p>
          <w:p>
            <w:pPr>
              <w:pStyle w:val="ListParagraph"/>
              <w:numPr>
                <w:ilvl w:val="0"/>
                <w:numId w:val="39"/>
              </w:numPr>
              <w:spacing w:before="100" w:beforeAutospacing="1" w:after="100" w:afterAutospacing="1" w:line="264" w:lineRule="auto"/>
              <w:ind w:left="501" w:hanging="307"/>
              <w:contextualSpacing w:val="0"/>
              <w:rPr>
                <w:rFonts w:ascii="Times New Roman" w:hAnsi="Times New Roman" w:cs="Times New Roman"/>
                <w:noProof/>
                <w:sz w:val="21"/>
                <w:szCs w:val="21"/>
                <w:lang w:val="en-GB" w:eastAsia="fr-BE"/>
              </w:rPr>
            </w:pPr>
            <w:r>
              <w:rPr>
                <w:rFonts w:ascii="Times New Roman" w:hAnsi="Times New Roman" w:cs="Times New Roman"/>
                <w:noProof/>
                <w:sz w:val="21"/>
                <w:szCs w:val="21"/>
                <w:lang w:val="en-GB" w:eastAsia="fr-BE"/>
              </w:rPr>
              <w:t>4 NGOs: patient associations (8%)</w:t>
            </w:r>
          </w:p>
          <w:p>
            <w:pPr>
              <w:pStyle w:val="ListParagraph"/>
              <w:numPr>
                <w:ilvl w:val="0"/>
                <w:numId w:val="39"/>
              </w:numPr>
              <w:spacing w:before="100" w:beforeAutospacing="1" w:after="100" w:afterAutospacing="1" w:line="264" w:lineRule="auto"/>
              <w:ind w:left="501" w:hanging="307"/>
              <w:contextualSpacing w:val="0"/>
              <w:rPr>
                <w:rFonts w:ascii="Times New Roman" w:hAnsi="Times New Roman" w:cs="Times New Roman"/>
                <w:noProof/>
                <w:sz w:val="21"/>
                <w:szCs w:val="21"/>
                <w:lang w:val="en-GB" w:eastAsia="fr-BE"/>
              </w:rPr>
            </w:pPr>
            <w:r>
              <w:rPr>
                <w:rFonts w:ascii="Times New Roman" w:hAnsi="Times New Roman" w:cs="Times New Roman"/>
                <w:noProof/>
                <w:sz w:val="21"/>
                <w:szCs w:val="21"/>
                <w:lang w:val="en-GB" w:eastAsia="fr-BE"/>
              </w:rPr>
              <w:t>5 public authorities incl. regulators, HTA bodies and payers (10%)</w:t>
            </w:r>
          </w:p>
          <w:p>
            <w:pPr>
              <w:pStyle w:val="ListParagraph"/>
              <w:numPr>
                <w:ilvl w:val="0"/>
                <w:numId w:val="39"/>
              </w:numPr>
              <w:spacing w:before="100" w:beforeAutospacing="1" w:after="100" w:afterAutospacing="1" w:line="264" w:lineRule="auto"/>
              <w:ind w:left="501" w:hanging="307"/>
              <w:contextualSpacing w:val="0"/>
              <w:rPr>
                <w:rFonts w:ascii="Times New Roman" w:hAnsi="Times New Roman" w:cs="Times New Roman"/>
                <w:noProof/>
                <w:sz w:val="21"/>
                <w:szCs w:val="21"/>
                <w:lang w:val="en-GB"/>
              </w:rPr>
            </w:pPr>
            <w:r>
              <w:rPr>
                <w:rFonts w:ascii="Times New Roman" w:hAnsi="Times New Roman" w:cs="Times New Roman"/>
                <w:noProof/>
                <w:sz w:val="21"/>
                <w:szCs w:val="21"/>
                <w:lang w:val="en-GB" w:eastAsia="fr-BE"/>
              </w:rPr>
              <w:t>7 European Commission officials (15%)</w:t>
            </w:r>
          </w:p>
          <w:p>
            <w:pPr>
              <w:pStyle w:val="ListParagraph"/>
              <w:numPr>
                <w:ilvl w:val="0"/>
                <w:numId w:val="39"/>
              </w:numPr>
              <w:spacing w:before="100" w:beforeAutospacing="1" w:after="100" w:afterAutospacing="1" w:line="264" w:lineRule="auto"/>
              <w:ind w:left="501" w:hanging="307"/>
              <w:contextualSpacing w:val="0"/>
              <w:rPr>
                <w:rFonts w:ascii="Times New Roman" w:hAnsi="Times New Roman" w:cs="Times New Roman"/>
                <w:noProof/>
                <w:sz w:val="21"/>
                <w:szCs w:val="21"/>
                <w:lang w:val="en-GB"/>
              </w:rPr>
            </w:pPr>
            <w:r>
              <w:rPr>
                <w:rFonts w:ascii="Times New Roman" w:hAnsi="Times New Roman" w:cs="Times New Roman"/>
                <w:noProof/>
                <w:sz w:val="21"/>
                <w:szCs w:val="21"/>
                <w:lang w:val="en-GB" w:eastAsia="fr-BE"/>
              </w:rPr>
              <w:t>2 members of the management team of the current public-private partnership (4%)</w:t>
            </w:r>
          </w:p>
        </w:tc>
      </w:tr>
      <w:tr>
        <w:trPr>
          <w:trHeight w:val="70"/>
        </w:trPr>
        <w:tc>
          <w:tcPr>
            <w:tcW w:w="2660" w:type="dxa"/>
          </w:tcPr>
          <w:p>
            <w:pPr>
              <w:pStyle w:val="ListDash1"/>
              <w:numPr>
                <w:ilvl w:val="0"/>
                <w:numId w:val="0"/>
              </w:numPr>
              <w:spacing w:before="100" w:beforeAutospacing="1" w:after="100" w:afterAutospacing="1" w:line="264" w:lineRule="auto"/>
              <w:rPr>
                <w:noProof/>
                <w:sz w:val="21"/>
                <w:szCs w:val="21"/>
              </w:rPr>
            </w:pPr>
            <w:r>
              <w:rPr>
                <w:noProof/>
                <w:sz w:val="21"/>
                <w:szCs w:val="21"/>
              </w:rPr>
              <w:t xml:space="preserve">Open public consultation </w:t>
            </w:r>
          </w:p>
        </w:tc>
        <w:tc>
          <w:tcPr>
            <w:tcW w:w="2268" w:type="dxa"/>
          </w:tcPr>
          <w:p>
            <w:pPr>
              <w:pStyle w:val="ListDash1"/>
              <w:numPr>
                <w:ilvl w:val="0"/>
                <w:numId w:val="0"/>
              </w:numPr>
              <w:spacing w:before="100" w:beforeAutospacing="1" w:after="100" w:afterAutospacing="1" w:line="264" w:lineRule="auto"/>
              <w:jc w:val="left"/>
              <w:rPr>
                <w:noProof/>
                <w:sz w:val="21"/>
                <w:szCs w:val="21"/>
              </w:rPr>
            </w:pPr>
            <w:r>
              <w:rPr>
                <w:noProof/>
                <w:sz w:val="21"/>
                <w:szCs w:val="21"/>
              </w:rPr>
              <w:t>September – November 2019</w:t>
            </w:r>
          </w:p>
        </w:tc>
        <w:tc>
          <w:tcPr>
            <w:tcW w:w="4252" w:type="dxa"/>
          </w:tcPr>
          <w:p>
            <w:pPr>
              <w:spacing w:before="100" w:beforeAutospacing="1" w:after="100" w:afterAutospacing="1" w:line="264" w:lineRule="auto"/>
              <w:rPr>
                <w:noProof/>
                <w:sz w:val="21"/>
                <w:szCs w:val="21"/>
              </w:rPr>
            </w:pPr>
            <w:r>
              <w:rPr>
                <w:noProof/>
                <w:sz w:val="21"/>
                <w:szCs w:val="21"/>
              </w:rPr>
              <w:t>108 respondents:</w:t>
            </w:r>
          </w:p>
          <w:p>
            <w:pPr>
              <w:pStyle w:val="ListParagraph"/>
              <w:numPr>
                <w:ilvl w:val="0"/>
                <w:numId w:val="39"/>
              </w:numPr>
              <w:spacing w:before="100" w:beforeAutospacing="1" w:after="100" w:afterAutospacing="1" w:line="264" w:lineRule="auto"/>
              <w:ind w:left="471" w:hanging="266"/>
              <w:contextualSpacing w:val="0"/>
              <w:rPr>
                <w:rFonts w:ascii="Times New Roman" w:hAnsi="Times New Roman" w:cs="Times New Roman"/>
                <w:noProof/>
                <w:sz w:val="21"/>
                <w:szCs w:val="21"/>
                <w:lang w:val="en-GB" w:eastAsia="fr-BE"/>
              </w:rPr>
            </w:pPr>
            <w:r>
              <w:rPr>
                <w:rFonts w:ascii="Times New Roman" w:hAnsi="Times New Roman" w:cs="Times New Roman"/>
                <w:noProof/>
                <w:sz w:val="21"/>
                <w:szCs w:val="21"/>
                <w:lang w:val="en-GB" w:eastAsia="fr-BE"/>
              </w:rPr>
              <w:t>35 academic/research institutions (32%)</w:t>
            </w:r>
          </w:p>
          <w:p>
            <w:pPr>
              <w:pStyle w:val="ListParagraph"/>
              <w:numPr>
                <w:ilvl w:val="0"/>
                <w:numId w:val="39"/>
              </w:numPr>
              <w:spacing w:before="100" w:beforeAutospacing="1" w:after="100" w:afterAutospacing="1" w:line="264" w:lineRule="auto"/>
              <w:ind w:left="471" w:hanging="266"/>
              <w:contextualSpacing w:val="0"/>
              <w:rPr>
                <w:rFonts w:ascii="Times New Roman" w:hAnsi="Times New Roman" w:cs="Times New Roman"/>
                <w:noProof/>
                <w:sz w:val="21"/>
                <w:szCs w:val="21"/>
                <w:lang w:val="en-GB" w:eastAsia="fr-BE"/>
              </w:rPr>
            </w:pPr>
            <w:r>
              <w:rPr>
                <w:rFonts w:ascii="Times New Roman" w:hAnsi="Times New Roman" w:cs="Times New Roman"/>
                <w:noProof/>
                <w:sz w:val="21"/>
                <w:szCs w:val="21"/>
                <w:lang w:val="en-GB" w:eastAsia="fr-BE"/>
              </w:rPr>
              <w:t>19 companies/business organisations (19%)</w:t>
            </w:r>
          </w:p>
          <w:p>
            <w:pPr>
              <w:pStyle w:val="ListParagraph"/>
              <w:numPr>
                <w:ilvl w:val="0"/>
                <w:numId w:val="39"/>
              </w:numPr>
              <w:spacing w:before="100" w:beforeAutospacing="1" w:after="100" w:afterAutospacing="1" w:line="264" w:lineRule="auto"/>
              <w:ind w:left="471" w:hanging="266"/>
              <w:contextualSpacing w:val="0"/>
              <w:rPr>
                <w:rFonts w:ascii="Times New Roman" w:hAnsi="Times New Roman" w:cs="Times New Roman"/>
                <w:noProof/>
                <w:sz w:val="21"/>
                <w:szCs w:val="21"/>
                <w:lang w:val="en-GB" w:eastAsia="fr-BE"/>
              </w:rPr>
            </w:pPr>
            <w:r>
              <w:rPr>
                <w:rFonts w:ascii="Times New Roman" w:hAnsi="Times New Roman" w:cs="Times New Roman"/>
                <w:noProof/>
                <w:sz w:val="21"/>
                <w:szCs w:val="21"/>
                <w:lang w:val="en-GB" w:eastAsia="fr-BE"/>
              </w:rPr>
              <w:t>17 EU citizens (16%)</w:t>
            </w:r>
          </w:p>
        </w:tc>
      </w:tr>
    </w:tbl>
    <w:p>
      <w:pPr>
        <w:pStyle w:val="Text2"/>
        <w:spacing w:before="100" w:beforeAutospacing="1" w:after="100" w:afterAutospacing="1"/>
        <w:ind w:left="0"/>
        <w:rPr>
          <w:noProof/>
        </w:rPr>
      </w:pPr>
      <w:r>
        <w:rPr>
          <w:noProof/>
        </w:rPr>
        <w:t>In terms of methods, public consultations were based on structured questionnaires also including open questions and offering the possibility to hand in position papers with additional information. If needed, depending on the number of replies, responses were first scanned using text-mining technique to facilitate further analysis.</w:t>
      </w:r>
    </w:p>
    <w:p>
      <w:pPr>
        <w:pStyle w:val="Heading3"/>
        <w:spacing w:before="100" w:beforeAutospacing="1" w:after="100" w:afterAutospacing="1"/>
        <w:ind w:left="2138"/>
        <w:rPr>
          <w:b/>
          <w:noProof/>
        </w:rPr>
      </w:pPr>
      <w:bookmarkStart w:id="56" w:name="_Toc52793614"/>
      <w:r>
        <w:rPr>
          <w:b/>
          <w:noProof/>
        </w:rPr>
        <w:t>Feedback to the inception impact assessment</w:t>
      </w:r>
      <w:bookmarkEnd w:id="56"/>
      <w:r>
        <w:rPr>
          <w:b/>
          <w:noProof/>
        </w:rPr>
        <w:t xml:space="preserve"> </w:t>
      </w:r>
    </w:p>
    <w:p>
      <w:pPr>
        <w:pStyle w:val="Default"/>
        <w:spacing w:before="100" w:beforeAutospacing="1" w:after="100" w:afterAutospacing="1"/>
        <w:jc w:val="both"/>
        <w:rPr>
          <w:noProof/>
          <w:sz w:val="23"/>
          <w:szCs w:val="23"/>
          <w:lang w:val="en-GB"/>
        </w:rPr>
      </w:pPr>
      <w:r>
        <w:rPr>
          <w:noProof/>
          <w:sz w:val="23"/>
          <w:szCs w:val="23"/>
          <w:lang w:val="en-GB"/>
        </w:rPr>
        <w:t xml:space="preserve">Following the publication of the inception impact assessment, a feedback phase of 3 weeks allowed any citizen to provide input on the proposed initiatives on the “Have your say” web portal. In total 43 individual feedbacks were collected from NGOs (14; 32%), academic/research institutions (12; 28%), business associations (9; 21%), public authorities including the German government (5;12%) and EU citizens (3; 7%). </w:t>
      </w:r>
    </w:p>
    <w:p>
      <w:pPr>
        <w:spacing w:before="100" w:beforeAutospacing="1" w:after="100" w:afterAutospacing="1"/>
        <w:rPr>
          <w:b/>
          <w:noProof/>
        </w:rPr>
      </w:pPr>
      <w:r>
        <w:rPr>
          <w:b/>
          <w:noProof/>
        </w:rPr>
        <w:t>Relevance of the initiative and implementation mode</w:t>
      </w:r>
    </w:p>
    <w:p>
      <w:pPr>
        <w:spacing w:before="100" w:beforeAutospacing="1" w:after="100" w:afterAutospacing="1"/>
        <w:rPr>
          <w:noProof/>
          <w:szCs w:val="24"/>
        </w:rPr>
      </w:pPr>
      <w:r>
        <w:rPr>
          <w:noProof/>
        </w:rPr>
        <w:t xml:space="preserve">Three quarters of the respondents (32/43, 74%) explicitly expressed their support to the initiative (around 90% among business associations and academic/research institutions and 60% of public authorities and NGOs). No respondent gave a negative opinion on the proposed roadmap. Among the 18 respondents who explicitly expressed their preference regarding the </w:t>
      </w:r>
      <w:r>
        <w:rPr>
          <w:noProof/>
          <w:szCs w:val="24"/>
        </w:rPr>
        <w:t xml:space="preserve">implementation mode, all but one were in favour of an Institutionalised Partnership and one in favour of a co-programmed partnership. </w:t>
      </w:r>
    </w:p>
    <w:p>
      <w:pPr>
        <w:spacing w:before="100" w:beforeAutospacing="1" w:after="100" w:afterAutospacing="1"/>
        <w:rPr>
          <w:noProof/>
          <w:szCs w:val="24"/>
        </w:rPr>
      </w:pPr>
      <w:r>
        <w:rPr>
          <w:noProof/>
          <w:szCs w:val="24"/>
        </w:rPr>
        <w:t>Comments made from the respondents of the public and private sectors varied in terms of focus:</w:t>
      </w:r>
    </w:p>
    <w:p>
      <w:pPr>
        <w:pStyle w:val="ListParagraph"/>
        <w:numPr>
          <w:ilvl w:val="0"/>
          <w:numId w:val="50"/>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public actors called for broader stakeholder involvement, transparency, open access to research results, public return on investment, and increased participation of SMEs;</w:t>
      </w:r>
    </w:p>
    <w:p>
      <w:pPr>
        <w:pStyle w:val="ListParagraph"/>
        <w:numPr>
          <w:ilvl w:val="0"/>
          <w:numId w:val="50"/>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business associations called for flexibility in various aspects of the partnership: topic generation process, funding models, in-kind contributions from industry, legal framework for intellectual property management, and better involvement of SMEs.</w:t>
      </w:r>
    </w:p>
    <w:p>
      <w:pPr>
        <w:spacing w:before="100" w:beforeAutospacing="1" w:after="100" w:afterAutospacing="1"/>
        <w:rPr>
          <w:b/>
          <w:noProof/>
        </w:rPr>
      </w:pPr>
      <w:r>
        <w:rPr>
          <w:noProof/>
          <w:szCs w:val="24"/>
        </w:rPr>
        <w:t>This feedback is presented below according to the following categories: stakeholder involvement (in governance including priority setting, and in programme implementation), involvement of SMEs, transparency</w:t>
      </w:r>
      <w:r>
        <w:rPr>
          <w:noProof/>
        </w:rPr>
        <w:t xml:space="preserve"> issues, participation from third countries, funding models, open access to research results, intellectual property right management, public return on investment, synergies with other initiatives, ethics and data privacy issues, sustainability of projects’ results, and comments related to the R&amp;I content of the potential partnership.</w:t>
      </w:r>
    </w:p>
    <w:p>
      <w:pPr>
        <w:spacing w:before="100" w:beforeAutospacing="1" w:after="100" w:afterAutospacing="1"/>
        <w:rPr>
          <w:b/>
          <w:noProof/>
        </w:rPr>
      </w:pPr>
      <w:r>
        <w:rPr>
          <w:b/>
          <w:noProof/>
        </w:rPr>
        <w:t>Stakeholder involvement</w:t>
      </w:r>
    </w:p>
    <w:p>
      <w:pPr>
        <w:spacing w:before="100" w:beforeAutospacing="1" w:after="100" w:afterAutospacing="1"/>
        <w:rPr>
          <w:noProof/>
        </w:rPr>
      </w:pPr>
      <w:r>
        <w:rPr>
          <w:noProof/>
        </w:rPr>
        <w:t xml:space="preserve">There was a general call from respondents of the public sector for the involvement of a broader variety of stakeholders in the partnership beyond industry and academics: patients’ organisations, health care payers, regulators, health and social care professionals, health care providers, national health system actors and public authorities, Research and Technology Organisations, and to a lesser extent, civil society organisations and citizens’ groups were mentioned. A broader stakeholder involvement is expected at different levels: in the governance of the partnership, including in research priority setting, and in the implementation of the programme itself, including topic generation and participation in projects. </w:t>
      </w:r>
    </w:p>
    <w:p>
      <w:pPr>
        <w:spacing w:before="100" w:beforeAutospacing="1" w:after="100" w:afterAutospacing="1"/>
        <w:rPr>
          <w:noProof/>
        </w:rPr>
      </w:pPr>
      <w:r>
        <w:rPr>
          <w:noProof/>
          <w:u w:val="single"/>
        </w:rPr>
        <w:t>Regarding governance and priority setting</w:t>
      </w:r>
      <w:r>
        <w:rPr>
          <w:noProof/>
        </w:rPr>
        <w:t xml:space="preserve">, respondents from the public sector requested a model that would enable multi-stakeholder collaboration with a balance of relevant stakeholders in strategic decision-making and a stronger role of the Commission and national authorities. Respondents highlighted the need to put in place mechanisms ensuring that priorities will be set according to public health needs. </w:t>
      </w:r>
    </w:p>
    <w:p>
      <w:pPr>
        <w:spacing w:before="100" w:beforeAutospacing="1" w:after="100" w:afterAutospacing="1"/>
        <w:rPr>
          <w:noProof/>
        </w:rPr>
      </w:pPr>
      <w:r>
        <w:rPr>
          <w:noProof/>
          <w:u w:val="single"/>
        </w:rPr>
        <w:t>Regarding programme implementation including generation of call topics</w:t>
      </w:r>
      <w:r>
        <w:rPr>
          <w:noProof/>
        </w:rPr>
        <w:t xml:space="preserve">, there was a call for an inclusive process of topic generation involving patients, health care providers, health care professionals, and regulatory agencies. Respondents indicated the need for a balanced role of partners within the projects, in particular in projects addressing highly sensitive areas (e.g. projects on regulatory research). </w:t>
      </w:r>
    </w:p>
    <w:p>
      <w:pPr>
        <w:spacing w:before="100" w:beforeAutospacing="1" w:after="100" w:afterAutospacing="1"/>
        <w:rPr>
          <w:noProof/>
        </w:rPr>
      </w:pPr>
      <w:r>
        <w:rPr>
          <w:b/>
          <w:noProof/>
        </w:rPr>
        <w:t>Involvement of SMEs</w:t>
      </w:r>
    </w:p>
    <w:p>
      <w:pPr>
        <w:spacing w:before="100" w:beforeAutospacing="1" w:after="100" w:afterAutospacing="1"/>
        <w:rPr>
          <w:noProof/>
        </w:rPr>
      </w:pPr>
      <w:r>
        <w:rPr>
          <w:noProof/>
        </w:rPr>
        <w:t xml:space="preserve">Improved involvement of SMEs was strongly supported, in particular by business associations. The unique contribution of SMEs to the development of innovative health solutions was stressed by several respondents. To facilitate the participation of SMEs, the following measures were suggested: a legal framework respecting intellectual property ownership requirements for SMEs, a limitation of the administrative burden (and therefore a limitation of topics’ scopes to limit consortia sizes), and process simplification (simple formats for proposals, fast feedback, simple reporting). </w:t>
      </w:r>
    </w:p>
    <w:p>
      <w:pPr>
        <w:spacing w:before="100" w:beforeAutospacing="1" w:after="100" w:afterAutospacing="1"/>
        <w:rPr>
          <w:b/>
          <w:noProof/>
        </w:rPr>
      </w:pPr>
      <w:r>
        <w:rPr>
          <w:b/>
          <w:noProof/>
        </w:rPr>
        <w:t>Transparency</w:t>
      </w:r>
    </w:p>
    <w:p>
      <w:pPr>
        <w:spacing w:before="100" w:beforeAutospacing="1" w:after="100" w:afterAutospacing="1"/>
        <w:rPr>
          <w:noProof/>
        </w:rPr>
      </w:pPr>
      <w:r>
        <w:rPr>
          <w:noProof/>
        </w:rPr>
        <w:t>Respondents form the public sector and in particular NGOs explicitly called for greater transparency with regard to decision-making processes (including in agenda-setting process) and in-kind contribution related to operational activities provided by the industry.</w:t>
      </w:r>
    </w:p>
    <w:p>
      <w:pPr>
        <w:spacing w:before="100" w:beforeAutospacing="1" w:after="100" w:afterAutospacing="1"/>
        <w:rPr>
          <w:b/>
          <w:noProof/>
        </w:rPr>
      </w:pPr>
      <w:r>
        <w:rPr>
          <w:b/>
          <w:noProof/>
        </w:rPr>
        <w:t>Participation of third countries</w:t>
      </w:r>
    </w:p>
    <w:p>
      <w:pPr>
        <w:pStyle w:val="Default"/>
        <w:jc w:val="both"/>
        <w:rPr>
          <w:rFonts w:ascii="Calibri" w:hAnsi="Calibri" w:cs="Calibri"/>
          <w:noProof/>
          <w:sz w:val="22"/>
          <w:szCs w:val="22"/>
          <w:lang w:val="en-GB"/>
        </w:rPr>
      </w:pPr>
      <w:r>
        <w:rPr>
          <w:noProof/>
          <w:lang w:val="en-GB"/>
        </w:rPr>
        <w:t>Business associations strongly advocated for eligibility of in-kind contributions without limitation for non-EU legal entities while the German government argued that the core of the activities and of the industry contributions needed to remain in Europe, even though international partners could provide valuable input to the initiative especially in the field of global health.</w:t>
      </w:r>
      <w:r>
        <w:rPr>
          <w:rFonts w:ascii="Calibri" w:hAnsi="Calibri" w:cs="Calibri"/>
          <w:noProof/>
          <w:sz w:val="22"/>
          <w:szCs w:val="22"/>
          <w:lang w:val="en-GB"/>
        </w:rPr>
        <w:t xml:space="preserve"> </w:t>
      </w:r>
    </w:p>
    <w:p>
      <w:pPr>
        <w:spacing w:before="100" w:beforeAutospacing="1" w:after="100" w:afterAutospacing="1"/>
        <w:rPr>
          <w:b/>
          <w:noProof/>
        </w:rPr>
      </w:pPr>
      <w:r>
        <w:rPr>
          <w:b/>
          <w:noProof/>
        </w:rPr>
        <w:t>Industry contribution and funding models</w:t>
      </w:r>
    </w:p>
    <w:p>
      <w:pPr>
        <w:spacing w:before="100" w:beforeAutospacing="1" w:after="100" w:afterAutospacing="1"/>
        <w:rPr>
          <w:noProof/>
        </w:rPr>
      </w:pPr>
      <w:r>
        <w:rPr>
          <w:noProof/>
        </w:rPr>
        <w:t xml:space="preserve">Business associations asked for a funding model that encourages diverse in-kind contributions. Some companies were in favour of a flexible funding model where industry could be eligible for receiving funding, including large companies and mid-caps. Financial contribution from industry partners was suggested by some respondents form the public sector (NGO and public authority). </w:t>
      </w:r>
    </w:p>
    <w:p>
      <w:pPr>
        <w:spacing w:before="100" w:beforeAutospacing="1" w:after="100" w:afterAutospacing="1"/>
        <w:jc w:val="left"/>
        <w:rPr>
          <w:b/>
          <w:noProof/>
          <w:szCs w:val="24"/>
        </w:rPr>
      </w:pPr>
      <w:r>
        <w:rPr>
          <w:b/>
          <w:noProof/>
          <w:szCs w:val="24"/>
        </w:rPr>
        <w:t>Open access to research results</w:t>
      </w:r>
    </w:p>
    <w:p>
      <w:pPr>
        <w:spacing w:before="100" w:beforeAutospacing="1" w:after="100" w:afterAutospacing="1"/>
        <w:rPr>
          <w:noProof/>
        </w:rPr>
      </w:pPr>
      <w:r>
        <w:rPr>
          <w:noProof/>
        </w:rPr>
        <w:t>Respondents from the public sector and in particular NGOs strongly called for open access to research results (mandatory and free) with derogations restricted to rare circumstances.</w:t>
      </w:r>
    </w:p>
    <w:p>
      <w:pPr>
        <w:spacing w:before="100" w:beforeAutospacing="1" w:after="100" w:afterAutospacing="1"/>
        <w:jc w:val="left"/>
        <w:rPr>
          <w:b/>
          <w:noProof/>
          <w:szCs w:val="24"/>
        </w:rPr>
      </w:pPr>
      <w:r>
        <w:rPr>
          <w:b/>
          <w:noProof/>
          <w:szCs w:val="24"/>
        </w:rPr>
        <w:t xml:space="preserve">Intellectual property rights management </w:t>
      </w:r>
    </w:p>
    <w:p>
      <w:pPr>
        <w:spacing w:before="100" w:beforeAutospacing="1" w:after="100" w:afterAutospacing="1"/>
        <w:rPr>
          <w:noProof/>
        </w:rPr>
      </w:pPr>
      <w:r>
        <w:rPr>
          <w:noProof/>
        </w:rPr>
        <w:t>Some NGOs asked that ownership of publicly funded R&amp;I results</w:t>
      </w:r>
      <w:r>
        <w:rPr>
          <w:b/>
          <w:noProof/>
        </w:rPr>
        <w:t xml:space="preserve"> </w:t>
      </w:r>
      <w:r>
        <w:rPr>
          <w:noProof/>
        </w:rPr>
        <w:t xml:space="preserve">be driven by public interest and that various forms of intellectual property management and licensing be explored, including equitable licensing. Other respondents including business associations, and the German government, advocated for a revision of the rules for intellectual property rights to facilitate the involvement of the new industrial sectors with different business models and to offer better opportunities for SMEs to participate. </w:t>
      </w:r>
    </w:p>
    <w:p>
      <w:pPr>
        <w:spacing w:before="100" w:beforeAutospacing="1" w:after="100" w:afterAutospacing="1"/>
        <w:jc w:val="left"/>
        <w:rPr>
          <w:b/>
          <w:noProof/>
          <w:szCs w:val="24"/>
        </w:rPr>
      </w:pPr>
      <w:r>
        <w:rPr>
          <w:b/>
          <w:noProof/>
          <w:szCs w:val="24"/>
        </w:rPr>
        <w:t>Public return on investment</w:t>
      </w:r>
    </w:p>
    <w:p>
      <w:pPr>
        <w:spacing w:before="100" w:beforeAutospacing="1" w:after="100" w:afterAutospacing="1"/>
        <w:rPr>
          <w:noProof/>
        </w:rPr>
      </w:pPr>
      <w:r>
        <w:rPr>
          <w:noProof/>
        </w:rPr>
        <w:t xml:space="preserve">Some NGOs called upon public return on investment by ensuring complete transparency regarding the costs of research, development and production and by safeguarding equitable access to publicly funded biomedical R&amp;I: “Parties receiving EU biomedical R&amp;I funding should agree on provisions to tackle the end product’s affordability, accessibility, availability and efficiency along all the R&amp;I stages”. </w:t>
      </w:r>
    </w:p>
    <w:p>
      <w:pPr>
        <w:spacing w:before="100" w:beforeAutospacing="1" w:after="100" w:afterAutospacing="1"/>
        <w:rPr>
          <w:b/>
          <w:noProof/>
        </w:rPr>
      </w:pPr>
      <w:r>
        <w:rPr>
          <w:b/>
          <w:noProof/>
        </w:rPr>
        <w:t>Ethics and data privacy issues</w:t>
      </w:r>
    </w:p>
    <w:p>
      <w:pPr>
        <w:spacing w:before="100" w:beforeAutospacing="1" w:after="100" w:afterAutospacing="1"/>
        <w:rPr>
          <w:noProof/>
        </w:rPr>
      </w:pPr>
      <w:r>
        <w:rPr>
          <w:noProof/>
        </w:rPr>
        <w:t xml:space="preserve">Respondents highlighted the importance of addressing ethics and data privacy issues in the programme. One respondent called for ethical debates on the limits of digitalization, robotisation and the use of AI in the provision of health care so that to pave the way for a human-centred use of new technologies. </w:t>
      </w:r>
    </w:p>
    <w:p>
      <w:pPr>
        <w:spacing w:before="100" w:beforeAutospacing="1" w:after="100" w:afterAutospacing="1"/>
        <w:rPr>
          <w:b/>
          <w:noProof/>
        </w:rPr>
      </w:pPr>
      <w:r>
        <w:rPr>
          <w:b/>
          <w:noProof/>
        </w:rPr>
        <w:t>Synergies with other initiatives</w:t>
      </w:r>
    </w:p>
    <w:p>
      <w:pPr>
        <w:spacing w:before="100" w:beforeAutospacing="1" w:after="100" w:afterAutospacing="1"/>
        <w:rPr>
          <w:noProof/>
        </w:rPr>
      </w:pPr>
      <w:r>
        <w:rPr>
          <w:noProof/>
        </w:rPr>
        <w:t xml:space="preserve">Respondents highlighted the need for alignment, synergies and collaborations with i) national and regional initiatives and ii) other EU funded programmes, especially other candidate partnerships such as EU-Africa Global Health, Health and Care Systems Transformation, Personalised Medicine and Rare Diseases. </w:t>
      </w:r>
    </w:p>
    <w:p>
      <w:pPr>
        <w:spacing w:before="100" w:beforeAutospacing="1" w:after="100" w:afterAutospacing="1"/>
        <w:jc w:val="left"/>
        <w:rPr>
          <w:b/>
          <w:noProof/>
          <w:szCs w:val="24"/>
        </w:rPr>
      </w:pPr>
      <w:r>
        <w:rPr>
          <w:b/>
          <w:noProof/>
          <w:szCs w:val="24"/>
        </w:rPr>
        <w:t>Sustainability of project results</w:t>
      </w:r>
    </w:p>
    <w:p>
      <w:pPr>
        <w:spacing w:before="100" w:beforeAutospacing="1" w:after="100" w:afterAutospacing="1"/>
        <w:rPr>
          <w:noProof/>
        </w:rPr>
      </w:pPr>
      <w:r>
        <w:rPr>
          <w:noProof/>
        </w:rPr>
        <w:t xml:space="preserve">The issue around sustainability of project results beyond the lifetime of individual projects was mentioned at several occasions. Solutions were asked in particular for sustainability of data infrastructures (e.g., through models of financing large equipment and data access handling). </w:t>
      </w:r>
    </w:p>
    <w:p>
      <w:pPr>
        <w:spacing w:before="100" w:beforeAutospacing="1" w:after="100" w:afterAutospacing="1"/>
        <w:rPr>
          <w:b/>
          <w:noProof/>
          <w:szCs w:val="24"/>
        </w:rPr>
      </w:pPr>
      <w:r>
        <w:rPr>
          <w:b/>
          <w:noProof/>
          <w:szCs w:val="24"/>
        </w:rPr>
        <w:t>Comments related to the R&amp;I content of the partnership.</w:t>
      </w:r>
    </w:p>
    <w:p>
      <w:pPr>
        <w:spacing w:before="100" w:beforeAutospacing="1" w:after="100" w:afterAutospacing="1"/>
        <w:rPr>
          <w:noProof/>
        </w:rPr>
      </w:pPr>
      <w:r>
        <w:rPr>
          <w:noProof/>
          <w:szCs w:val="24"/>
        </w:rPr>
        <w:t>Specifically, r</w:t>
      </w:r>
      <w:r>
        <w:rPr>
          <w:noProof/>
        </w:rPr>
        <w:t xml:space="preserve">espondents requested a better focus on and consideration of the following: </w:t>
      </w:r>
    </w:p>
    <w:p>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ight="-29"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health promotion and preventive interventions including personalised prevention, and early diagnostics in healthy population;</w:t>
      </w:r>
    </w:p>
    <w:p>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ight="-29"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sex and gender aspects (e.g. impact of digitalisation of services, implementation of artificial intelligence) as well as specific needs of subgroups of the population;</w:t>
      </w:r>
    </w:p>
    <w:p>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ight="-29"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improved cooperation between research and clinical practice;</w:t>
      </w:r>
    </w:p>
    <w:p>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ight="-29"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regulatory research;</w:t>
      </w:r>
    </w:p>
    <w:p>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ight="-29"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implementation research: methodologies to achieve large scale deployment of health care solutions and technologies;</w:t>
      </w:r>
    </w:p>
    <w:p>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ight="-238"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research in health economics;</w:t>
      </w:r>
    </w:p>
    <w:p>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284" w:right="-238"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implementation of “green technology solutions” in the manufacturing of drugs and European Union Strategic Approach to Pharmaceuticals in the Environment.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right="-238"/>
        <w:jc w:val="left"/>
        <w:rPr>
          <w:noProof/>
        </w:rPr>
      </w:pPr>
      <w:r>
        <w:rPr>
          <w:noProof/>
        </w:rPr>
        <w:t xml:space="preserve">In addition, comments were received on specific disease areas that should be considered as priorities (e.g. neglected diseases, paediatric cancer, asthma, brain disorders). </w:t>
      </w:r>
    </w:p>
    <w:p>
      <w:pPr>
        <w:pStyle w:val="Text3"/>
        <w:tabs>
          <w:tab w:val="left" w:pos="1027"/>
        </w:tabs>
        <w:spacing w:before="100" w:beforeAutospacing="1" w:after="100" w:afterAutospacing="1"/>
        <w:ind w:left="0"/>
        <w:rPr>
          <w:noProof/>
        </w:rPr>
      </w:pPr>
    </w:p>
    <w:p>
      <w:pPr>
        <w:pStyle w:val="Heading3"/>
        <w:spacing w:before="100" w:beforeAutospacing="1" w:after="100" w:afterAutospacing="1"/>
        <w:rPr>
          <w:b/>
          <w:noProof/>
        </w:rPr>
      </w:pPr>
      <w:bookmarkStart w:id="57" w:name="_Toc52793615"/>
      <w:r>
        <w:rPr>
          <w:b/>
          <w:noProof/>
        </w:rPr>
        <w:t>Structured consultation of the Member States</w:t>
      </w:r>
      <w:bookmarkEnd w:id="57"/>
    </w:p>
    <w:p>
      <w:pPr>
        <w:pStyle w:val="Body"/>
        <w:spacing w:before="100" w:beforeAutospacing="1" w:after="100" w:afterAutospacing="1"/>
        <w:rPr>
          <w:noProof/>
          <w:sz w:val="24"/>
        </w:rPr>
      </w:pPr>
      <w:r>
        <w:rPr>
          <w:noProof/>
          <w:sz w:val="24"/>
        </w:rPr>
        <w:t xml:space="preserve">A structured consultation of Member States through the Shadow Strategic Configuration of the Programme Committee Horizon Europe in May/June 2019 provided early input into the preparatory work for the candidate initiatives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spacing w:before="100" w:beforeAutospacing="1" w:after="100" w:afterAutospacing="1"/>
        <w:rPr>
          <w:noProof/>
        </w:rPr>
      </w:pPr>
      <w:r>
        <w:rPr>
          <w:noProof/>
        </w:rPr>
        <w:t xml:space="preserve">The feedback provided by 30 countries (all Member States, Iceland and Norway) was analysed and summarised in a report, with critical issues discussed at the Shadow Strategic Programme Committee meetings. </w:t>
      </w:r>
    </w:p>
    <w:p>
      <w:pPr>
        <w:spacing w:before="100" w:beforeAutospacing="1" w:after="100" w:afterAutospacing="1"/>
        <w:rPr>
          <w:noProof/>
        </w:rPr>
      </w:pPr>
      <w:r>
        <w:rPr>
          <w:noProof/>
        </w:rPr>
        <w:t xml:space="preserve">During the structured consultation of Member States, there was overall a strong endorsement of the Innovative Health Initiative, including the proposed implementation via the Institutionalised Partnership with the participation of several industry sectors. </w:t>
      </w:r>
    </w:p>
    <w:p>
      <w:pPr>
        <w:spacing w:before="100" w:beforeAutospacing="1" w:after="100" w:afterAutospacing="1"/>
        <w:rPr>
          <w:b/>
          <w:noProof/>
        </w:rPr>
      </w:pPr>
      <w:r>
        <w:rPr>
          <w:b/>
          <w:noProof/>
        </w:rPr>
        <w:t>Relevance and positioning in a national context</w:t>
      </w:r>
    </w:p>
    <w:p>
      <w:pPr>
        <w:spacing w:before="100" w:beforeAutospacing="1" w:after="100" w:afterAutospacing="1"/>
        <w:rPr>
          <w:noProof/>
          <w:szCs w:val="24"/>
        </w:rPr>
      </w:pPr>
      <w:r>
        <w:rPr>
          <w:noProof/>
        </w:rPr>
        <w:t xml:space="preserve">Overall the results of the Member States consultation confirmed the relevance of the proposed Innovative Health Initiative, with 89% considering it very relevant and 7% somewhat relevant for national policies and priorities. Equally there was a very strong confirmation of the overall relevance for research organisations, including universities, as well as for </w:t>
      </w:r>
      <w:r>
        <w:rPr>
          <w:noProof/>
          <w:szCs w:val="24"/>
        </w:rPr>
        <w:t>industry (Figure 1).</w:t>
      </w:r>
    </w:p>
    <w:p>
      <w:pPr>
        <w:spacing w:after="0"/>
        <w:jc w:val="left"/>
        <w:rPr>
          <w:i/>
          <w:noProof/>
          <w:sz w:val="22"/>
          <w:szCs w:val="22"/>
        </w:rPr>
      </w:pPr>
      <w:bookmarkStart w:id="58" w:name="_Ref34392330"/>
      <w:r>
        <w:rPr>
          <w:noProof/>
          <w:szCs w:val="22"/>
        </w:rPr>
        <w:br w:type="page"/>
      </w:r>
    </w:p>
    <w:p>
      <w:pPr>
        <w:pStyle w:val="Caption"/>
        <w:spacing w:before="100" w:beforeAutospacing="1" w:after="100" w:afterAutospacing="1"/>
        <w:rPr>
          <w:noProof/>
          <w:szCs w:val="22"/>
        </w:rPr>
      </w:pPr>
      <w:r>
        <w:rPr>
          <w:noProof/>
          <w:szCs w:val="22"/>
        </w:rPr>
        <w:t xml:space="preserve">Figure </w:t>
      </w:r>
      <w:bookmarkEnd w:id="58"/>
      <w:r>
        <w:rPr>
          <w:noProof/>
          <w:szCs w:val="22"/>
        </w:rPr>
        <w:t xml:space="preserve">1. Relevance of the Innovative Health Initiative in the national context </w:t>
      </w:r>
    </w:p>
    <w:p>
      <w:pPr>
        <w:spacing w:before="100" w:beforeAutospacing="1" w:after="100" w:afterAutospacing="1"/>
        <w:rPr>
          <w:noProof/>
        </w:rPr>
      </w:pPr>
      <w:r>
        <w:rPr>
          <w:noProof/>
          <w:lang w:eastAsia="en-GB"/>
        </w:rPr>
        <w:drawing>
          <wp:inline distT="0" distB="0" distL="0" distR="0">
            <wp:extent cx="4498340" cy="2908300"/>
            <wp:effectExtent l="0" t="0" r="1651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spacing w:before="100" w:beforeAutospacing="1" w:after="100" w:afterAutospacing="1"/>
        <w:rPr>
          <w:noProof/>
          <w:szCs w:val="24"/>
        </w:rPr>
      </w:pPr>
      <w:r>
        <w:rPr>
          <w:noProof/>
        </w:rPr>
        <w:t xml:space="preserve">On the question of existing national/regional R&amp;I strategies, plans and/ or programmes in support of the proposed Innovative Health Initiative, 28 countries (93 %) reported to have </w:t>
      </w:r>
      <w:r>
        <w:rPr>
          <w:noProof/>
          <w:szCs w:val="24"/>
        </w:rPr>
        <w:t xml:space="preserve">relevant elements in place. National R&amp;I strategies or plans were identified most frequently (89%), followed by national economic, sectoral strategy and/or plan with a strong emphasis on research and/or innovation (79%) and regional R&amp;I and/or smart specialisation strategies (75%). Dedicated funding programmes exist in 57% of the countries. </w:t>
      </w:r>
    </w:p>
    <w:p>
      <w:pPr>
        <w:spacing w:before="100" w:beforeAutospacing="1" w:after="100" w:afterAutospacing="1"/>
        <w:rPr>
          <w:noProof/>
          <w:szCs w:val="24"/>
        </w:rPr>
      </w:pPr>
      <w:r>
        <w:rPr>
          <w:noProof/>
          <w:szCs w:val="24"/>
        </w:rPr>
        <w:t>Delegations identified a number of aspects that could be reinforced in the proposal for this partnership that would increase its relevance for national priorities. There was a general call for better SME participation, including more favourable intellectual property rights for them. Other comments address e.g.:</w:t>
      </w:r>
    </w:p>
    <w:p>
      <w:pPr>
        <w:pStyle w:val="ListParagraph"/>
        <w:numPr>
          <w:ilvl w:val="0"/>
          <w:numId w:val="35"/>
        </w:numPr>
        <w:tabs>
          <w:tab w:val="left" w:pos="284"/>
        </w:tabs>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stronger role of national authorities in the governance to address the public health need and to allow for synergies with national programs; </w:t>
      </w:r>
    </w:p>
    <w:p>
      <w:pPr>
        <w:pStyle w:val="ListParagraph"/>
        <w:numPr>
          <w:ilvl w:val="0"/>
          <w:numId w:val="35"/>
        </w:numPr>
        <w:tabs>
          <w:tab w:val="left" w:pos="284"/>
        </w:tabs>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inclusion of health care providers; </w:t>
      </w:r>
    </w:p>
    <w:p>
      <w:pPr>
        <w:pStyle w:val="ListParagraph"/>
        <w:numPr>
          <w:ilvl w:val="0"/>
          <w:numId w:val="35"/>
        </w:numPr>
        <w:tabs>
          <w:tab w:val="left" w:pos="284"/>
        </w:tabs>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clear link to national health systems and an early dialogue with regulatory bodies;</w:t>
      </w:r>
    </w:p>
    <w:p>
      <w:pPr>
        <w:pStyle w:val="ListParagraph"/>
        <w:numPr>
          <w:ilvl w:val="0"/>
          <w:numId w:val="35"/>
        </w:numPr>
        <w:tabs>
          <w:tab w:val="left" w:pos="284"/>
        </w:tabs>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structured coordination with academia to support the translational process; </w:t>
      </w:r>
    </w:p>
    <w:p>
      <w:pPr>
        <w:pStyle w:val="ListParagraph"/>
        <w:numPr>
          <w:ilvl w:val="0"/>
          <w:numId w:val="35"/>
        </w:numPr>
        <w:tabs>
          <w:tab w:val="left" w:pos="284"/>
        </w:tabs>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reinforcement of the European digital industry with regard to global competitors; </w:t>
      </w:r>
    </w:p>
    <w:p>
      <w:pPr>
        <w:pStyle w:val="ListParagraph"/>
        <w:numPr>
          <w:ilvl w:val="0"/>
          <w:numId w:val="35"/>
        </w:numPr>
        <w:tabs>
          <w:tab w:val="left" w:pos="284"/>
        </w:tabs>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need to ensure that the agenda setting supports joint, converging industry collaboration;  </w:t>
      </w:r>
    </w:p>
    <w:p>
      <w:pPr>
        <w:pStyle w:val="ListParagraph"/>
        <w:numPr>
          <w:ilvl w:val="0"/>
          <w:numId w:val="35"/>
        </w:numPr>
        <w:tabs>
          <w:tab w:val="left" w:pos="284"/>
        </w:tabs>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including research on vaccines, including method development for the quality control of vaccines, as well as the implementation of “green technology solutions” in the manufacturing of drugs;  </w:t>
      </w:r>
    </w:p>
    <w:p>
      <w:pPr>
        <w:pStyle w:val="ListParagraph"/>
        <w:numPr>
          <w:ilvl w:val="0"/>
          <w:numId w:val="35"/>
        </w:numPr>
        <w:tabs>
          <w:tab w:val="left" w:pos="284"/>
        </w:tabs>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education and training of users, incentives for health care providers.</w:t>
      </w:r>
    </w:p>
    <w:p>
      <w:pPr>
        <w:spacing w:before="100" w:beforeAutospacing="1" w:after="100" w:afterAutospacing="1"/>
        <w:rPr>
          <w:noProof/>
        </w:rPr>
      </w:pPr>
      <w:r>
        <w:rPr>
          <w:noProof/>
          <w:szCs w:val="24"/>
        </w:rPr>
        <w:t>A majority of countries, 17, have expressed an interest to participate (it should be noted that the question did not allow to draw conclusion on the exact nature of participation – see also below under ‘Views on partners, contributions and implementation), and only 3 countries at this stage expressed no national interest to participate. Identified elements for their participation covered broadly existing or planned national R&amp;I programmes, governmental research organisations, research infrastructures, as well as regional R&amp;I and/or smart specialisation strategies (Figure ). All countries expressed interest in having access to results produced in the context of the partnership</w:t>
      </w:r>
      <w:r>
        <w:rPr>
          <w:noProof/>
        </w:rPr>
        <w:t>.</w:t>
      </w:r>
    </w:p>
    <w:p>
      <w:pPr>
        <w:pStyle w:val="Caption"/>
        <w:spacing w:before="100" w:beforeAutospacing="1" w:after="100" w:afterAutospacing="1"/>
        <w:rPr>
          <w:noProof/>
          <w:szCs w:val="22"/>
        </w:rPr>
      </w:pPr>
      <w:bookmarkStart w:id="59" w:name="_Ref34392305"/>
      <w:r>
        <w:rPr>
          <w:noProof/>
          <w:szCs w:val="22"/>
        </w:rPr>
        <w:t xml:space="preserve">Figure </w:t>
      </w:r>
      <w:bookmarkEnd w:id="59"/>
      <w:r>
        <w:rPr>
          <w:noProof/>
          <w:szCs w:val="22"/>
        </w:rPr>
        <w:t xml:space="preserve">2. Possible participation and contribution to the Innovative Health Initiative, from the 17 countries that have expressed an interest to participate. </w:t>
      </w:r>
    </w:p>
    <w:p>
      <w:pPr>
        <w:spacing w:before="100" w:beforeAutospacing="1" w:after="100" w:afterAutospacing="1"/>
        <w:rPr>
          <w:noProof/>
        </w:rPr>
      </w:pPr>
      <w:r>
        <w:rPr>
          <w:noProof/>
          <w:lang w:eastAsia="en-GB"/>
        </w:rPr>
        <w:drawing>
          <wp:inline distT="0" distB="0" distL="0" distR="0">
            <wp:extent cx="4511040" cy="3034665"/>
            <wp:effectExtent l="0" t="0" r="381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before="100" w:beforeAutospacing="1" w:after="100" w:afterAutospacing="1"/>
        <w:rPr>
          <w:b/>
          <w:noProof/>
        </w:rPr>
      </w:pPr>
      <w:r>
        <w:rPr>
          <w:b/>
          <w:noProof/>
        </w:rPr>
        <w:t xml:space="preserve">Objectives and impacts </w:t>
      </w:r>
    </w:p>
    <w:p>
      <w:pPr>
        <w:spacing w:before="100" w:beforeAutospacing="1" w:after="100" w:afterAutospacing="1"/>
        <w:rPr>
          <w:noProof/>
        </w:rPr>
      </w:pPr>
      <w:r>
        <w:rPr>
          <w:noProof/>
        </w:rPr>
        <w:t xml:space="preserve">Overall there was a strong agreement (82%) on the use of a partnership approach for innovative health issues. There was broad agreement (89%) that the partnership was more effective in achieving the objectives and delivering clear impacts for the EU and its citizens, and there was agreement (53%) that it would contribute to improving the coherence and synergies within the EU R&amp;I landscape. No country expressed any disagreement.  </w:t>
      </w:r>
    </w:p>
    <w:p>
      <w:pPr>
        <w:spacing w:before="100" w:beforeAutospacing="1" w:after="100" w:afterAutospacing="1"/>
        <w:rPr>
          <w:noProof/>
        </w:rPr>
      </w:pPr>
      <w:r>
        <w:rPr>
          <w:noProof/>
        </w:rPr>
        <w:t xml:space="preserve">Countries indicated good agreement with the proposed objectives at short, medium and long term (96% agree or strongly agree) and the expected scientific, economic and societal impacts at European level (93% agree or strongly agree), with the rest remaining neutral. The vast majority of countries (85%) considered the impacts very relevant in the national context. There was agreement (56%) with the envisaged duration of the proposed partnership, but an important share (22%) considered the duration too long and requested clear exit strategies. </w:t>
      </w:r>
    </w:p>
    <w:p>
      <w:pPr>
        <w:spacing w:before="100" w:beforeAutospacing="1" w:after="100" w:afterAutospacing="1"/>
        <w:rPr>
          <w:noProof/>
        </w:rPr>
      </w:pPr>
      <w:r>
        <w:rPr>
          <w:noProof/>
        </w:rPr>
        <w:t xml:space="preserve">Additional comments supported a clearer articulation between the Innovative Health Initiative and other partnerships, and the need to clarify the role of IT aspects. A request was made to better focus on the sustainability of health care systems and on health promotion and preventive interventions. </w:t>
      </w:r>
    </w:p>
    <w:p>
      <w:pPr>
        <w:spacing w:before="100" w:beforeAutospacing="1" w:after="100" w:afterAutospacing="1"/>
        <w:rPr>
          <w:b/>
          <w:noProof/>
        </w:rPr>
      </w:pPr>
    </w:p>
    <w:p>
      <w:pPr>
        <w:spacing w:before="100" w:beforeAutospacing="1" w:after="100" w:afterAutospacing="1"/>
        <w:rPr>
          <w:b/>
          <w:noProof/>
        </w:rPr>
      </w:pPr>
    </w:p>
    <w:p>
      <w:pPr>
        <w:spacing w:before="100" w:beforeAutospacing="1" w:after="100" w:afterAutospacing="1"/>
        <w:rPr>
          <w:b/>
          <w:noProof/>
        </w:rPr>
      </w:pPr>
      <w:r>
        <w:rPr>
          <w:b/>
          <w:noProof/>
        </w:rPr>
        <w:t xml:space="preserve">Views on partners, contributions and implementation </w:t>
      </w:r>
    </w:p>
    <w:p>
      <w:pPr>
        <w:spacing w:before="100" w:beforeAutospacing="1" w:after="100" w:afterAutospacing="1"/>
        <w:rPr>
          <w:noProof/>
        </w:rPr>
      </w:pPr>
      <w:r>
        <w:rPr>
          <w:noProof/>
        </w:rPr>
        <w:t xml:space="preserve">The majority (66%) agrees on the type and composition of partners, and 15% disagreed. Many comments supported the shift towards other industrial sectors and would welcome better inclusion of health care providers. Most countries (65%) would need more information on contributions and level of commitments expected from partners, while 31% agreed with the proposal. Individual comments related to the following issues: </w:t>
      </w:r>
    </w:p>
    <w:p>
      <w:pPr>
        <w:pStyle w:val="ListParagraph"/>
        <w:numPr>
          <w:ilvl w:val="0"/>
          <w:numId w:val="34"/>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role of Member States in the agenda setting and governance should be strengthened; </w:t>
      </w:r>
    </w:p>
    <w:p>
      <w:pPr>
        <w:pStyle w:val="ListParagraph"/>
        <w:numPr>
          <w:ilvl w:val="0"/>
          <w:numId w:val="34"/>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ensure realistic commitments from industry, including meaningful financial contributions, with regards to the scale and budget of the initiative;</w:t>
      </w:r>
    </w:p>
    <w:p>
      <w:pPr>
        <w:pStyle w:val="ListParagraph"/>
        <w:numPr>
          <w:ilvl w:val="0"/>
          <w:numId w:val="34"/>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support industries in jointly addressing common and growing operational, regulatory and economic challenges;</w:t>
      </w:r>
    </w:p>
    <w:p>
      <w:pPr>
        <w:pStyle w:val="ListParagraph"/>
        <w:numPr>
          <w:ilvl w:val="0"/>
          <w:numId w:val="34"/>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ensure sufficient representation of health ICT companies and research organisations; </w:t>
      </w:r>
    </w:p>
    <w:p>
      <w:pPr>
        <w:pStyle w:val="ListParagraph"/>
        <w:numPr>
          <w:ilvl w:val="0"/>
          <w:numId w:val="34"/>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impact on promoting EU competitiveness should be at the forefront of the initiative, by limiting contributions from non-EU legal entities, or even limiting it to EU and Associated Countries; </w:t>
      </w:r>
    </w:p>
    <w:p>
      <w:pPr>
        <w:pStyle w:val="ListParagraph"/>
        <w:numPr>
          <w:ilvl w:val="0"/>
          <w:numId w:val="34"/>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funding to industry in accepted projects should be possible, to allow for peer-to-peer collaborations between academia, RTOs and industry partners;</w:t>
      </w:r>
    </w:p>
    <w:p>
      <w:pPr>
        <w:pStyle w:val="ListParagraph"/>
        <w:numPr>
          <w:ilvl w:val="0"/>
          <w:numId w:val="34"/>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important to strengthen the role of health care providers in the agenda setting. </w:t>
      </w:r>
    </w:p>
    <w:p>
      <w:pPr>
        <w:spacing w:before="100" w:beforeAutospacing="1" w:after="100" w:afterAutospacing="1"/>
        <w:rPr>
          <w:noProof/>
        </w:rPr>
      </w:pPr>
      <w:r>
        <w:rPr>
          <w:noProof/>
        </w:rPr>
        <w:t>The proposed use of Article 187, and the establishment of a Joint Undertaking, was supported by the majority (73%), while one country disagreed, with the rest expecting more details in order to be able to make an informed decision. One country would support a tripartite partnerships with industry, Member States and the Union, while another country explicitly excluded any national co-funding. Furthermore, the issue was raised of how to ensure sufficient Member State and stakeholder involvement in the agenda setting and set-up of the programme in order to achieve people-centred health care.</w:t>
      </w:r>
    </w:p>
    <w:p>
      <w:pPr>
        <w:tabs>
          <w:tab w:val="left" w:pos="2587"/>
        </w:tabs>
        <w:spacing w:before="100" w:beforeAutospacing="1" w:after="100" w:afterAutospacing="1"/>
        <w:rPr>
          <w:b/>
          <w:noProof/>
        </w:rPr>
      </w:pPr>
    </w:p>
    <w:p>
      <w:pPr>
        <w:pStyle w:val="Heading3"/>
        <w:tabs>
          <w:tab w:val="clear" w:pos="2139"/>
          <w:tab w:val="num" w:pos="1922"/>
        </w:tabs>
        <w:spacing w:before="100" w:beforeAutospacing="1" w:after="100" w:afterAutospacing="1"/>
        <w:ind w:left="1922"/>
        <w:rPr>
          <w:b/>
          <w:noProof/>
        </w:rPr>
      </w:pPr>
      <w:bookmarkStart w:id="60" w:name="_Toc52793616"/>
      <w:r>
        <w:rPr>
          <w:b/>
          <w:noProof/>
        </w:rPr>
        <w:t>Targeted consultation of stakeholders</w:t>
      </w:r>
      <w:bookmarkEnd w:id="60"/>
    </w:p>
    <w:p>
      <w:pPr>
        <w:pStyle w:val="Text3"/>
        <w:spacing w:before="100" w:beforeAutospacing="1" w:after="100" w:afterAutospacing="1"/>
        <w:ind w:left="0"/>
        <w:rPr>
          <w:noProof/>
        </w:rPr>
      </w:pPr>
      <w:r>
        <w:rPr>
          <w:noProof/>
        </w:rPr>
        <w:t>In addition to the consultation exercises coordinated by EC services, the external study thematic team performed a targeted consultation with key stakeholders on different aspects of the Innovative Health Initiative. The objective of the programme of interviews was to provide an insight into the views of these key stakeholders on the context, problem definition, objectives, policy options, impact analysis, coherence and monitoring of the new initiative. Semi-structured interviews were conducted using a tailored interview topic guide and were subsequently transcribed/summarised and analysed.</w:t>
      </w:r>
    </w:p>
    <w:p>
      <w:pPr>
        <w:spacing w:before="100" w:beforeAutospacing="1" w:after="100" w:afterAutospacing="1"/>
        <w:rPr>
          <w:noProof/>
        </w:rPr>
      </w:pPr>
      <w:bookmarkStart w:id="61" w:name="_Toc29301686"/>
      <w:bookmarkStart w:id="62" w:name="_Toc29301505"/>
      <w:bookmarkStart w:id="63" w:name="_Toc29301687"/>
      <w:bookmarkStart w:id="64" w:name="_Toc29301506"/>
      <w:bookmarkStart w:id="65" w:name="_Toc29301688"/>
      <w:bookmarkStart w:id="66" w:name="_Toc29301507"/>
      <w:bookmarkStart w:id="67" w:name="_Toc29301689"/>
      <w:bookmarkEnd w:id="61"/>
      <w:bookmarkEnd w:id="62"/>
      <w:bookmarkEnd w:id="63"/>
      <w:bookmarkEnd w:id="64"/>
      <w:bookmarkEnd w:id="65"/>
      <w:bookmarkEnd w:id="66"/>
      <w:bookmarkEnd w:id="67"/>
      <w:r>
        <w:rPr>
          <w:noProof/>
        </w:rPr>
        <w:t>Forty-eight interviews were conducted with representatives from industry (22; 46%), the European Commission (7; 15%), academic and research institutes (5; 10%), research infrastructures (3; 6%), patient associations (4; 8%), members of the management team of existing partnerships (2; 4%), regulators, HTA bodies and payers (5; 10%)</w:t>
      </w:r>
      <w:bookmarkStart w:id="68" w:name="_Toc29319185"/>
      <w:r>
        <w:rPr>
          <w:noProof/>
        </w:rPr>
        <w:t xml:space="preserve">. </w:t>
      </w:r>
    </w:p>
    <w:bookmarkEnd w:id="68"/>
    <w:p>
      <w:pPr>
        <w:spacing w:before="100" w:beforeAutospacing="1" w:after="100" w:afterAutospacing="1"/>
        <w:rPr>
          <w:noProof/>
        </w:rPr>
      </w:pPr>
      <w:r>
        <w:rPr>
          <w:noProof/>
        </w:rPr>
        <w:t xml:space="preserve">Key results/messages from the targeted consultation are presented below. </w:t>
      </w:r>
    </w:p>
    <w:p>
      <w:pPr>
        <w:spacing w:before="100" w:beforeAutospacing="1" w:after="100" w:afterAutospacing="1"/>
        <w:rPr>
          <w:b/>
          <w:noProof/>
        </w:rPr>
      </w:pPr>
      <w:bookmarkStart w:id="69" w:name="_Toc29301511"/>
      <w:bookmarkStart w:id="70" w:name="_Toc29301693"/>
      <w:bookmarkStart w:id="71" w:name="_Toc29314400"/>
      <w:bookmarkStart w:id="72" w:name="_Toc29319186"/>
      <w:bookmarkStart w:id="73" w:name="_Toc29319187"/>
      <w:bookmarkEnd w:id="69"/>
      <w:bookmarkEnd w:id="70"/>
      <w:bookmarkEnd w:id="71"/>
      <w:bookmarkEnd w:id="72"/>
      <w:r>
        <w:rPr>
          <w:b/>
          <w:noProof/>
        </w:rPr>
        <w:t>Problem</w:t>
      </w:r>
      <w:bookmarkEnd w:id="73"/>
      <w:r>
        <w:rPr>
          <w:b/>
          <w:noProof/>
        </w:rPr>
        <w:t>s and problem drivers</w:t>
      </w:r>
    </w:p>
    <w:p>
      <w:pPr>
        <w:spacing w:before="100" w:beforeAutospacing="1" w:after="100" w:afterAutospacing="1"/>
        <w:rPr>
          <w:noProof/>
        </w:rPr>
      </w:pPr>
      <w:r>
        <w:rPr>
          <w:noProof/>
        </w:rPr>
        <w:t xml:space="preserve">Several interviewees shared their thoughts on what problems could be addressed with this investment. These included antimicrobial resistance, ageing populations and skills migration to other countries. It was felt that Europe was struggling to maintain its leadership position in health R&amp;I compared to US and China. </w:t>
      </w:r>
    </w:p>
    <w:p>
      <w:pPr>
        <w:spacing w:before="100" w:beforeAutospacing="1" w:after="100" w:afterAutospacing="1"/>
        <w:rPr>
          <w:noProof/>
        </w:rPr>
      </w:pPr>
      <w:r>
        <w:rPr>
          <w:noProof/>
        </w:rPr>
        <w:t xml:space="preserve">It was discussed that the fragmentation of the health care systems including differences in capacities, standards of care and cultural expectations leads to challenges implementing health innovations uniformly across Europe and may act as a barrier to uptake. In particular, it was mentioned that uneven IT literacy across Europe and poor public perception of industry were hindering uptake. </w:t>
      </w:r>
    </w:p>
    <w:p>
      <w:pPr>
        <w:spacing w:before="100" w:beforeAutospacing="1" w:after="100" w:afterAutospacing="1"/>
        <w:rPr>
          <w:i/>
          <w:noProof/>
        </w:rPr>
      </w:pPr>
      <w:r>
        <w:rPr>
          <w:noProof/>
        </w:rPr>
        <w:t>Other points were the need to reference ethics along with digitalisation and data exchange as areas where barriers need to be overcome and the need to include “standardisation” of the methodologies and models to better assess market value.</w:t>
      </w:r>
    </w:p>
    <w:p>
      <w:pPr>
        <w:pStyle w:val="ListDash1"/>
        <w:numPr>
          <w:ilvl w:val="0"/>
          <w:numId w:val="0"/>
        </w:numPr>
        <w:spacing w:before="100" w:beforeAutospacing="1" w:after="100" w:afterAutospacing="1"/>
        <w:rPr>
          <w:b/>
          <w:noProof/>
        </w:rPr>
      </w:pPr>
      <w:r>
        <w:rPr>
          <w:b/>
          <w:noProof/>
        </w:rPr>
        <w:t>Objectives</w:t>
      </w:r>
    </w:p>
    <w:p>
      <w:pPr>
        <w:spacing w:before="100" w:beforeAutospacing="1" w:after="100" w:afterAutospacing="1"/>
        <w:rPr>
          <w:noProof/>
        </w:rPr>
      </w:pPr>
      <w:r>
        <w:rPr>
          <w:rFonts w:cstheme="minorHAnsi"/>
          <w:noProof/>
        </w:rPr>
        <w:t xml:space="preserve">Interviewed stakeholders expressed an overall support for IHI general objectives. A large proportion of interviewees were satisfied with the specific objectives with positive feedback around the push for a people-centred approach. </w:t>
      </w:r>
      <w:r>
        <w:rPr>
          <w:noProof/>
        </w:rPr>
        <w:t xml:space="preserve">There was some discussion around the broad nature of the objectives and the potential difficulty of measuring the associated outcomes. Nevertheless, it was generally agreed as a strategic decision to encompass the needs of the variety of stakeholders likely to be involved. </w:t>
      </w:r>
    </w:p>
    <w:p>
      <w:pPr>
        <w:spacing w:before="100" w:beforeAutospacing="1" w:after="100" w:afterAutospacing="1"/>
        <w:jc w:val="left"/>
        <w:rPr>
          <w:b/>
          <w:noProof/>
          <w:szCs w:val="24"/>
        </w:rPr>
      </w:pPr>
      <w:bookmarkStart w:id="74" w:name="_Toc29319196"/>
      <w:r>
        <w:rPr>
          <w:b/>
          <w:noProof/>
          <w:szCs w:val="24"/>
        </w:rPr>
        <w:t>Expected impacts</w:t>
      </w:r>
    </w:p>
    <w:p>
      <w:pPr>
        <w:pStyle w:val="ListParagraph"/>
        <w:numPr>
          <w:ilvl w:val="0"/>
          <w:numId w:val="41"/>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terms of </w:t>
      </w:r>
      <w:r>
        <w:rPr>
          <w:rFonts w:ascii="Times New Roman" w:hAnsi="Times New Roman" w:cs="Times New Roman"/>
          <w:b/>
          <w:noProof/>
          <w:sz w:val="24"/>
          <w:szCs w:val="24"/>
          <w:lang w:val="en-GB"/>
        </w:rPr>
        <w:t>scientific impacts</w:t>
      </w:r>
      <w:r>
        <w:rPr>
          <w:rFonts w:ascii="Times New Roman" w:hAnsi="Times New Roman" w:cs="Times New Roman"/>
          <w:noProof/>
          <w:sz w:val="24"/>
          <w:szCs w:val="24"/>
          <w:lang w:val="en-GB"/>
        </w:rPr>
        <w:t xml:space="preserve">, bringing together a broad range of expertise and actors from across the innovation value chain was seen as instrumental for the majority of interviewees. In their opinion, such a configuration would allow: i) to support the development of innovations that would meet patients and health systems needs while having a realistic transition to market, ii) to drive cross-pollination of ideas and creativity leading to innovative health solutions that would not be possible from a more siloed approach, and iii) to foster scientific advancements by overcoming barriers of data exchange. </w:t>
      </w:r>
    </w:p>
    <w:p>
      <w:pPr>
        <w:pStyle w:val="ListParagraph"/>
        <w:numPr>
          <w:ilvl w:val="0"/>
          <w:numId w:val="41"/>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According to the majority of interviewees, </w:t>
      </w:r>
      <w:r>
        <w:rPr>
          <w:rFonts w:ascii="Times New Roman" w:hAnsi="Times New Roman" w:cs="Times New Roman"/>
          <w:b/>
          <w:noProof/>
          <w:sz w:val="24"/>
          <w:szCs w:val="24"/>
          <w:lang w:val="en-GB"/>
        </w:rPr>
        <w:t>economic impacts</w:t>
      </w:r>
      <w:r>
        <w:rPr>
          <w:rFonts w:ascii="Times New Roman" w:hAnsi="Times New Roman" w:cs="Times New Roman"/>
          <w:noProof/>
          <w:sz w:val="24"/>
          <w:szCs w:val="24"/>
          <w:lang w:val="en-GB"/>
        </w:rPr>
        <w:t xml:space="preserve"> would result from more efficient development processes, thus reducing the cost of development that may in turn contribute to lower innovation cost to the end users. It was also discussed that the development of digital platforms and technologies coupled with effective data exchange would also have economic benefits to the health care system (e.g. eHealth platforms containing diagnostic data would reduce the need to duplicate diagnostic tests across multiple health care sites). Regarding the impact on job growth, some interviewees felt that any boost in the economy would lead to a general growth in jobs, while others referred to jobs that would be created as a direct result of carrying out IHI or from the products that would be created. This was particularly discussed in reference to start-ups and SMEs. Skill development, in particular data skills, was a key aspect of this growth and a number of interviewees suggested that education or training activities within the partnership project would enhance this impact. Many interviewees indicated that due to the synergies that would be developed as part of the partnership, the economic benefits of the investment would be felt by all stakeholders along the value chain. Nevertheless, SMEs were identified as key beneficiaries and the business growth of SMEs was considered as a driver for innovation and global competitiveness in health R&amp;I. </w:t>
      </w:r>
    </w:p>
    <w:p>
      <w:pPr>
        <w:pStyle w:val="ListParagraph"/>
        <w:numPr>
          <w:ilvl w:val="0"/>
          <w:numId w:val="41"/>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terms of </w:t>
      </w:r>
      <w:r>
        <w:rPr>
          <w:rFonts w:ascii="Times New Roman" w:hAnsi="Times New Roman" w:cs="Times New Roman"/>
          <w:b/>
          <w:noProof/>
          <w:sz w:val="24"/>
          <w:szCs w:val="24"/>
          <w:lang w:val="en-GB"/>
        </w:rPr>
        <w:t>societal impacts</w:t>
      </w:r>
      <w:r>
        <w:rPr>
          <w:rFonts w:ascii="Times New Roman" w:hAnsi="Times New Roman" w:cs="Times New Roman"/>
          <w:noProof/>
          <w:sz w:val="24"/>
          <w:szCs w:val="24"/>
          <w:lang w:val="en-GB"/>
        </w:rPr>
        <w:t xml:space="preserve">, the majority of interviewees agreed that IHI would lead to improved health and wellbeing. Many of the discussions were general in nature suggesting that the specific impacts would be determined by the nature of the actual IHI projects. Societal impact would also be achieved through increased uptake of innovations. This would be primarily driven by engaging end-users, ensuring the relevance of innovations to the target groups and sufficient training of end-users to benefit from the innovations. It was also discussed that inequality in health care access could be partially addressed in the partnership by developing innovations that account for variations in digital literacy, ageing and geographical diversity. </w:t>
      </w:r>
    </w:p>
    <w:p>
      <w:pPr>
        <w:pStyle w:val="ListParagraph"/>
        <w:numPr>
          <w:ilvl w:val="0"/>
          <w:numId w:val="42"/>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Positive </w:t>
      </w:r>
      <w:r>
        <w:rPr>
          <w:rFonts w:ascii="Times New Roman" w:hAnsi="Times New Roman" w:cs="Times New Roman"/>
          <w:b/>
          <w:noProof/>
          <w:sz w:val="24"/>
          <w:szCs w:val="24"/>
          <w:lang w:val="en-GB"/>
        </w:rPr>
        <w:t>environmental impacts</w:t>
      </w:r>
      <w:r>
        <w:rPr>
          <w:rFonts w:ascii="Times New Roman" w:hAnsi="Times New Roman" w:cs="Times New Roman"/>
          <w:noProof/>
          <w:sz w:val="24"/>
          <w:szCs w:val="24"/>
          <w:lang w:val="en-GB"/>
        </w:rPr>
        <w:t xml:space="preserve"> were discussed primarily with regard to reduced need for travel (via advancements in remote testing and monitoring) and less/better waste management (e.g. via enhanced data exchange replacing the need to duplicate tests). Some interviewees raised concern that there are also negative environmental impacts of digital technologies e.g. energy consumption of datacentres and extraction of raw materials, suggesting that the net environmental impact would be important to consider. </w:t>
      </w:r>
    </w:p>
    <w:bookmarkEnd w:id="74"/>
    <w:p>
      <w:pPr>
        <w:spacing w:before="100" w:beforeAutospacing="1" w:after="100" w:afterAutospacing="1"/>
        <w:rPr>
          <w:b/>
          <w:noProof/>
        </w:rPr>
      </w:pPr>
      <w:r>
        <w:rPr>
          <w:b/>
          <w:noProof/>
        </w:rPr>
        <w:t>Stakeholder involvement</w:t>
      </w:r>
    </w:p>
    <w:p>
      <w:pPr>
        <w:spacing w:before="100" w:beforeAutospacing="1" w:after="100" w:afterAutospacing="1"/>
        <w:rPr>
          <w:noProof/>
        </w:rPr>
      </w:pPr>
      <w:r>
        <w:rPr>
          <w:noProof/>
        </w:rPr>
        <w:t xml:space="preserve">It was strongly felt that a broad range of stakeholders alongside academia and industry was required to make the partnership a success. In particular the involvement of regulators, patient representatives, and representatives of health care systems to strengthen the impact and uptake of innovations was encouraged. </w:t>
      </w:r>
    </w:p>
    <w:p>
      <w:pPr>
        <w:spacing w:before="100" w:beforeAutospacing="1" w:after="100" w:afterAutospacing="1"/>
        <w:rPr>
          <w:noProof/>
        </w:rPr>
      </w:pPr>
      <w:r>
        <w:rPr>
          <w:b/>
          <w:noProof/>
        </w:rPr>
        <w:t>Synergies with other EU initiatives</w:t>
      </w:r>
    </w:p>
    <w:p>
      <w:pPr>
        <w:spacing w:before="100" w:beforeAutospacing="1" w:after="100" w:afterAutospacing="1"/>
        <w:rPr>
          <w:noProof/>
        </w:rPr>
      </w:pPr>
      <w:r>
        <w:rPr>
          <w:noProof/>
        </w:rPr>
        <w:t xml:space="preserve">In general, there was strong support for working synergistically with other EU initiatives, in particular since health is complex and feeds into many aspects of other initiatives. Developing similar data management methodologies or use of similar platforms was discussed as a key way to ensure that findings can be shared between initiatives. It was also discussed that cooperation between initiatives could enhance learning. Establishing a flexible set of rules for the different initiatives would reduce bureaucratic barriers that have prevented past collaborations. An opportunity was noted for projects, partners or ideas to flow between different funding initiatives such as Horizon Europe regular calls and IHI in order to exploit the sequential needs of the project. </w:t>
      </w:r>
    </w:p>
    <w:p>
      <w:pPr>
        <w:spacing w:before="100" w:beforeAutospacing="1" w:after="100" w:afterAutospacing="1"/>
        <w:jc w:val="left"/>
        <w:rPr>
          <w:b/>
          <w:noProof/>
          <w:szCs w:val="22"/>
        </w:rPr>
      </w:pPr>
      <w:r>
        <w:rPr>
          <w:b/>
          <w:noProof/>
          <w:szCs w:val="22"/>
        </w:rPr>
        <w:t>Transparency</w:t>
      </w:r>
    </w:p>
    <w:p>
      <w:pPr>
        <w:spacing w:before="100" w:beforeAutospacing="1" w:after="100" w:afterAutospacing="1"/>
        <w:rPr>
          <w:noProof/>
        </w:rPr>
      </w:pPr>
      <w:r>
        <w:rPr>
          <w:noProof/>
        </w:rPr>
        <w:t>Interviewees were in favour of i</w:t>
      </w:r>
      <w:r>
        <w:rPr>
          <w:noProof/>
          <w:szCs w:val="22"/>
        </w:rPr>
        <w:t xml:space="preserve">ncreased transparency of the initiative in terms of decision-making, financing and activities, as a means to </w:t>
      </w:r>
      <w:r>
        <w:rPr>
          <w:noProof/>
        </w:rPr>
        <w:t xml:space="preserve">increase public confidence in the initiative. </w:t>
      </w:r>
    </w:p>
    <w:p>
      <w:pPr>
        <w:spacing w:before="100" w:beforeAutospacing="1" w:after="100" w:afterAutospacing="1"/>
        <w:jc w:val="left"/>
        <w:rPr>
          <w:b/>
          <w:noProof/>
        </w:rPr>
      </w:pPr>
      <w:r>
        <w:rPr>
          <w:b/>
          <w:noProof/>
        </w:rPr>
        <w:t>Broadening the membership of the partnership</w:t>
      </w:r>
    </w:p>
    <w:p>
      <w:pPr>
        <w:spacing w:before="100" w:beforeAutospacing="1" w:after="100" w:afterAutospacing="1"/>
        <w:rPr>
          <w:noProof/>
        </w:rPr>
      </w:pPr>
      <w:r>
        <w:rPr>
          <w:noProof/>
        </w:rPr>
        <w:t xml:space="preserve">It was generally felt that a broader membership would be a positive change, but it was discussed that membership should be based on research/knowledge excellence rather than geographical representation. There was strong support for keeping membership open to potential future partners as a token of flexibility and to help address gaps in membership that may develop later in the partnership. </w:t>
      </w:r>
    </w:p>
    <w:p>
      <w:pPr>
        <w:spacing w:before="100" w:beforeAutospacing="1" w:after="100" w:afterAutospacing="1"/>
        <w:rPr>
          <w:b/>
          <w:noProof/>
        </w:rPr>
      </w:pPr>
      <w:r>
        <w:rPr>
          <w:b/>
          <w:noProof/>
        </w:rPr>
        <w:t>Dissemination of results and re-use by others across Europe</w:t>
      </w:r>
    </w:p>
    <w:p>
      <w:pPr>
        <w:spacing w:before="100" w:beforeAutospacing="1" w:after="100" w:afterAutospacing="1"/>
        <w:rPr>
          <w:noProof/>
        </w:rPr>
      </w:pPr>
      <w:r>
        <w:rPr>
          <w:noProof/>
        </w:rPr>
        <w:t xml:space="preserve">This notion was supported as it was felt that better dissemination would enable more efficient future research. At the same time, sharing of results should not compromise the development of intellectual property. There were also some concerns around GDPR and patient data. </w:t>
      </w:r>
    </w:p>
    <w:p>
      <w:pPr>
        <w:spacing w:before="100" w:beforeAutospacing="1" w:after="100" w:afterAutospacing="1"/>
        <w:rPr>
          <w:b/>
          <w:noProof/>
        </w:rPr>
      </w:pPr>
      <w:r>
        <w:rPr>
          <w:b/>
          <w:noProof/>
        </w:rPr>
        <w:t>Increased level of private partners’ contributions</w:t>
      </w:r>
    </w:p>
    <w:p>
      <w:pPr>
        <w:spacing w:before="100" w:beforeAutospacing="1" w:after="100" w:afterAutospacing="1"/>
        <w:rPr>
          <w:noProof/>
        </w:rPr>
      </w:pPr>
      <w:r>
        <w:rPr>
          <w:noProof/>
        </w:rPr>
        <w:t xml:space="preserve">Some interviewees supported the increased level of private partners’ contributions provided there was a strong agreement across industry. On the other hand, it was felt that it may make IHI less attractive to industry and that a true partnership should have a 50/50 contribution ratio. There were also some concerns about the public perception and the shift in balance to industry in determining the research agendas. </w:t>
      </w:r>
    </w:p>
    <w:p>
      <w:pPr>
        <w:spacing w:before="100" w:beforeAutospacing="1" w:after="100" w:afterAutospacing="1"/>
        <w:jc w:val="left"/>
        <w:rPr>
          <w:b/>
          <w:noProof/>
          <w:szCs w:val="24"/>
        </w:rPr>
      </w:pPr>
      <w:r>
        <w:rPr>
          <w:b/>
          <w:noProof/>
          <w:szCs w:val="24"/>
        </w:rPr>
        <w:t>Increased level of private partners’ financial contributions</w:t>
      </w:r>
    </w:p>
    <w:p>
      <w:pPr>
        <w:spacing w:before="100" w:beforeAutospacing="1" w:after="100" w:afterAutospacing="1"/>
        <w:rPr>
          <w:noProof/>
          <w:szCs w:val="24"/>
        </w:rPr>
      </w:pPr>
      <w:r>
        <w:rPr>
          <w:noProof/>
          <w:szCs w:val="24"/>
        </w:rPr>
        <w:t>Interviewees were asked whether they would support an increased level of private partners’ contributions, ideally to a point where around 10% of all private members’ contributions are financial rather than in-kind. This question led to a mix of responses. Some interviewees felt that in-kind was a more valuable contribution than cash as the knowledge and expertise of industry is where the true value of the partnership lies. Others felt that a financial contribution would lead to a stronger commitment from industry partners. Some others felt that a flexible, case-by-case approach would be most suitable suggesting that commitments may change over time once industry has the opportunity to assess the value of the partnership.</w:t>
      </w:r>
    </w:p>
    <w:p>
      <w:pPr>
        <w:spacing w:before="100" w:beforeAutospacing="1" w:after="100" w:afterAutospacing="1"/>
        <w:jc w:val="left"/>
        <w:rPr>
          <w:b/>
          <w:noProof/>
          <w:szCs w:val="24"/>
        </w:rPr>
      </w:pPr>
      <w:r>
        <w:rPr>
          <w:b/>
          <w:noProof/>
          <w:szCs w:val="24"/>
        </w:rPr>
        <w:t>Implementation mode</w:t>
      </w:r>
    </w:p>
    <w:p>
      <w:pPr>
        <w:spacing w:before="100" w:beforeAutospacing="1" w:after="100" w:afterAutospacing="1"/>
        <w:rPr>
          <w:noProof/>
        </w:rPr>
      </w:pPr>
      <w:r>
        <w:rPr>
          <w:noProof/>
        </w:rPr>
        <w:t xml:space="preserve">The majority of interviewees felt that Institutionalised Partnership would be the most effective option of delivering scientific, economic and societal impacts. Commonly given reasons for this were the broader range of stakeholders engaged, stronger commitment from all parties, flexibility on setting research agendas and the longer-term outlook. </w:t>
      </w:r>
    </w:p>
    <w:p>
      <w:pPr>
        <w:pStyle w:val="ListParagraph"/>
        <w:numPr>
          <w:ilvl w:val="0"/>
          <w:numId w:val="43"/>
        </w:numPr>
        <w:spacing w:before="100" w:beforeAutospacing="1" w:after="100" w:afterAutospacing="1" w:line="240" w:lineRule="auto"/>
        <w:contextualSpacing w:val="0"/>
        <w:jc w:val="both"/>
        <w:rPr>
          <w:rFonts w:ascii="Times New Roman" w:hAnsi="Times New Roman" w:cs="Times New Roman"/>
          <w:noProof/>
          <w:sz w:val="24"/>
          <w:szCs w:val="24"/>
          <w:u w:val="single"/>
          <w:lang w:val="en-GB"/>
        </w:rPr>
      </w:pPr>
      <w:r>
        <w:rPr>
          <w:rFonts w:ascii="Times New Roman" w:hAnsi="Times New Roman" w:cs="Times New Roman"/>
          <w:noProof/>
          <w:sz w:val="24"/>
          <w:szCs w:val="24"/>
          <w:u w:val="single"/>
          <w:lang w:val="en-GB"/>
        </w:rPr>
        <w:t>Horizon Europe Regular Calls</w:t>
      </w:r>
    </w:p>
    <w:p>
      <w:pPr>
        <w:spacing w:before="100" w:beforeAutospacing="1" w:after="100" w:afterAutospacing="1"/>
        <w:rPr>
          <w:noProof/>
        </w:rPr>
      </w:pPr>
      <w:r>
        <w:rPr>
          <w:noProof/>
        </w:rPr>
        <w:t>It was generally felt that Horizon Europe has an important place in the funding landscape through regular calls and is effective in achieving impacts in smaller projects and enhancing academic excellence. However, is was discussed that the structure would not be able to enable large-scale collaboration between a broad range of stakeholders as required to achieve the abovementioned impacts. There were concerns that it would not be very attractive to industry due to a reduced role in setting research priorities and a potentially less binding agreement. Projects under Horizon Europe were viewed as having a smaller scope so would not be able to holistically evaluate digital platforms or comparable technologies. This would have to be accomplished by combining many smaller Horizon Europe projects, leading to fragmentation and inefficiencies. The timeframe of regular calls was also discussed as being insufficient to adequately achieve the objectives.</w:t>
      </w:r>
    </w:p>
    <w:p>
      <w:pPr>
        <w:pStyle w:val="ListParagraph"/>
        <w:numPr>
          <w:ilvl w:val="0"/>
          <w:numId w:val="44"/>
        </w:numPr>
        <w:spacing w:before="100" w:beforeAutospacing="1" w:after="100" w:afterAutospacing="1" w:line="240" w:lineRule="auto"/>
        <w:contextualSpacing w:val="0"/>
        <w:jc w:val="both"/>
        <w:rPr>
          <w:rFonts w:ascii="Times New Roman" w:hAnsi="Times New Roman" w:cs="Times New Roman"/>
          <w:noProof/>
          <w:sz w:val="24"/>
          <w:szCs w:val="24"/>
          <w:u w:val="single"/>
          <w:lang w:val="en-GB"/>
        </w:rPr>
      </w:pPr>
      <w:r>
        <w:rPr>
          <w:rFonts w:ascii="Times New Roman" w:hAnsi="Times New Roman" w:cs="Times New Roman"/>
          <w:noProof/>
          <w:sz w:val="24"/>
          <w:szCs w:val="24"/>
          <w:u w:val="single"/>
          <w:lang w:val="en-GB"/>
        </w:rPr>
        <w:t>Co-Programmed Partnership</w:t>
      </w:r>
    </w:p>
    <w:p>
      <w:pPr>
        <w:spacing w:before="100" w:beforeAutospacing="1" w:after="100" w:afterAutospacing="1"/>
        <w:rPr>
          <w:noProof/>
        </w:rPr>
      </w:pPr>
      <w:r>
        <w:rPr>
          <w:noProof/>
        </w:rPr>
        <w:t xml:space="preserve">Co-programmed partnerships were preferred to Horizon Europe Regular Calls in particular due to their longer-term focus. Co-programming was seen as suitable for a partnership structure where a more flexible arrangement was desirable such as involving pre-existing partnerships or for projects of a smaller scope. There were, however, concerns over co-programming delivering an in-depth partnership of diverse stakeholders. It was felt that the commitment under this option would not deliver the security needed to invest in truly innovative and risky ideas and may therefore not be attractive to some partners. Furthermore, some interviewees felt that industry would have less input in developing research agendas under this option. Establishing common research agendas was seen as valuable but insufficient to overcome the barriers of different sectors working in silos and would therefore not benefit from the full set of outcomes stemming from the cross-pollination of skills and knowledge under a partnership. For these reasons, it was felt that a co-programmed partnership would not be as effective in delivering the impacts described above. </w:t>
      </w:r>
    </w:p>
    <w:p>
      <w:pPr>
        <w:pStyle w:val="ListParagraph"/>
        <w:numPr>
          <w:ilvl w:val="0"/>
          <w:numId w:val="45"/>
        </w:numPr>
        <w:spacing w:before="100" w:beforeAutospacing="1" w:after="100" w:afterAutospacing="1" w:line="240" w:lineRule="auto"/>
        <w:contextualSpacing w:val="0"/>
        <w:jc w:val="both"/>
        <w:rPr>
          <w:rFonts w:ascii="Times New Roman" w:hAnsi="Times New Roman" w:cs="Times New Roman"/>
          <w:noProof/>
          <w:sz w:val="24"/>
          <w:szCs w:val="24"/>
          <w:u w:val="single"/>
          <w:lang w:val="en-GB"/>
        </w:rPr>
      </w:pPr>
      <w:r>
        <w:rPr>
          <w:rFonts w:ascii="Times New Roman" w:hAnsi="Times New Roman" w:cs="Times New Roman"/>
          <w:noProof/>
          <w:sz w:val="24"/>
          <w:szCs w:val="24"/>
          <w:u w:val="single"/>
          <w:lang w:val="en-GB"/>
        </w:rPr>
        <w:t>Institutionalised Partnership</w:t>
      </w:r>
    </w:p>
    <w:p>
      <w:pPr>
        <w:spacing w:before="100" w:beforeAutospacing="1" w:after="100" w:afterAutospacing="1"/>
        <w:rPr>
          <w:noProof/>
        </w:rPr>
      </w:pPr>
      <w:r>
        <w:rPr>
          <w:noProof/>
        </w:rPr>
        <w:t xml:space="preserve">Institutionalised Partnerships were generally seen as more integrated partnership structures. The most frequently discussed advantage of Institutionalised Partnerships over the other policy options was that this structure would attract and enable a broader set of actors to engage. Diversity of stakeholders along the value chain was seen as an essential component to achieve impacts. Similar to a co-programmed partnership model, the longer-term outlook was also seen as a key advantage of this option. </w:t>
      </w:r>
    </w:p>
    <w:p>
      <w:pPr>
        <w:spacing w:before="100" w:beforeAutospacing="1" w:after="100" w:afterAutospacing="1"/>
        <w:rPr>
          <w:noProof/>
        </w:rPr>
      </w:pPr>
      <w:r>
        <w:rPr>
          <w:noProof/>
        </w:rPr>
        <w:t xml:space="preserve">It was discussed that this arrangement would be attractive to industry because there would be the opportunity to co-develop research agendas. Similarly, stakeholders from other groups felt that having a diverse range of players would enable the development of research agendas that are more balanced across the needs of all actors, leading to more realistic and holistic research goals. </w:t>
      </w:r>
    </w:p>
    <w:p>
      <w:pPr>
        <w:spacing w:before="100" w:beforeAutospacing="1" w:after="100" w:afterAutospacing="1"/>
        <w:rPr>
          <w:noProof/>
        </w:rPr>
      </w:pPr>
      <w:r>
        <w:rPr>
          <w:noProof/>
        </w:rPr>
        <w:t xml:space="preserve">The legally binding arrangement was seen as an advantage because it provided a level of confidence to the stakeholders involved and it was also viewed as an important conduit to facilitate the sharing of data required to achieve the impacts. It was discussed that this integrated approach would also enable a more detailed discussion around intellectual property upfront, further increasing confidence in the partnership from the outset. This in turn could lead to greater commitments from private partners since the risk of investment is shared, leading to more innovative and potentially more impactful outcomes. </w:t>
      </w:r>
    </w:p>
    <w:p>
      <w:pPr>
        <w:spacing w:before="100" w:beforeAutospacing="1" w:after="100" w:afterAutospacing="1"/>
        <w:rPr>
          <w:noProof/>
        </w:rPr>
      </w:pPr>
      <w:r>
        <w:rPr>
          <w:noProof/>
        </w:rPr>
        <w:t xml:space="preserve">It was discussed that Institutionalised Partnerships may suffer from a large administrative burden. However, it was also felt to be a necessary component of such a complex arrangement and that the administrative burden of Horizon Europe and co-programmed partnership was likely to be similar. Nevertheless, it was suggested that this could be a barrier to smaller companies, i.e. SMEs and start-ups, that may not have the capacity to meet the administrative needs. </w:t>
      </w:r>
    </w:p>
    <w:p>
      <w:pPr>
        <w:spacing w:before="100" w:beforeAutospacing="1" w:after="100" w:afterAutospacing="1"/>
        <w:rPr>
          <w:b/>
          <w:noProof/>
        </w:rPr>
      </w:pPr>
      <w:r>
        <w:rPr>
          <w:b/>
          <w:noProof/>
        </w:rPr>
        <w:t>Key Performance Indicators (KPIs)</w:t>
      </w:r>
    </w:p>
    <w:p>
      <w:pPr>
        <w:spacing w:before="100" w:beforeAutospacing="1" w:after="100" w:afterAutospacing="1"/>
        <w:rPr>
          <w:noProof/>
        </w:rPr>
      </w:pPr>
      <w:r>
        <w:rPr>
          <w:noProof/>
        </w:rPr>
        <w:t>In general, KPIs such as publications and patents were seen as easy to measure but limited in showcasing the partnership’s impact. Instead, it was suggested to focus on indicators such as adoption into health care systems, uptake of citizens and ultimately a change in health outcomes or the burden of disease.</w:t>
      </w:r>
    </w:p>
    <w:p>
      <w:pPr>
        <w:spacing w:before="100" w:beforeAutospacing="1" w:after="100" w:afterAutospacing="1"/>
        <w:rPr>
          <w:noProof/>
        </w:rPr>
      </w:pPr>
      <w:r>
        <w:rPr>
          <w:noProof/>
        </w:rPr>
        <w:t xml:space="preserve">It was discussed that health and economic KPIs would be difficult to measure and would require a well-defined baseline at the start of the project, tailored to the specific project objectives. </w:t>
      </w:r>
    </w:p>
    <w:p>
      <w:pPr>
        <w:spacing w:before="100" w:beforeAutospacing="1" w:after="100" w:afterAutospacing="1"/>
        <w:rPr>
          <w:noProof/>
        </w:rPr>
      </w:pPr>
      <w:r>
        <w:rPr>
          <w:noProof/>
        </w:rPr>
        <w:t>Some proposed KPIs were:</w:t>
      </w:r>
    </w:p>
    <w:p>
      <w:pPr>
        <w:pStyle w:val="ListParagraph"/>
        <w:numPr>
          <w:ilvl w:val="0"/>
          <w:numId w:val="46"/>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health and wellbeing: disease prevalence, Quality Adjusted Life Years (QALYs), probability of treating disease, life expectancy, time in hospital, cost of treatment;</w:t>
      </w:r>
    </w:p>
    <w:p>
      <w:pPr>
        <w:pStyle w:val="ListParagraph"/>
        <w:numPr>
          <w:ilvl w:val="0"/>
          <w:numId w:val="46"/>
        </w:numPr>
        <w:spacing w:before="100" w:beforeAutospacing="1" w:after="100" w:afterAutospacing="1" w:line="240" w:lineRule="auto"/>
        <w:ind w:left="284" w:hanging="284"/>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economic: job growth, number of new SMEs/start-ups, business performances, product development, follow-up on funding;</w:t>
      </w:r>
    </w:p>
    <w:p>
      <w:pPr>
        <w:pStyle w:val="ListParagraph"/>
        <w:numPr>
          <w:ilvl w:val="0"/>
          <w:numId w:val="46"/>
        </w:numPr>
        <w:spacing w:before="100" w:beforeAutospacing="1" w:after="100" w:afterAutospacing="1" w:line="240" w:lineRule="auto"/>
        <w:ind w:left="284" w:hanging="284"/>
        <w:contextualSpacing w:val="0"/>
        <w:jc w:val="both"/>
        <w:rPr>
          <w:rFonts w:ascii="Times New Roman" w:hAnsi="Times New Roman" w:cs="Times New Roman"/>
          <w:noProof/>
          <w:lang w:val="en-GB"/>
        </w:rPr>
      </w:pPr>
      <w:r>
        <w:rPr>
          <w:rFonts w:ascii="Times New Roman" w:hAnsi="Times New Roman" w:cs="Times New Roman"/>
          <w:noProof/>
          <w:sz w:val="24"/>
          <w:szCs w:val="24"/>
          <w:lang w:val="en-GB"/>
        </w:rPr>
        <w:t>scientific</w:t>
      </w:r>
      <w:r>
        <w:rPr>
          <w:rFonts w:ascii="Times New Roman" w:hAnsi="Times New Roman" w:cs="Times New Roman"/>
          <w:noProof/>
          <w:lang w:val="en-GB"/>
        </w:rPr>
        <w:t xml:space="preserve">: </w:t>
      </w:r>
      <w:r>
        <w:rPr>
          <w:rFonts w:ascii="Times New Roman" w:hAnsi="Times New Roman" w:cs="Times New Roman"/>
          <w:noProof/>
          <w:sz w:val="24"/>
          <w:lang w:val="en-GB"/>
        </w:rPr>
        <w:t>publications (but acknowledged as insufficient alone).</w:t>
      </w:r>
    </w:p>
    <w:p>
      <w:pPr>
        <w:spacing w:before="100" w:beforeAutospacing="1" w:after="100" w:afterAutospacing="1"/>
        <w:rPr>
          <w:noProof/>
        </w:rPr>
      </w:pPr>
      <w:r>
        <w:rPr>
          <w:noProof/>
        </w:rPr>
        <w:t xml:space="preserve">There was also a discussion on monitoring the success of IHI overall. This could be measured by examining the number of stakeholder types involved, meeting timeline goals, and development of products. </w:t>
      </w:r>
    </w:p>
    <w:p>
      <w:pPr>
        <w:spacing w:before="100" w:beforeAutospacing="1" w:after="100" w:afterAutospacing="1"/>
        <w:rPr>
          <w:noProof/>
        </w:rPr>
      </w:pPr>
      <w:r>
        <w:rPr>
          <w:noProof/>
        </w:rPr>
        <w:t xml:space="preserve">A number of interviewees stressed it was important to focus on a small number of high quality KPIs. Some even suggested establishing a small project dedicated to defining the most effective KPIs for each project and IHI overall. </w:t>
      </w:r>
    </w:p>
    <w:p>
      <w:pPr>
        <w:spacing w:before="100" w:beforeAutospacing="1" w:after="100" w:afterAutospacing="1"/>
        <w:rPr>
          <w:b/>
          <w:noProof/>
        </w:rPr>
      </w:pPr>
    </w:p>
    <w:p>
      <w:pPr>
        <w:pStyle w:val="Heading3"/>
        <w:tabs>
          <w:tab w:val="clear" w:pos="2139"/>
          <w:tab w:val="num" w:pos="1922"/>
        </w:tabs>
        <w:spacing w:before="100" w:beforeAutospacing="1" w:after="100" w:afterAutospacing="1"/>
        <w:ind w:left="1922"/>
        <w:rPr>
          <w:b/>
          <w:noProof/>
        </w:rPr>
      </w:pPr>
      <w:bookmarkStart w:id="75" w:name="_Toc52793617"/>
      <w:r>
        <w:rPr>
          <w:b/>
          <w:noProof/>
        </w:rPr>
        <w:t>Open Public Consultation</w:t>
      </w:r>
      <w:bookmarkEnd w:id="75"/>
    </w:p>
    <w:p>
      <w:pPr>
        <w:spacing w:before="100" w:beforeAutospacing="1" w:after="100" w:afterAutospacing="1"/>
        <w:rPr>
          <w:noProof/>
        </w:rPr>
      </w:pPr>
      <w:r>
        <w:rPr>
          <w:noProof/>
        </w:rPr>
        <w:t xml:space="preserve">This section outlines the results of the Open Public Consultation for the candidate European Partnership on Innovative Health Initiative. </w:t>
      </w:r>
    </w:p>
    <w:p>
      <w:pPr>
        <w:spacing w:before="100" w:beforeAutospacing="1" w:after="100" w:afterAutospacing="1"/>
        <w:rPr>
          <w:noProof/>
        </w:rPr>
      </w:pPr>
      <w:r>
        <w:rPr>
          <w:noProof/>
        </w:rPr>
        <w:t xml:space="preserve">There were 108 respondents who provided views about the Innovative Health Initiative Partnership. Among them, 35 respondents (32%) are representatives of academic and research institutions, 19 respondents (19%) are company/business organisations, and 17 respondents (16%) are citizens. The majority of respondents, namely 77 (71%), have been involved in the on-going research and innovation framework programme, while 49 respondents (64%) were directly involved in a partnership under Horizon 2020 or its predecessor Framework Programme 7. </w:t>
      </w:r>
    </w:p>
    <w:p>
      <w:pPr>
        <w:spacing w:before="100" w:beforeAutospacing="1" w:after="100" w:afterAutospacing="1"/>
        <w:rPr>
          <w:b/>
          <w:noProof/>
        </w:rPr>
      </w:pPr>
      <w:r>
        <w:rPr>
          <w:b/>
          <w:noProof/>
        </w:rPr>
        <w:t>Relevance of efforts of the Innovative Health Initiative to address problems</w:t>
      </w:r>
    </w:p>
    <w:p>
      <w:pPr>
        <w:spacing w:before="100" w:beforeAutospacing="1" w:after="100" w:afterAutospacing="1"/>
        <w:rPr>
          <w:i/>
          <w:noProof/>
          <w:sz w:val="22"/>
          <w:szCs w:val="22"/>
        </w:rPr>
      </w:pPr>
      <w:r>
        <w:rPr>
          <w:noProof/>
        </w:rPr>
        <w:t xml:space="preserve">At the beginning of the consultation, the respondents indicated their views regarding the needs of the future Innovative Health </w:t>
      </w:r>
      <w:r>
        <w:rPr>
          <w:noProof/>
          <w:szCs w:val="24"/>
        </w:rPr>
        <w:t>Initiative (Figure 3).</w:t>
      </w:r>
      <w:r>
        <w:rPr>
          <w:noProof/>
        </w:rPr>
        <w:t xml:space="preserve"> Overall, respondents indicated that many of the options presented were relevant. The option where most respondents indicated this, was “be more responsive towards societal needs” (76; 70%). No statistical differences were found between the views of citizens and other respondents. Other needs indicated were those around investment in long term European partnership, extensive support and the value chain.</w:t>
      </w:r>
      <w:bookmarkStart w:id="76" w:name="_Ref34392275"/>
    </w:p>
    <w:p>
      <w:pPr>
        <w:spacing w:after="0"/>
        <w:jc w:val="left"/>
        <w:rPr>
          <w:i/>
          <w:noProof/>
          <w:sz w:val="22"/>
          <w:szCs w:val="22"/>
        </w:rPr>
      </w:pPr>
      <w:r>
        <w:rPr>
          <w:noProof/>
          <w:szCs w:val="22"/>
        </w:rPr>
        <w:br w:type="page"/>
      </w:r>
    </w:p>
    <w:p>
      <w:pPr>
        <w:pStyle w:val="Caption"/>
        <w:spacing w:before="100" w:beforeAutospacing="1" w:after="100" w:afterAutospacing="1"/>
        <w:rPr>
          <w:noProof/>
          <w:szCs w:val="22"/>
        </w:rPr>
      </w:pPr>
      <w:r>
        <w:rPr>
          <w:noProof/>
          <w:szCs w:val="22"/>
        </w:rPr>
        <w:t xml:space="preserve">Figure </w:t>
      </w:r>
      <w:bookmarkEnd w:id="76"/>
      <w:r>
        <w:rPr>
          <w:noProof/>
          <w:szCs w:val="22"/>
        </w:rPr>
        <w:t>3. Views of the respondents in regard to the needs of future Innovative Health Initiative under Horizon Europe (N=108)</w:t>
      </w:r>
    </w:p>
    <w:p>
      <w:pPr>
        <w:spacing w:before="100" w:beforeAutospacing="1" w:after="100" w:afterAutospacing="1"/>
        <w:rPr>
          <w:noProof/>
        </w:rPr>
      </w:pPr>
      <w:r>
        <w:rPr>
          <w:noProof/>
          <w:lang w:eastAsia="en-GB"/>
        </w:rPr>
        <w:drawing>
          <wp:inline distT="0" distB="0" distL="0" distR="0">
            <wp:extent cx="5472430" cy="29368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72430" cy="2936875"/>
                    </a:xfrm>
                    <a:prstGeom prst="rect">
                      <a:avLst/>
                    </a:prstGeom>
                  </pic:spPr>
                </pic:pic>
              </a:graphicData>
            </a:graphic>
          </wp:inline>
        </w:drawing>
      </w:r>
    </w:p>
    <w:p>
      <w:pPr>
        <w:spacing w:before="100" w:beforeAutospacing="1" w:after="100" w:afterAutospacing="1"/>
        <w:rPr>
          <w:b/>
          <w:noProof/>
        </w:rPr>
      </w:pPr>
      <w:r>
        <w:rPr>
          <w:b/>
          <w:noProof/>
        </w:rPr>
        <w:t>Relevance of R&amp;I efforts at the EU level to address problems in relation to health and health care innovation</w:t>
      </w:r>
    </w:p>
    <w:p>
      <w:pPr>
        <w:spacing w:before="100" w:beforeAutospacing="1" w:after="100" w:afterAutospacing="1"/>
        <w:rPr>
          <w:noProof/>
          <w:szCs w:val="24"/>
        </w:rPr>
      </w:pPr>
      <w:r>
        <w:rPr>
          <w:noProof/>
        </w:rPr>
        <w:t xml:space="preserve">Respondents were asked to provide their view on the relevance of R&amp;I efforts at EU level to address three types of problems: problems in uptake of health innovations (UI-P), structural and resource problems (SR-P) and research and innovations problems (RI-P). Responses are </w:t>
      </w:r>
      <w:r>
        <w:rPr>
          <w:noProof/>
          <w:szCs w:val="24"/>
        </w:rPr>
        <w:t xml:space="preserve">presented in </w:t>
      </w:r>
      <w:bookmarkStart w:id="77" w:name="_Ref34392244"/>
      <w:r>
        <w:rPr>
          <w:noProof/>
          <w:szCs w:val="24"/>
        </w:rPr>
        <w:t>Figure 4.</w:t>
      </w:r>
    </w:p>
    <w:bookmarkEnd w:id="77"/>
    <w:p>
      <w:pPr>
        <w:spacing w:after="0"/>
        <w:jc w:val="left"/>
        <w:rPr>
          <w:i/>
          <w:noProof/>
          <w:sz w:val="22"/>
          <w:szCs w:val="22"/>
        </w:rPr>
      </w:pPr>
      <w:r>
        <w:rPr>
          <w:noProof/>
          <w:szCs w:val="22"/>
        </w:rPr>
        <w:br w:type="page"/>
      </w:r>
    </w:p>
    <w:p>
      <w:pPr>
        <w:pStyle w:val="Caption"/>
        <w:spacing w:before="100" w:beforeAutospacing="1" w:after="100" w:afterAutospacing="1"/>
        <w:rPr>
          <w:noProof/>
          <w:szCs w:val="22"/>
        </w:rPr>
      </w:pPr>
      <w:r>
        <w:rPr>
          <w:noProof/>
          <w:szCs w:val="22"/>
        </w:rPr>
        <w:t>Figure 4. Views of respondents on relevance of research and innovation efforts at the EU level to address problems in relation to health and health care innovation</w:t>
      </w:r>
    </w:p>
    <w:p>
      <w:pPr>
        <w:spacing w:before="100" w:beforeAutospacing="1" w:after="100" w:afterAutospacing="1"/>
        <w:rPr>
          <w:noProof/>
        </w:rPr>
      </w:pPr>
      <w:r>
        <w:rPr>
          <w:noProof/>
          <w:lang w:eastAsia="en-GB"/>
        </w:rPr>
        <w:drawing>
          <wp:inline distT="0" distB="0" distL="0" distR="0">
            <wp:extent cx="5472430" cy="519938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72430" cy="5199380"/>
                    </a:xfrm>
                    <a:prstGeom prst="rect">
                      <a:avLst/>
                    </a:prstGeom>
                  </pic:spPr>
                </pic:pic>
              </a:graphicData>
            </a:graphic>
          </wp:inline>
        </w:drawing>
      </w:r>
    </w:p>
    <w:p>
      <w:pPr>
        <w:spacing w:before="100" w:beforeAutospacing="1" w:after="100" w:afterAutospacing="1"/>
        <w:rPr>
          <w:noProof/>
        </w:rPr>
      </w:pPr>
      <w:r>
        <w:rPr>
          <w:noProof/>
        </w:rPr>
        <w:t xml:space="preserve">With regard to uptake of health innovations (UI-P), the issue for which EU-level R&amp;I efforts were considered very relevant by the greatest amount of respondents (56; 53%) is “insufficient consideration of societal or user needs when translating the results of health research into better health products and services”. This option was closely followed by “Insufficient digitalisation (data access and analysis, interoperability and accessibility issues)” (53; 50%). </w:t>
      </w:r>
    </w:p>
    <w:p>
      <w:pPr>
        <w:spacing w:before="100" w:beforeAutospacing="1" w:after="100" w:afterAutospacing="1"/>
        <w:rPr>
          <w:noProof/>
        </w:rPr>
      </w:pPr>
      <w:r>
        <w:rPr>
          <w:noProof/>
        </w:rPr>
        <w:t>With regard to structural and resource problems (SR-P), the answers to the two proposed options (“Limited collaboration and pooling of resources - across public, private and charity sectors or - between industry sectors”) are fairly similar, with the majority of respondents considering those two problems as very relevant to be addressed at EU-level.</w:t>
      </w:r>
    </w:p>
    <w:p>
      <w:pPr>
        <w:spacing w:before="100" w:beforeAutospacing="1" w:after="100" w:afterAutospacing="1"/>
        <w:rPr>
          <w:noProof/>
        </w:rPr>
      </w:pPr>
      <w:r>
        <w:rPr>
          <w:noProof/>
        </w:rPr>
        <w:t xml:space="preserve">With regard to R&amp;I problems (RI-P), “Innovation gap in the EU in translating the results of health research into the development of innovative health products and services” was considered by the greatest number of respondents (77; 73%) as a very relevant issue to be addressed at EU-level. </w:t>
      </w:r>
    </w:p>
    <w:p>
      <w:pPr>
        <w:spacing w:before="100" w:beforeAutospacing="1" w:after="100" w:afterAutospacing="1"/>
        <w:rPr>
          <w:noProof/>
        </w:rPr>
      </w:pPr>
      <w:r>
        <w:rPr>
          <w:noProof/>
        </w:rPr>
        <w:t>No statistical differences were found between the views of citizens and other respondents.</w:t>
      </w:r>
    </w:p>
    <w:p>
      <w:pPr>
        <w:spacing w:before="100" w:beforeAutospacing="1" w:after="100" w:afterAutospacing="1"/>
        <w:rPr>
          <w:b/>
          <w:noProof/>
        </w:rPr>
      </w:pPr>
      <w:r>
        <w:rPr>
          <w:b/>
          <w:noProof/>
        </w:rPr>
        <w:t>Horizon Europe interventions to address problems</w:t>
      </w:r>
    </w:p>
    <w:p>
      <w:pPr>
        <w:spacing w:before="100" w:beforeAutospacing="1" w:after="100" w:afterAutospacing="1"/>
        <w:rPr>
          <w:noProof/>
        </w:rPr>
      </w:pPr>
      <w:r>
        <w:rPr>
          <w:noProof/>
        </w:rPr>
        <w:t xml:space="preserve">As shown </w:t>
      </w:r>
      <w:r>
        <w:rPr>
          <w:noProof/>
          <w:szCs w:val="24"/>
        </w:rPr>
        <w:t>in Figure 5, 57% of respondents indicated that Institutionalised Partnerships were the best fitting intervention. No statistical differences were found between the views of citizens and other</w:t>
      </w:r>
      <w:r>
        <w:rPr>
          <w:noProof/>
        </w:rPr>
        <w:t xml:space="preserve"> respondents.</w:t>
      </w:r>
    </w:p>
    <w:p>
      <w:pPr>
        <w:pStyle w:val="Caption"/>
        <w:spacing w:before="100" w:beforeAutospacing="1" w:after="100" w:afterAutospacing="1"/>
        <w:rPr>
          <w:noProof/>
          <w:szCs w:val="22"/>
        </w:rPr>
      </w:pPr>
      <w:bookmarkStart w:id="78" w:name="_Ref34392129"/>
      <w:bookmarkStart w:id="79" w:name="_Ref34392098"/>
      <w:r>
        <w:rPr>
          <w:noProof/>
          <w:szCs w:val="22"/>
        </w:rPr>
        <w:t>Figure 5</w:t>
      </w:r>
      <w:bookmarkEnd w:id="78"/>
      <w:r>
        <w:rPr>
          <w:noProof/>
          <w:szCs w:val="22"/>
        </w:rPr>
        <w:t>. Assessment of Horizon Europe intervention</w:t>
      </w:r>
      <w:bookmarkEnd w:id="79"/>
    </w:p>
    <w:p>
      <w:pPr>
        <w:spacing w:before="100" w:beforeAutospacing="1" w:after="100" w:afterAutospacing="1"/>
        <w:rPr>
          <w:noProof/>
        </w:rPr>
      </w:pPr>
      <w:r>
        <w:rPr>
          <w:noProof/>
          <w:lang w:eastAsia="en-GB"/>
        </w:rPr>
        <w:drawing>
          <wp:inline distT="0" distB="0" distL="0" distR="0">
            <wp:extent cx="5454000" cy="876358"/>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4000" cy="876358"/>
                    </a:xfrm>
                    <a:prstGeom prst="rect">
                      <a:avLst/>
                    </a:prstGeom>
                    <a:noFill/>
                  </pic:spPr>
                </pic:pic>
              </a:graphicData>
            </a:graphic>
          </wp:inline>
        </w:drawing>
      </w:r>
    </w:p>
    <w:p>
      <w:pPr>
        <w:spacing w:before="100" w:beforeAutospacing="1" w:after="100" w:afterAutospacing="1"/>
        <w:rPr>
          <w:noProof/>
        </w:rPr>
      </w:pPr>
      <w:r>
        <w:rPr>
          <w:noProof/>
        </w:rPr>
        <w:t>People who stated that an Institutionalised Partnership was the best fitting answer mentioned long term collaboration, global health issues and financial commitment. Respondents who did not select Institutionalised Partnership as their preferred intervention (N=47) mentioned traditional calls, industry partners and collaborative research as crucial for innovation.</w:t>
      </w:r>
    </w:p>
    <w:p>
      <w:pPr>
        <w:spacing w:before="100" w:beforeAutospacing="1" w:after="100" w:afterAutospacing="1"/>
        <w:rPr>
          <w:b/>
          <w:noProof/>
        </w:rPr>
      </w:pPr>
      <w:r>
        <w:rPr>
          <w:b/>
          <w:noProof/>
        </w:rPr>
        <w:t>Involvement of actors in setting joint long-term agenda</w:t>
      </w:r>
    </w:p>
    <w:p>
      <w:pPr>
        <w:spacing w:before="100" w:beforeAutospacing="1" w:after="100" w:afterAutospacing="1"/>
        <w:rPr>
          <w:noProof/>
        </w:rPr>
      </w:pPr>
      <w:r>
        <w:rPr>
          <w:noProof/>
        </w:rPr>
        <w:t xml:space="preserve">A higher number of respondents consider that the involvement of academia and industry is highly relevant for reaching the objectives of the Innovative Health Initiative Partnership. In contrast, the importance of involvement of foundations and NGOs in setting joint long-term agenda is considered lower, with 47 respondents (48%) viewing them as highly relevant actors for setting the agenda. Respondents that are/were involved in a current/preceding partnership (Horizon 2020 or Framework Programme 7) find industry a more important stakeholder to involve in joint long-term agenda setting than other respondents. No statistical differences were found between the views of citizens and other respondents. </w:t>
      </w:r>
    </w:p>
    <w:p>
      <w:pPr>
        <w:pStyle w:val="Caption"/>
        <w:spacing w:before="100" w:beforeAutospacing="1" w:after="100" w:afterAutospacing="1"/>
        <w:rPr>
          <w:noProof/>
          <w:szCs w:val="22"/>
        </w:rPr>
      </w:pPr>
      <w:bookmarkStart w:id="80" w:name="_Ref25745500"/>
      <w:bookmarkStart w:id="81" w:name="_Toc25764843"/>
      <w:r>
        <w:rPr>
          <w:noProof/>
          <w:szCs w:val="22"/>
        </w:rPr>
        <w:t xml:space="preserve">Figure </w:t>
      </w:r>
      <w:bookmarkEnd w:id="80"/>
      <w:r>
        <w:rPr>
          <w:noProof/>
          <w:szCs w:val="22"/>
        </w:rPr>
        <w:t xml:space="preserve">6. </w:t>
      </w:r>
      <w:bookmarkEnd w:id="81"/>
      <w:r>
        <w:rPr>
          <w:noProof/>
          <w:szCs w:val="22"/>
        </w:rPr>
        <w:t>Views of respondents on relevance of actors in setting joint long-term agenda</w:t>
      </w:r>
    </w:p>
    <w:p>
      <w:pPr>
        <w:spacing w:before="100" w:beforeAutospacing="1" w:after="100" w:afterAutospacing="1"/>
        <w:rPr>
          <w:noProof/>
        </w:rPr>
      </w:pPr>
      <w:r>
        <w:rPr>
          <w:noProof/>
          <w:lang w:eastAsia="en-GB"/>
        </w:rPr>
        <mc:AlternateContent>
          <mc:Choice Requires="wps">
            <w:drawing>
              <wp:inline distT="0" distB="0" distL="0" distR="0">
                <wp:extent cx="5454000" cy="1404620"/>
                <wp:effectExtent l="0" t="0" r="13970" b="22860"/>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09550" cy="2035628"/>
                                  <wp:effectExtent l="0" t="0" r="0" b="317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2_Q5_Jointlongtermagenda.png"/>
                                          <pic:cNvPicPr/>
                                        </pic:nvPicPr>
                                        <pic:blipFill rotWithShape="1">
                                          <a:blip r:embed="rId38">
                                            <a:extLst>
                                              <a:ext uri="{28A0092B-C50C-407E-A947-70E740481C1C}">
                                                <a14:useLocalDpi xmlns:a14="http://schemas.microsoft.com/office/drawing/2010/main" val="0"/>
                                              </a:ext>
                                            </a:extLst>
                                          </a:blip>
                                          <a:srcRect l="1139" t="2062" r="1623" b="12202"/>
                                          <a:stretch/>
                                        </pic:blipFill>
                                        <pic:spPr bwMode="auto">
                                          <a:xfrm>
                                            <a:off x="0" y="0"/>
                                            <a:ext cx="5112521" cy="2036812"/>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" strokecolor="#cfcdcd [2894]" strokeweight="1pt">
                <v:textbox style="mso-fit-shape-to-text:t">
                  <w:txbxContent>
                    <w:p>
                      <w:pPr>
                        <w:jc w:val="center"/>
                      </w:pPr>
                      <w:r>
                        <w:rPr>
                          <w:noProof/>
                          <w:lang w:eastAsia="en-GB"/>
                        </w:rPr>
                        <w:drawing>
                          <wp:inline distT="0" distB="0" distL="0" distR="0">
                            <wp:extent cx="5109550" cy="2035628"/>
                            <wp:effectExtent l="0" t="0" r="0" b="317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2_Q5_Jointlongtermagenda.png"/>
                                    <pic:cNvPicPr/>
                                  </pic:nvPicPr>
                                  <pic:blipFill rotWithShape="1">
                                    <a:blip r:embed="rId38">
                                      <a:extLst>
                                        <a:ext uri="{28A0092B-C50C-407E-A947-70E740481C1C}">
                                          <a14:useLocalDpi xmlns:a14="http://schemas.microsoft.com/office/drawing/2010/main" val="0"/>
                                        </a:ext>
                                      </a:extLst>
                                    </a:blip>
                                    <a:srcRect l="1139" t="2062" r="1623" b="12202"/>
                                    <a:stretch/>
                                  </pic:blipFill>
                                  <pic:spPr bwMode="auto">
                                    <a:xfrm>
                                      <a:off x="0" y="0"/>
                                      <a:ext cx="5112521" cy="2036812"/>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before="100" w:beforeAutospacing="1" w:after="100" w:afterAutospacing="1"/>
        <w:rPr>
          <w:b/>
          <w:noProof/>
        </w:rPr>
      </w:pPr>
      <w:r>
        <w:rPr>
          <w:b/>
          <w:noProof/>
        </w:rPr>
        <w:t xml:space="preserve">Relevance of actors in pooling and leveraging resources </w:t>
      </w:r>
    </w:p>
    <w:p>
      <w:pPr>
        <w:spacing w:before="100" w:beforeAutospacing="1" w:after="100" w:afterAutospacing="1"/>
        <w:rPr>
          <w:noProof/>
        </w:rPr>
      </w:pPr>
      <w:r>
        <w:rPr>
          <w:noProof/>
        </w:rPr>
        <w:t>The role of Member States and Associated Countries is perceived as relevant or very relevant by 86% of respondents. The importance of involvement of other actors, such as industry and academia, is also considered high by 81% and 80% of respondents, respectively. The role of foundations and NGOs as well as other stakeholders in pooling and leveraging resources, is seen as less relevant (74% and 64%, respectively).</w:t>
      </w:r>
    </w:p>
    <w:p>
      <w:pPr>
        <w:spacing w:before="100" w:beforeAutospacing="1" w:after="100" w:afterAutospacing="1"/>
        <w:rPr>
          <w:noProof/>
        </w:rPr>
      </w:pPr>
      <w:r>
        <w:rPr>
          <w:noProof/>
        </w:rPr>
        <w:t>A slight statistical difference was found between the views of citizens and other respondents. Citizens show slightly less relevance for industry, for other categories the views show no statistical differences.</w:t>
      </w:r>
    </w:p>
    <w:p>
      <w:pPr>
        <w:pStyle w:val="Caption"/>
        <w:spacing w:before="100" w:beforeAutospacing="1" w:after="100" w:afterAutospacing="1"/>
        <w:rPr>
          <w:noProof/>
          <w:szCs w:val="22"/>
        </w:rPr>
      </w:pPr>
      <w:bookmarkStart w:id="82" w:name="_Ref26450334"/>
      <w:bookmarkStart w:id="83" w:name="_Toc25764844"/>
      <w:r>
        <w:rPr>
          <w:noProof/>
          <w:szCs w:val="22"/>
        </w:rPr>
        <w:t>Figure 7</w:t>
      </w:r>
      <w:bookmarkEnd w:id="82"/>
      <w:r>
        <w:rPr>
          <w:noProof/>
          <w:szCs w:val="22"/>
        </w:rPr>
        <w:t>. Views of respondents on relevance of actors for pooling and leveraging resources</w:t>
      </w:r>
      <w:bookmarkEnd w:id="83"/>
    </w:p>
    <w:p>
      <w:pPr>
        <w:spacing w:before="100" w:beforeAutospacing="1" w:after="100" w:afterAutospacing="1"/>
        <w:rPr>
          <w:noProof/>
        </w:rPr>
      </w:pPr>
      <w:r>
        <w:rPr>
          <w:noProof/>
          <w:lang w:eastAsia="en-GB"/>
        </w:rPr>
        <mc:AlternateContent>
          <mc:Choice Requires="wps">
            <w:drawing>
              <wp:inline distT="0" distB="0" distL="0" distR="0">
                <wp:extent cx="5454000" cy="1404620"/>
                <wp:effectExtent l="0" t="0" r="13970" b="22860"/>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16195" cy="2013857"/>
                                  <wp:effectExtent l="0" t="0" r="8255" b="571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2_Q6_Poolingandleveraging.png"/>
                                          <pic:cNvPicPr/>
                                        </pic:nvPicPr>
                                        <pic:blipFill rotWithShape="1">
                                          <a:blip r:embed="rId40">
                                            <a:extLst>
                                              <a:ext uri="{28A0092B-C50C-407E-A947-70E740481C1C}">
                                                <a14:useLocalDpi xmlns:a14="http://schemas.microsoft.com/office/drawing/2010/main" val="0"/>
                                              </a:ext>
                                            </a:extLst>
                                          </a:blip>
                                          <a:srcRect l="1139" t="3437" r="1534" b="11776"/>
                                          <a:stretch/>
                                        </pic:blipFill>
                                        <pic:spPr bwMode="auto">
                                          <a:xfrm>
                                            <a:off x="0" y="0"/>
                                            <a:ext cx="5117270" cy="2014280"/>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7"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" strokecolor="#cfcdcd [2894]" strokeweight="1pt">
                <v:textbox style="mso-fit-shape-to-text:t">
                  <w:txbxContent>
                    <w:p>
                      <w:pPr>
                        <w:jc w:val="center"/>
                      </w:pPr>
                      <w:r>
                        <w:rPr>
                          <w:noProof/>
                          <w:lang w:eastAsia="en-GB"/>
                        </w:rPr>
                        <w:drawing>
                          <wp:inline distT="0" distB="0" distL="0" distR="0">
                            <wp:extent cx="5116195" cy="2013857"/>
                            <wp:effectExtent l="0" t="0" r="8255" b="571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2_Q6_Poolingandleveraging.png"/>
                                    <pic:cNvPicPr/>
                                  </pic:nvPicPr>
                                  <pic:blipFill rotWithShape="1">
                                    <a:blip r:embed="rId40">
                                      <a:extLst>
                                        <a:ext uri="{28A0092B-C50C-407E-A947-70E740481C1C}">
                                          <a14:useLocalDpi xmlns:a14="http://schemas.microsoft.com/office/drawing/2010/main" val="0"/>
                                        </a:ext>
                                      </a:extLst>
                                    </a:blip>
                                    <a:srcRect l="1139" t="3437" r="1534" b="11776"/>
                                    <a:stretch/>
                                  </pic:blipFill>
                                  <pic:spPr bwMode="auto">
                                    <a:xfrm>
                                      <a:off x="0" y="0"/>
                                      <a:ext cx="5117270" cy="2014280"/>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before="100" w:beforeAutospacing="1" w:after="100" w:afterAutospacing="1"/>
        <w:rPr>
          <w:b/>
          <w:noProof/>
        </w:rPr>
      </w:pPr>
      <w:r>
        <w:rPr>
          <w:b/>
          <w:noProof/>
        </w:rPr>
        <w:t>Partnership composition</w:t>
      </w:r>
    </w:p>
    <w:p>
      <w:pPr>
        <w:spacing w:before="100" w:beforeAutospacing="1" w:after="100" w:afterAutospacing="1"/>
        <w:rPr>
          <w:noProof/>
        </w:rPr>
      </w:pPr>
      <w:r>
        <w:rPr>
          <w:noProof/>
        </w:rPr>
        <w:t xml:space="preserve">The involvement of a broad range of partners is considered more relevant to meet the objectives of the Partnership than the flexibility in composition of partners over time, as 73 respondents (72%) versus 52 (50%) respectively consider them very relevant. </w:t>
      </w:r>
    </w:p>
    <w:p>
      <w:pPr>
        <w:pStyle w:val="Caption"/>
        <w:spacing w:before="100" w:beforeAutospacing="1" w:after="100" w:afterAutospacing="1"/>
        <w:rPr>
          <w:noProof/>
          <w:szCs w:val="22"/>
        </w:rPr>
      </w:pPr>
      <w:bookmarkStart w:id="84" w:name="_Toc25764845"/>
      <w:r>
        <w:rPr>
          <w:noProof/>
          <w:szCs w:val="22"/>
        </w:rPr>
        <w:t xml:space="preserve">Figure 8. </w:t>
      </w:r>
      <w:bookmarkEnd w:id="84"/>
      <w:r>
        <w:rPr>
          <w:noProof/>
          <w:szCs w:val="22"/>
        </w:rPr>
        <w:t>Views of respondents on relevance of partnership composition elements</w:t>
      </w:r>
    </w:p>
    <w:p>
      <w:pPr>
        <w:spacing w:before="100" w:beforeAutospacing="1" w:after="100" w:afterAutospacing="1"/>
        <w:rPr>
          <w:noProof/>
        </w:rPr>
      </w:pPr>
      <w:r>
        <w:rPr>
          <w:noProof/>
          <w:lang w:eastAsia="en-GB"/>
        </w:rPr>
        <mc:AlternateContent>
          <mc:Choice Requires="wps">
            <w:drawing>
              <wp:inline distT="0" distB="0" distL="0" distR="0">
                <wp:extent cx="5454000" cy="1404620"/>
                <wp:effectExtent l="0" t="0" r="13970" b="22860"/>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20005" cy="1856015"/>
                                  <wp:effectExtent l="0" t="0" r="4445"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2_Q7_PartnershipComposition.png"/>
                                          <pic:cNvPicPr/>
                                        </pic:nvPicPr>
                                        <pic:blipFill rotWithShape="1">
                                          <a:blip r:embed="rId41">
                                            <a:extLst>
                                              <a:ext uri="{28A0092B-C50C-407E-A947-70E740481C1C}">
                                                <a14:useLocalDpi xmlns:a14="http://schemas.microsoft.com/office/drawing/2010/main" val="0"/>
                                              </a:ext>
                                            </a:extLst>
                                          </a:blip>
                                          <a:srcRect l="1139" t="7561" r="1437" b="14278"/>
                                          <a:stretch/>
                                        </pic:blipFill>
                                        <pic:spPr bwMode="auto">
                                          <a:xfrm>
                                            <a:off x="0" y="0"/>
                                            <a:ext cx="5122331" cy="1856858"/>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8"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" strokecolor="#cfcdcd [2894]" strokeweight="1pt">
                <v:textbox style="mso-fit-shape-to-text:t">
                  <w:txbxContent>
                    <w:p>
                      <w:pPr>
                        <w:jc w:val="center"/>
                      </w:pPr>
                      <w:r>
                        <w:rPr>
                          <w:noProof/>
                          <w:lang w:eastAsia="en-GB"/>
                        </w:rPr>
                        <w:drawing>
                          <wp:inline distT="0" distB="0" distL="0" distR="0">
                            <wp:extent cx="5120005" cy="1856015"/>
                            <wp:effectExtent l="0" t="0" r="4445"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2_Q7_PartnershipComposition.png"/>
                                    <pic:cNvPicPr/>
                                  </pic:nvPicPr>
                                  <pic:blipFill rotWithShape="1">
                                    <a:blip r:embed="rId41">
                                      <a:extLst>
                                        <a:ext uri="{28A0092B-C50C-407E-A947-70E740481C1C}">
                                          <a14:useLocalDpi xmlns:a14="http://schemas.microsoft.com/office/drawing/2010/main" val="0"/>
                                        </a:ext>
                                      </a:extLst>
                                    </a:blip>
                                    <a:srcRect l="1139" t="7561" r="1437" b="14278"/>
                                    <a:stretch/>
                                  </pic:blipFill>
                                  <pic:spPr bwMode="auto">
                                    <a:xfrm>
                                      <a:off x="0" y="0"/>
                                      <a:ext cx="5122331" cy="1856858"/>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before="100" w:beforeAutospacing="1" w:after="100" w:afterAutospacing="1"/>
        <w:rPr>
          <w:b/>
          <w:noProof/>
        </w:rPr>
      </w:pPr>
    </w:p>
    <w:p>
      <w:pPr>
        <w:spacing w:before="100" w:beforeAutospacing="1" w:after="100" w:afterAutospacing="1"/>
        <w:rPr>
          <w:b/>
          <w:noProof/>
        </w:rPr>
      </w:pPr>
    </w:p>
    <w:p>
      <w:pPr>
        <w:spacing w:before="100" w:beforeAutospacing="1" w:after="100" w:afterAutospacing="1"/>
        <w:rPr>
          <w:b/>
          <w:noProof/>
        </w:rPr>
      </w:pPr>
      <w:r>
        <w:rPr>
          <w:b/>
          <w:noProof/>
        </w:rPr>
        <w:t>Implementation of activities</w:t>
      </w:r>
    </w:p>
    <w:p>
      <w:pPr>
        <w:spacing w:before="100" w:beforeAutospacing="1" w:after="100" w:afterAutospacing="1"/>
        <w:rPr>
          <w:noProof/>
        </w:rPr>
      </w:pPr>
      <w:r>
        <w:rPr>
          <w:noProof/>
        </w:rPr>
        <w:t>Over 67% of respondents consider collaborative and joint R&amp;I projects very relevant for reaching the objectives of the Partnership. The least number of respondents, namely 44 (42%), view the input to regulatory aspects as relevant for meeting the objectives. No statistical differences were found between the views of citizens and other respondents.</w:t>
      </w:r>
    </w:p>
    <w:p>
      <w:pPr>
        <w:pStyle w:val="Caption"/>
        <w:spacing w:before="100" w:beforeAutospacing="1" w:after="100" w:afterAutospacing="1"/>
        <w:rPr>
          <w:noProof/>
          <w:szCs w:val="22"/>
        </w:rPr>
      </w:pPr>
      <w:bookmarkStart w:id="85" w:name="_Ref26450353"/>
      <w:bookmarkStart w:id="86" w:name="_Toc25764846"/>
      <w:r>
        <w:rPr>
          <w:noProof/>
          <w:szCs w:val="22"/>
        </w:rPr>
        <w:t>Figure</w:t>
      </w:r>
      <w:bookmarkEnd w:id="85"/>
      <w:r>
        <w:rPr>
          <w:noProof/>
          <w:szCs w:val="22"/>
        </w:rPr>
        <w:t xml:space="preserve"> 9. </w:t>
      </w:r>
      <w:bookmarkEnd w:id="86"/>
      <w:r>
        <w:rPr>
          <w:noProof/>
          <w:szCs w:val="22"/>
        </w:rPr>
        <w:t>Views of respondents on relevance of implementation of the following activities</w:t>
      </w:r>
    </w:p>
    <w:p>
      <w:pPr>
        <w:pStyle w:val="Bullet1"/>
        <w:numPr>
          <w:ilvl w:val="0"/>
          <w:numId w:val="0"/>
        </w:numPr>
        <w:spacing w:before="100" w:beforeAutospacing="1" w:after="100" w:afterAutospacing="1"/>
        <w:ind w:left="360"/>
        <w:rPr>
          <w:noProof/>
          <w:lang w:val="en-GB"/>
        </w:rPr>
      </w:pPr>
      <w:r>
        <w:rPr>
          <w:noProof/>
          <w:lang w:val="en-GB" w:eastAsia="en-GB"/>
        </w:rPr>
        <mc:AlternateContent>
          <mc:Choice Requires="wps">
            <w:drawing>
              <wp:inline distT="0" distB="0" distL="0" distR="0">
                <wp:extent cx="5454000" cy="1404620"/>
                <wp:effectExtent l="0" t="0" r="13970" b="22860"/>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4614333" cy="1798685"/>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2_Q8_Implementing.png"/>
                                          <pic:cNvPicPr/>
                                        </pic:nvPicPr>
                                        <pic:blipFill rotWithShape="1">
                                          <a:blip r:embed="rId42">
                                            <a:extLst>
                                              <a:ext uri="{28A0092B-C50C-407E-A947-70E740481C1C}">
                                                <a14:useLocalDpi xmlns:a14="http://schemas.microsoft.com/office/drawing/2010/main" val="0"/>
                                              </a:ext>
                                            </a:extLst>
                                          </a:blip>
                                          <a:srcRect l="1139" t="2751" r="1619" b="13359"/>
                                          <a:stretch/>
                                        </pic:blipFill>
                                        <pic:spPr bwMode="auto">
                                          <a:xfrm>
                                            <a:off x="0" y="0"/>
                                            <a:ext cx="4621636" cy="1801532"/>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9"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" strokecolor="#cfcdcd [2894]" strokeweight="1pt">
                <v:textbox style="mso-fit-shape-to-text:t">
                  <w:txbxContent>
                    <w:p>
                      <w:pPr>
                        <w:jc w:val="center"/>
                      </w:pPr>
                      <w:r>
                        <w:rPr>
                          <w:noProof/>
                          <w:lang w:eastAsia="en-GB"/>
                        </w:rPr>
                        <w:drawing>
                          <wp:inline distT="0" distB="0" distL="0" distR="0">
                            <wp:extent cx="4614333" cy="1798685"/>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2_Q8_Implementing.png"/>
                                    <pic:cNvPicPr/>
                                  </pic:nvPicPr>
                                  <pic:blipFill rotWithShape="1">
                                    <a:blip r:embed="rId42">
                                      <a:extLst>
                                        <a:ext uri="{28A0092B-C50C-407E-A947-70E740481C1C}">
                                          <a14:useLocalDpi xmlns:a14="http://schemas.microsoft.com/office/drawing/2010/main" val="0"/>
                                        </a:ext>
                                      </a:extLst>
                                    </a:blip>
                                    <a:srcRect l="1139" t="2751" r="1619" b="13359"/>
                                    <a:stretch/>
                                  </pic:blipFill>
                                  <pic:spPr bwMode="auto">
                                    <a:xfrm>
                                      <a:off x="0" y="0"/>
                                      <a:ext cx="4621636" cy="1801532"/>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before="100" w:beforeAutospacing="1" w:after="100" w:afterAutospacing="1"/>
        <w:rPr>
          <w:b/>
          <w:noProof/>
        </w:rPr>
      </w:pPr>
      <w:r>
        <w:rPr>
          <w:b/>
          <w:noProof/>
        </w:rPr>
        <w:t>Relevance of a legal structure (funding body) to achieve specific objectives</w:t>
      </w:r>
    </w:p>
    <w:p>
      <w:pPr>
        <w:spacing w:before="100" w:beforeAutospacing="1" w:after="100" w:afterAutospacing="1"/>
        <w:rPr>
          <w:noProof/>
        </w:rPr>
      </w:pPr>
      <w:r>
        <w:rPr>
          <w:noProof/>
        </w:rPr>
        <w:t xml:space="preserve">Respondents were asked to assess the relevance of a specific legal structure (funding body) for the candidate European Partnership to achieve several objectives. The opinions of </w:t>
      </w:r>
      <w:r>
        <w:rPr>
          <w:noProof/>
          <w:szCs w:val="24"/>
        </w:rPr>
        <w:t>respondents reveal that the legal structure would be equally beneficial for most listed activities, as Figure 10 reflects</w:t>
      </w:r>
      <w:r>
        <w:rPr>
          <w:noProof/>
        </w:rPr>
        <w:t xml:space="preserve"> a similar pattern of responses. However, the least number of respondents suggest that the legal structure would be very relevant for ensuring better links to practitioners on the ground and to regulators. No statistical differences were found between the views of citizens and other respondents.</w:t>
      </w:r>
    </w:p>
    <w:p>
      <w:pPr>
        <w:spacing w:after="0"/>
        <w:jc w:val="left"/>
        <w:rPr>
          <w:i/>
          <w:noProof/>
          <w:sz w:val="22"/>
          <w:szCs w:val="22"/>
        </w:rPr>
      </w:pPr>
      <w:bookmarkStart w:id="87" w:name="_Ref26440504"/>
      <w:bookmarkStart w:id="88" w:name="_Toc25764847"/>
      <w:r>
        <w:rPr>
          <w:noProof/>
          <w:szCs w:val="22"/>
        </w:rPr>
        <w:br w:type="page"/>
      </w:r>
    </w:p>
    <w:p>
      <w:pPr>
        <w:pStyle w:val="Caption"/>
        <w:spacing w:before="100" w:beforeAutospacing="1" w:after="100" w:afterAutospacing="1"/>
        <w:rPr>
          <w:noProof/>
          <w:szCs w:val="22"/>
        </w:rPr>
      </w:pPr>
      <w:r>
        <w:rPr>
          <w:noProof/>
          <w:szCs w:val="22"/>
        </w:rPr>
        <w:t>Figure</w:t>
      </w:r>
      <w:bookmarkEnd w:id="87"/>
      <w:r>
        <w:rPr>
          <w:noProof/>
          <w:szCs w:val="22"/>
        </w:rPr>
        <w:t xml:space="preserve"> 10. </w:t>
      </w:r>
      <w:bookmarkEnd w:id="88"/>
      <w:r>
        <w:rPr>
          <w:noProof/>
          <w:szCs w:val="22"/>
        </w:rPr>
        <w:t>Views of respondents on relevance of a specific legal structure</w:t>
      </w:r>
    </w:p>
    <w:p>
      <w:pPr>
        <w:spacing w:before="100" w:beforeAutospacing="1" w:after="100" w:afterAutospacing="1"/>
        <w:rPr>
          <w:noProof/>
        </w:rPr>
      </w:pPr>
      <w:r>
        <w:rPr>
          <w:noProof/>
          <w:lang w:eastAsia="en-GB"/>
        </w:rPr>
        <mc:AlternateContent>
          <mc:Choice Requires="wps">
            <w:drawing>
              <wp:inline distT="0" distB="0" distL="0" distR="0">
                <wp:extent cx="5454000" cy="1404620"/>
                <wp:effectExtent l="0" t="0" r="13970" b="24765"/>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chemeClr val="bg2">
                              <a:lumMod val="90000"/>
                            </a:schemeClr>
                          </a:solidFill>
                          <a:miter lim="800000"/>
                          <a:headEnd/>
                          <a:tailEnd/>
                        </a:ln>
                      </wps:spPr>
                      <wps:txbx>
                        <w:txbxContent>
                          <w:p>
                            <w:pPr>
                              <w:jc w:val="center"/>
                            </w:pPr>
                            <w:r>
                              <w:rPr>
                                <w:noProof/>
                                <w:lang w:eastAsia="en-GB"/>
                              </w:rPr>
                              <w:drawing>
                                <wp:inline distT="0" distB="0" distL="0" distR="0">
                                  <wp:extent cx="4912063" cy="3598334"/>
                                  <wp:effectExtent l="0" t="0" r="3175" b="2540"/>
                                  <wp:docPr id="483"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8" t="3175" r="1172" b="2841"/>
                                          <a:stretch/>
                                        </pic:blipFill>
                                        <pic:spPr bwMode="auto">
                                          <a:xfrm>
                                            <a:off x="0" y="0"/>
                                            <a:ext cx="4951778" cy="36274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0"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" strokecolor="#cfcdcd [2894]">
                <v:textbox style="mso-fit-shape-to-text:t">
                  <w:txbxContent>
                    <w:p>
                      <w:pPr>
                        <w:jc w:val="center"/>
                      </w:pPr>
                      <w:r>
                        <w:rPr>
                          <w:noProof/>
                          <w:lang w:eastAsia="en-GB"/>
                        </w:rPr>
                        <w:drawing>
                          <wp:inline distT="0" distB="0" distL="0" distR="0">
                            <wp:extent cx="4912063" cy="3598334"/>
                            <wp:effectExtent l="0" t="0" r="3175" b="2540"/>
                            <wp:docPr id="483"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8" t="3175" r="1172" b="2841"/>
                                    <a:stretch/>
                                  </pic:blipFill>
                                  <pic:spPr bwMode="auto">
                                    <a:xfrm>
                                      <a:off x="0" y="0"/>
                                      <a:ext cx="4951778" cy="36274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before="100" w:beforeAutospacing="1" w:after="100" w:afterAutospacing="1"/>
        <w:rPr>
          <w:b/>
          <w:noProof/>
        </w:rPr>
      </w:pPr>
      <w:r>
        <w:rPr>
          <w:b/>
          <w:noProof/>
        </w:rPr>
        <w:t xml:space="preserve">Scope and coverage </w:t>
      </w:r>
    </w:p>
    <w:p>
      <w:pPr>
        <w:spacing w:before="100" w:beforeAutospacing="1" w:after="100" w:afterAutospacing="1"/>
        <w:rPr>
          <w:noProof/>
        </w:rPr>
      </w:pPr>
      <w:r>
        <w:rPr>
          <w:noProof/>
        </w:rPr>
        <w:t>Respondents were asked to assess the scope and coverage of the proposed Innovative Health Initiative, based on its inception impact assessment. As presented in Figure 11, 73 respondents (72%) consider that the coverage and scope of technologies is right, while the least number of respondents, namely 51 (50%), think that the proposed sectoral and geographical coverage and scope are right. Moreover, 20 respondents (20%) indicated that the research areas covered are too narrow. No statistical differences were found between the views of citizens and other respondents.</w:t>
      </w:r>
    </w:p>
    <w:p>
      <w:pPr>
        <w:spacing w:after="0"/>
        <w:jc w:val="left"/>
        <w:rPr>
          <w:i/>
          <w:noProof/>
          <w:sz w:val="22"/>
          <w:szCs w:val="22"/>
        </w:rPr>
      </w:pPr>
      <w:bookmarkStart w:id="89" w:name="_Ref26450390"/>
      <w:bookmarkStart w:id="90" w:name="_Toc25764848"/>
      <w:r>
        <w:rPr>
          <w:noProof/>
          <w:szCs w:val="22"/>
        </w:rPr>
        <w:br w:type="page"/>
      </w:r>
    </w:p>
    <w:p>
      <w:pPr>
        <w:pStyle w:val="Caption"/>
        <w:spacing w:before="100" w:beforeAutospacing="1" w:after="100" w:afterAutospacing="1"/>
        <w:rPr>
          <w:noProof/>
          <w:szCs w:val="22"/>
        </w:rPr>
      </w:pPr>
      <w:r>
        <w:rPr>
          <w:noProof/>
          <w:szCs w:val="22"/>
        </w:rPr>
        <w:t>Figure</w:t>
      </w:r>
      <w:bookmarkEnd w:id="89"/>
      <w:r>
        <w:rPr>
          <w:noProof/>
          <w:szCs w:val="22"/>
        </w:rPr>
        <w:t xml:space="preserve"> 11. Views of respondents on the scope and coverage proposed for the Innovative Health Institutionalised Partnership</w:t>
      </w:r>
      <w:bookmarkEnd w:id="90"/>
    </w:p>
    <w:p>
      <w:pPr>
        <w:spacing w:before="100" w:beforeAutospacing="1" w:after="100" w:afterAutospacing="1"/>
        <w:rPr>
          <w:noProof/>
        </w:rPr>
      </w:pPr>
      <w:r>
        <w:rPr>
          <w:noProof/>
          <w:lang w:eastAsia="en-GB"/>
        </w:rPr>
        <w:drawing>
          <wp:inline distT="0" distB="0" distL="0" distR="0">
            <wp:extent cx="5472430" cy="2472690"/>
            <wp:effectExtent l="19050" t="19050" r="13970" b="2286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2_Q10_Coverage.png"/>
                    <pic:cNvPicPr/>
                  </pic:nvPicPr>
                  <pic:blipFill>
                    <a:blip r:embed="rId44">
                      <a:extLst>
                        <a:ext uri="{28A0092B-C50C-407E-A947-70E740481C1C}">
                          <a14:useLocalDpi xmlns:a14="http://schemas.microsoft.com/office/drawing/2010/main" val="0"/>
                        </a:ext>
                      </a:extLst>
                    </a:blip>
                    <a:stretch>
                      <a:fillRect/>
                    </a:stretch>
                  </pic:blipFill>
                  <pic:spPr>
                    <a:xfrm>
                      <a:off x="0" y="0"/>
                      <a:ext cx="5472430" cy="2472690"/>
                    </a:xfrm>
                    <a:prstGeom prst="rect">
                      <a:avLst/>
                    </a:prstGeom>
                    <a:ln>
                      <a:solidFill>
                        <a:schemeClr val="bg2">
                          <a:lumMod val="90000"/>
                        </a:schemeClr>
                      </a:solidFill>
                    </a:ln>
                  </pic:spPr>
                </pic:pic>
              </a:graphicData>
            </a:graphic>
          </wp:inline>
        </w:drawing>
      </w:r>
    </w:p>
    <w:p>
      <w:pPr>
        <w:spacing w:before="100" w:beforeAutospacing="1" w:after="100" w:afterAutospacing="1"/>
        <w:rPr>
          <w:noProof/>
        </w:rPr>
      </w:pPr>
      <w:r>
        <w:rPr>
          <w:noProof/>
        </w:rPr>
        <w:t>Aside from this multiple choice question, the respondents were also asked to provide comments on the proposed scope and coverage for this candidate Institutionalised Partnership. The keyword analysis showed the respondents used this open question to talk about infectious diseases, the scope of the partnership with regard to global health, the health systems and public health.</w:t>
      </w:r>
    </w:p>
    <w:p>
      <w:pPr>
        <w:spacing w:before="100" w:beforeAutospacing="1" w:after="100" w:afterAutospacing="1"/>
        <w:rPr>
          <w:b/>
          <w:noProof/>
        </w:rPr>
      </w:pPr>
      <w:r>
        <w:rPr>
          <w:b/>
          <w:noProof/>
        </w:rPr>
        <w:t xml:space="preserve">Alignment of the European Partnership with other initiatives </w:t>
      </w:r>
    </w:p>
    <w:p>
      <w:pPr>
        <w:spacing w:before="100" w:beforeAutospacing="1" w:after="100" w:afterAutospacing="1"/>
        <w:rPr>
          <w:noProof/>
        </w:rPr>
      </w:pPr>
      <w:r>
        <w:rPr>
          <w:noProof/>
          <w:lang w:eastAsia="en-GB"/>
        </w:rPr>
        <w:t>Out of 91 respondents, 78 (86%) think that it is possible to rationalise the candidate Innovative Health Initiative and its activities, and/or to better link it with other comparable initiatives. R</w:t>
      </w:r>
      <w:r>
        <w:rPr>
          <w:noProof/>
        </w:rPr>
        <w:t>espondents mentioned other programmes, complementary initiatives, health systems partnerships and digital technology.</w:t>
      </w:r>
    </w:p>
    <w:p>
      <w:pPr>
        <w:spacing w:before="100" w:beforeAutospacing="1" w:after="100" w:afterAutospacing="1"/>
        <w:rPr>
          <w:b/>
          <w:noProof/>
        </w:rPr>
      </w:pPr>
      <w:r>
        <w:rPr>
          <w:b/>
          <w:noProof/>
        </w:rPr>
        <w:t>Relevance of the Candidate European Partnership to deliver impacts</w:t>
      </w:r>
    </w:p>
    <w:p>
      <w:pPr>
        <w:spacing w:before="100" w:beforeAutospacing="1" w:after="100" w:afterAutospacing="1"/>
        <w:rPr>
          <w:noProof/>
        </w:rPr>
      </w:pPr>
      <w:r>
        <w:rPr>
          <w:noProof/>
        </w:rPr>
        <w:t xml:space="preserve">According to Figure 12, the candidate Partnership is expected to be ‘very relevant’ for “improved access to innovative, sustainable and high-quality health care”, for ensuring “effective health services to tackle diseases and reduce the burden of disease”, and for ensuring that there are “healthy citizens in a rapidly changing society”. Among listed economic and technological impacts, a greater number of respondents (81; 77%) indicated that the candidate Partnership would make a significant contribution towards “better, safe and affordable health technologies, tools and digital solutions for health”. The results for listed scientific impacts are very similar and positive, reflecting high expectations about potential impacts of the candidate Partnership. The economic and technological impact regarding “more and de-risked innovations available for healthcare investors” was found more relevant by respondents that are/were involved in a current/preceding partnership (Horizon 2020 or Framework Programme 7). No statistical differences were found between the views of citizens and other respondents for most of the discussed impacts. </w:t>
      </w:r>
    </w:p>
    <w:p>
      <w:pPr>
        <w:spacing w:after="0"/>
        <w:jc w:val="left"/>
        <w:rPr>
          <w:i/>
          <w:noProof/>
          <w:sz w:val="22"/>
          <w:szCs w:val="22"/>
        </w:rPr>
      </w:pPr>
      <w:bookmarkStart w:id="91" w:name="_Ref26352635"/>
      <w:r>
        <w:rPr>
          <w:noProof/>
          <w:szCs w:val="22"/>
        </w:rPr>
        <w:br w:type="page"/>
      </w:r>
    </w:p>
    <w:p>
      <w:pPr>
        <w:pStyle w:val="Caption"/>
        <w:spacing w:before="100" w:beforeAutospacing="1" w:after="100" w:afterAutospacing="1"/>
        <w:rPr>
          <w:noProof/>
          <w:szCs w:val="22"/>
        </w:rPr>
      </w:pPr>
      <w:r>
        <w:rPr>
          <w:noProof/>
          <w:szCs w:val="22"/>
        </w:rPr>
        <w:t>Figure</w:t>
      </w:r>
      <w:bookmarkEnd w:id="91"/>
      <w:r>
        <w:rPr>
          <w:noProof/>
          <w:szCs w:val="22"/>
        </w:rPr>
        <w:t xml:space="preserve"> 12. Views of respondents on the relevance of the </w:t>
      </w:r>
      <w:r>
        <w:rPr>
          <w:noProof/>
          <w:szCs w:val="22"/>
          <w:lang w:eastAsia="en-GB"/>
        </w:rPr>
        <w:t>candidate European Institutionalised Partnership to various impacts</w:t>
      </w:r>
    </w:p>
    <w:p>
      <w:pPr>
        <w:pStyle w:val="BodyText"/>
        <w:spacing w:before="100" w:beforeAutospacing="1" w:after="100" w:afterAutospacing="1"/>
        <w:rPr>
          <w:noProof/>
        </w:rPr>
      </w:pPr>
      <w:r>
        <w:rPr>
          <w:noProof/>
          <w:lang w:eastAsia="en-GB"/>
        </w:rPr>
        <w:drawing>
          <wp:inline distT="0" distB="0" distL="0" distR="0">
            <wp:extent cx="5454000" cy="3561664"/>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54000" cy="3561664"/>
                    </a:xfrm>
                    <a:prstGeom prst="rect">
                      <a:avLst/>
                    </a:prstGeom>
                    <a:noFill/>
                  </pic:spPr>
                </pic:pic>
              </a:graphicData>
            </a:graphic>
          </wp:inline>
        </w:drawing>
      </w:r>
    </w:p>
    <w:p>
      <w:pPr>
        <w:spacing w:before="100" w:beforeAutospacing="1" w:after="100" w:afterAutospacing="1"/>
        <w:jc w:val="left"/>
        <w:rPr>
          <w:noProof/>
        </w:rPr>
      </w:pPr>
    </w:p>
    <w:p>
      <w:pPr>
        <w:pStyle w:val="Heading3"/>
        <w:tabs>
          <w:tab w:val="clear" w:pos="2139"/>
          <w:tab w:val="num" w:pos="6510"/>
        </w:tabs>
        <w:spacing w:before="100" w:beforeAutospacing="1" w:after="100" w:afterAutospacing="1"/>
        <w:ind w:left="1985" w:hanging="851"/>
        <w:rPr>
          <w:rStyle w:val="Heading3Char"/>
          <w:b/>
          <w:noProof/>
        </w:rPr>
      </w:pPr>
      <w:bookmarkStart w:id="92" w:name="_Toc52793618"/>
      <w:r>
        <w:rPr>
          <w:rStyle w:val="Heading3Char"/>
          <w:b/>
          <w:noProof/>
        </w:rPr>
        <w:t>Integration of feedback received in the preparation of the partnership</w:t>
      </w:r>
      <w:r>
        <w:rPr>
          <w:rStyle w:val="FootnoteReference"/>
          <w:b/>
          <w:noProof/>
          <w:szCs w:val="24"/>
        </w:rPr>
        <w:footnoteReference w:id="5"/>
      </w:r>
      <w:bookmarkEnd w:id="92"/>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Stakeholder involvement</w:t>
      </w:r>
    </w:p>
    <w:p>
      <w:pPr>
        <w:spacing w:before="100" w:beforeAutospacing="1" w:after="100" w:afterAutospacing="1"/>
        <w:rPr>
          <w:noProof/>
          <w:szCs w:val="24"/>
        </w:rPr>
      </w:pPr>
      <w:r>
        <w:rPr>
          <w:noProof/>
          <w:szCs w:val="24"/>
        </w:rPr>
        <w:t>To address the request for broader involvement of stakeholders in IHI governance, a separate body (‘Innovation Panel’) is envisaged. It would be composed of the representatives of EU and member industry associations, as well as of various other stakeholders such as representatives of patients, health care professionals, patients, health care providers, academia, research and technology organisations, research infrastructures, other partnerships and ad-hoc members as necessary.</w:t>
      </w:r>
      <w:r>
        <w:rPr>
          <w:noProof/>
          <w:color w:val="000000" w:themeColor="text1"/>
          <w:szCs w:val="24"/>
        </w:rPr>
        <w:t xml:space="preserve"> </w:t>
      </w:r>
      <w:r>
        <w:rPr>
          <w:noProof/>
          <w:szCs w:val="24"/>
        </w:rPr>
        <w:t xml:space="preserve">One of the major tasks of the Innovation Panel will be to identify and review potential areas and topics, ensuring they are suitable for the scope of IHI, they adequately address public health interest and needs of end users, and that they have a chance of securing sufficient in-kind commitment from the industry. The members of the Innovation Panel will be expected to be in close contact with their respective constituencies and to seek expert opinion in advance, thus maintaining openness of the initiative and at the same time, ensuring smooth operation. </w:t>
      </w:r>
    </w:p>
    <w:p>
      <w:pPr>
        <w:spacing w:before="100" w:beforeAutospacing="1" w:after="100" w:afterAutospacing="1"/>
        <w:rPr>
          <w:noProof/>
          <w:szCs w:val="24"/>
        </w:rPr>
      </w:pPr>
      <w:r>
        <w:rPr>
          <w:noProof/>
          <w:szCs w:val="24"/>
        </w:rPr>
        <w:t>Member States and Associated Countries would be represented in the States Representatives Group. Its task will be to provide opinions on the activities of the partnership and information on related activities at national level. The proposed partnership will thus benefit both industrial and public partners and the governance system will ensure representation of the views of all key stakeholders.</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Involvement of SMEs</w:t>
      </w:r>
    </w:p>
    <w:p>
      <w:pPr>
        <w:spacing w:before="100" w:beforeAutospacing="1" w:after="100" w:afterAutospacing="1"/>
        <w:contextualSpacing/>
        <w:rPr>
          <w:noProof/>
          <w:szCs w:val="24"/>
        </w:rPr>
      </w:pPr>
      <w:r>
        <w:rPr>
          <w:noProof/>
          <w:szCs w:val="24"/>
        </w:rPr>
        <w:t xml:space="preserve">To encourage SMEs involvement in the partnership, dedicated support and communication actions and could be offered by the Programme Office, benefitting from the implementation mode as an Institutionalised Partnership. </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Transparency</w:t>
      </w:r>
    </w:p>
    <w:p>
      <w:pPr>
        <w:spacing w:before="100" w:beforeAutospacing="1" w:after="100" w:afterAutospacing="1"/>
        <w:rPr>
          <w:noProof/>
          <w:szCs w:val="24"/>
        </w:rPr>
      </w:pPr>
      <w:r>
        <w:rPr>
          <w:noProof/>
          <w:szCs w:val="24"/>
        </w:rPr>
        <w:t xml:space="preserve">Regarding the transparency of research priority setting and the topic generation process, the revised governance structure would better incorporate views of various stakeholders involved in health and care thanks to the Innovation Panel. As regards the transparency of in-kind contribution provided by the industry in relation to operational activities, detailed requirements for its valuation would be defined in documents laying down the functioning of the initiative. The project results are going to be subject to the same transparency provisions as under regular Horizon Europe calls. Access to the information about the initiative will be ensured through communication activities and publication of relevant documents on its website. Additionally, appropriate partnering/promotion events and communication campaigns may be organised. </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Participation of industry from third countries</w:t>
      </w:r>
    </w:p>
    <w:p>
      <w:pPr>
        <w:spacing w:before="100" w:beforeAutospacing="1" w:after="100" w:afterAutospacing="1"/>
        <w:contextualSpacing/>
        <w:rPr>
          <w:b/>
          <w:noProof/>
          <w:szCs w:val="24"/>
        </w:rPr>
      </w:pPr>
      <w:r>
        <w:rPr>
          <w:noProof/>
          <w:szCs w:val="24"/>
        </w:rPr>
        <w:t>EU Member States expressed a strong wish to strengthen competitiveness of Europe’s health technology industry. At the same time, health research goes beyond national borders and the necessary global dimension of the partnership should be ensured. The partnership will aim to attract investments also from outside Europe to increase its international footprint, capture resources of global companies and benefit from other previous international investments or address specific scope (such as e.g. disease prevalence in non-EU countries, with relevance for EU population). In order to balance these needs, in-kind contributions committed out of EU or Horizon Europe Associated Countries might be accounted for and eligible for matching with EU funds, albeit to a certain extent. If formalised in the relevant legal provisions, this approach would follow the practice established under IMI2 JU.</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Funding models</w:t>
      </w:r>
    </w:p>
    <w:p>
      <w:pPr>
        <w:spacing w:before="100" w:beforeAutospacing="1" w:after="100" w:afterAutospacing="1"/>
        <w:contextualSpacing/>
        <w:rPr>
          <w:noProof/>
          <w:szCs w:val="24"/>
        </w:rPr>
      </w:pPr>
      <w:r>
        <w:rPr>
          <w:noProof/>
          <w:szCs w:val="24"/>
        </w:rPr>
        <w:t xml:space="preserve">To address the need for financial flexibility requested by some industrial sectors, industry could be eligible for funding up to a certain ceiling (including large companies and mid-caps), and could also be entitled to opt-out from receiving funding at their discretion. The detailed arrangements will be laid down in the relevant legal provisions. </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Open access to research results</w:t>
      </w:r>
    </w:p>
    <w:p>
      <w:pPr>
        <w:spacing w:before="100" w:beforeAutospacing="1" w:after="100" w:afterAutospacing="1"/>
        <w:contextualSpacing/>
        <w:rPr>
          <w:b/>
          <w:noProof/>
          <w:szCs w:val="24"/>
        </w:rPr>
      </w:pPr>
      <w:r>
        <w:rPr>
          <w:noProof/>
          <w:szCs w:val="24"/>
        </w:rPr>
        <w:t xml:space="preserve">As a principle, general Horizon Europe provisions will apply. </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Intellectual property rights management </w:t>
      </w:r>
    </w:p>
    <w:p>
      <w:pPr>
        <w:spacing w:before="100" w:beforeAutospacing="1" w:after="100" w:afterAutospacing="1"/>
        <w:contextualSpacing/>
        <w:rPr>
          <w:noProof/>
          <w:szCs w:val="24"/>
        </w:rPr>
      </w:pPr>
      <w:r>
        <w:rPr>
          <w:noProof/>
          <w:szCs w:val="24"/>
        </w:rPr>
        <w:t xml:space="preserve">As a principle, general Horizon Europe provisions will apply. </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Public return on investment</w:t>
      </w:r>
    </w:p>
    <w:p>
      <w:pPr>
        <w:spacing w:before="100" w:beforeAutospacing="1" w:after="100" w:afterAutospacing="1"/>
        <w:rPr>
          <w:noProof/>
          <w:szCs w:val="24"/>
        </w:rPr>
      </w:pPr>
      <w:r>
        <w:rPr>
          <w:noProof/>
          <w:szCs w:val="24"/>
        </w:rPr>
        <w:t>The proposed partnership is set to work in the pre-competitive R&amp;I area of unmet health needs and as such will aim at fostering collaborations between public and private stakeholders in order to accelerate the future development of health innovations. As a principle, the partnership does not envisage engaging mechanisms to influence pricing and reimbursement as these are a national competence. Nevertheless, in case the partnership would conduct research at a significant scale in the competitive area, a mechanism could be foreseen so that products or services developed by the partnership are accessible at fair conditions.</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Synergies with other initiatives</w:t>
      </w:r>
    </w:p>
    <w:p>
      <w:pPr>
        <w:pBdr>
          <w:top w:val="nil"/>
          <w:left w:val="nil"/>
          <w:bottom w:val="nil"/>
          <w:right w:val="nil"/>
          <w:between w:val="nil"/>
        </w:pBdr>
        <w:spacing w:before="100" w:beforeAutospacing="1" w:after="100" w:afterAutospacing="1"/>
        <w:contextualSpacing/>
        <w:rPr>
          <w:noProof/>
          <w:szCs w:val="24"/>
        </w:rPr>
      </w:pPr>
      <w:r>
        <w:rPr>
          <w:noProof/>
          <w:szCs w:val="24"/>
        </w:rPr>
        <w:t xml:space="preserve">The partnership will be operating in connection with several other relevant initiatives at various levels so that synergies can be strengthened and waste in research minimised. Duplication of efforts with other partnerships could be avoided by consultation and potential direct representation in the IHI governance structures (the Innovation Panel) of representatives of other relevant initiatives, such as e.g. the potential future public-public partnership on </w:t>
      </w:r>
      <w:r>
        <w:rPr>
          <w:noProof/>
          <w:color w:val="000000" w:themeColor="text1"/>
          <w:szCs w:val="24"/>
        </w:rPr>
        <w:t>“Health and Care Systems Transformation”.</w:t>
      </w:r>
      <w:r>
        <w:rPr>
          <w:noProof/>
          <w:szCs w:val="24"/>
        </w:rPr>
        <w:t xml:space="preserve"> Draft topic texts will be consulted with the relevant services of the European Commission and approved by the Governing Board that will include EC members. To ensure coherence with national/regional initiatives, the States Representatives Group (composed of representatives of relevant national ministries) is foreseen to be represented in the Innovation Panel, will be consulted on future call topics and will provide advice on potential complementarities and overlaps with relevant national initiatives. </w:t>
      </w:r>
    </w:p>
    <w:p>
      <w:pPr>
        <w:pStyle w:val="ListParagraph"/>
        <w:numPr>
          <w:ilvl w:val="0"/>
          <w:numId w:val="40"/>
        </w:numPr>
        <w:spacing w:before="100" w:beforeAutospacing="1" w:after="100" w:afterAutospacing="1" w:line="240" w:lineRule="auto"/>
        <w:ind w:left="284" w:hanging="284"/>
        <w:rPr>
          <w:rFonts w:ascii="Times New Roman" w:hAnsi="Times New Roman" w:cs="Times New Roman"/>
          <w:b/>
          <w:noProof/>
          <w:sz w:val="24"/>
          <w:szCs w:val="24"/>
          <w:lang w:val="en-GB"/>
        </w:rPr>
      </w:pPr>
      <w:r>
        <w:rPr>
          <w:rFonts w:ascii="Times New Roman" w:hAnsi="Times New Roman" w:cs="Times New Roman"/>
          <w:b/>
          <w:noProof/>
          <w:sz w:val="24"/>
          <w:szCs w:val="24"/>
          <w:lang w:val="en-GB"/>
        </w:rPr>
        <w:t>R&amp;I content of the partnership</w:t>
      </w:r>
    </w:p>
    <w:p>
      <w:pPr>
        <w:spacing w:before="100" w:beforeAutospacing="1" w:after="100" w:afterAutospacing="1"/>
        <w:contextualSpacing/>
        <w:rPr>
          <w:b/>
          <w:noProof/>
          <w:szCs w:val="24"/>
        </w:rPr>
      </w:pPr>
      <w:r>
        <w:rPr>
          <w:noProof/>
          <w:szCs w:val="24"/>
        </w:rPr>
        <w:t>The comments related to the content of the partnership were taken into account when designing the proposed objectives and are going to be further considered during the elaboration of the Strategic Research Agenda.</w:t>
      </w:r>
    </w:p>
    <w:p>
      <w:pPr>
        <w:spacing w:before="100" w:beforeAutospacing="1" w:after="100" w:afterAutospacing="1"/>
        <w:jc w:val="left"/>
        <w:rPr>
          <w:noProof/>
        </w:rPr>
      </w:pPr>
    </w:p>
    <w:p>
      <w:pPr>
        <w:pStyle w:val="Text3"/>
        <w:spacing w:before="100" w:beforeAutospacing="1" w:after="100" w:afterAutospacing="1"/>
        <w:ind w:left="0"/>
        <w:rPr>
          <w:noProof/>
        </w:rPr>
      </w:pPr>
    </w:p>
    <w:p>
      <w:pPr>
        <w:pStyle w:val="AnnexTitle"/>
        <w:numPr>
          <w:ilvl w:val="0"/>
          <w:numId w:val="0"/>
        </w:numPr>
        <w:spacing w:before="100" w:beforeAutospacing="1" w:after="100" w:afterAutospacing="1"/>
        <w:ind w:left="2268" w:hanging="2268"/>
        <w:rPr>
          <w:noProof/>
        </w:rPr>
      </w:pPr>
      <w:bookmarkStart w:id="93" w:name="_Toc52793619"/>
      <w:r>
        <w:rPr>
          <w:noProof/>
        </w:rPr>
        <w:t>Annex 3</w:t>
      </w:r>
      <w:r>
        <w:rPr>
          <w:noProof/>
        </w:rPr>
        <w:tab/>
        <w:t>Who Is Affected And How?</w:t>
      </w:r>
      <w:bookmarkEnd w:id="93"/>
    </w:p>
    <w:p>
      <w:pPr>
        <w:pStyle w:val="Heading1"/>
        <w:numPr>
          <w:ilvl w:val="0"/>
          <w:numId w:val="30"/>
        </w:numPr>
        <w:spacing w:before="100" w:beforeAutospacing="1" w:after="100" w:afterAutospacing="1"/>
        <w:rPr>
          <w:noProof/>
        </w:rPr>
      </w:pPr>
      <w:bookmarkStart w:id="94" w:name="_Toc481484491"/>
      <w:bookmarkStart w:id="95" w:name="_Toc52793620"/>
      <w:r>
        <w:rPr>
          <w:noProof/>
        </w:rPr>
        <w:t>Practical implications of the initiative</w:t>
      </w:r>
      <w:bookmarkEnd w:id="94"/>
      <w:bookmarkEnd w:id="95"/>
    </w:p>
    <w:p>
      <w:pPr>
        <w:pStyle w:val="ListDash1"/>
        <w:numPr>
          <w:ilvl w:val="0"/>
          <w:numId w:val="0"/>
        </w:numPr>
        <w:spacing w:before="100" w:beforeAutospacing="1" w:after="100" w:afterAutospacing="1"/>
        <w:rPr>
          <w:noProof/>
        </w:rPr>
      </w:pPr>
      <w:bookmarkStart w:id="96" w:name="_Toc481484492"/>
      <w:r>
        <w:rPr>
          <w:noProof/>
        </w:rPr>
        <w:t xml:space="preserve">The Institutionalised Partnership implementing the Innovative Health Initiative will be offering funding and collaboration opportunities to those interested in it, on a voluntary basis. As a result, </w:t>
      </w:r>
      <w:r>
        <w:rPr>
          <w:bCs/>
          <w:noProof/>
        </w:rPr>
        <w:t xml:space="preserve">it will not impose any obligations </w:t>
      </w:r>
      <w:r>
        <w:rPr>
          <w:noProof/>
        </w:rPr>
        <w:t>generally applicable to citizens, businesses including SMEs or administrations. Certain obligations will be imposed, though, on industry associations who will become formal Members of the initiative as enshrined in the legislative act, and on stakeholders directly involved in the funded actions because of obligations resulting from signed grant agreements.</w:t>
      </w:r>
    </w:p>
    <w:p>
      <w:pPr>
        <w:pStyle w:val="ListDash1"/>
        <w:numPr>
          <w:ilvl w:val="0"/>
          <w:numId w:val="0"/>
        </w:numPr>
        <w:spacing w:before="100" w:beforeAutospacing="1" w:after="100" w:afterAutospacing="1"/>
        <w:rPr>
          <w:noProof/>
        </w:rPr>
      </w:pPr>
      <w:r>
        <w:rPr>
          <w:noProof/>
        </w:rPr>
        <w:t xml:space="preserve">The impact on </w:t>
      </w:r>
      <w:r>
        <w:rPr>
          <w:bCs/>
          <w:noProof/>
        </w:rPr>
        <w:t>national public administrations</w:t>
      </w:r>
      <w:r>
        <w:rPr>
          <w:noProof/>
        </w:rPr>
        <w:t xml:space="preserve"> will be limited to the allocation of human and financial resources to attend the States Representatives Group meetings (approx. 3-4 per year, in Brussels) and ensuring the flow of information at national level between stakeholders, notably between the relevant ministries. These processes are similar to those required for attending various Horizon Europe programme committees but an additional effort will be needed for a separate channel of communication activities to national stakeholders. Such activities are usually organised by National Contact Points as the main structure existing at the Member States level to provide guidance, practical information and assistance on all aspects of participation in EU funding programmes. A similar impact can be expected on various </w:t>
      </w:r>
      <w:r>
        <w:rPr>
          <w:bCs/>
          <w:noProof/>
        </w:rPr>
        <w:t>stakeholder groups</w:t>
      </w:r>
      <w:r>
        <w:rPr>
          <w:noProof/>
        </w:rPr>
        <w:t xml:space="preserve"> such as health care professionals, providers, patient associations or research and technology organisations, to ensure their potential input into the governance and priority setting process. </w:t>
      </w:r>
    </w:p>
    <w:p>
      <w:pPr>
        <w:pStyle w:val="ListDash1"/>
        <w:numPr>
          <w:ilvl w:val="0"/>
          <w:numId w:val="0"/>
        </w:numPr>
        <w:spacing w:before="100" w:beforeAutospacing="1" w:after="100" w:afterAutospacing="1"/>
        <w:rPr>
          <w:noProof/>
        </w:rPr>
      </w:pPr>
      <w:r>
        <w:rPr>
          <w:bCs/>
          <w:noProof/>
        </w:rPr>
        <w:t xml:space="preserve">Industry associations who are formal members </w:t>
      </w:r>
      <w:r>
        <w:rPr>
          <w:noProof/>
        </w:rPr>
        <w:t xml:space="preserve">of the Partnership will be bound by the various obligations stemming from the Regulation establishing the initiative. Due to their representation in the partnership’s Governing Board, these associations will need to organise their internal workflows for efficient decision making and allocate representatives to attend Board meetings, and to follow-up on the Governing Board’s decisions taken by written procedures. </w:t>
      </w:r>
    </w:p>
    <w:p>
      <w:pPr>
        <w:pStyle w:val="ListDash1"/>
        <w:numPr>
          <w:ilvl w:val="0"/>
          <w:numId w:val="0"/>
        </w:numPr>
        <w:spacing w:before="100" w:beforeAutospacing="1" w:after="100" w:afterAutospacing="1"/>
        <w:rPr>
          <w:noProof/>
        </w:rPr>
      </w:pPr>
      <w:r>
        <w:rPr>
          <w:noProof/>
        </w:rPr>
        <w:t xml:space="preserve">For all other </w:t>
      </w:r>
      <w:r>
        <w:rPr>
          <w:bCs/>
          <w:noProof/>
        </w:rPr>
        <w:t>enterprises</w:t>
      </w:r>
      <w:r>
        <w:rPr>
          <w:noProof/>
        </w:rPr>
        <w:t xml:space="preserve"> active in health R&amp;I, some limited additional costs may be linked to understanding the rules of the new funding programme and allocating staff to follow up calls as they are prepared and published, and to networking and finding collaboration opportunities. </w:t>
      </w:r>
      <w:r>
        <w:rPr>
          <w:bCs/>
          <w:noProof/>
        </w:rPr>
        <w:t>SMEs</w:t>
      </w:r>
      <w:r>
        <w:rPr>
          <w:noProof/>
        </w:rPr>
        <w:t xml:space="preserve"> might find these costs to be proportionally higher (versus their overall staff effort) as such activities are not directly linked to the entity size. Overall, these costs and effort will be lower for those already familiar with other private-public partnerships, such as ECSEL or IMI Joint Undertakings. </w:t>
      </w:r>
    </w:p>
    <w:p>
      <w:pPr>
        <w:pStyle w:val="ListDash1"/>
        <w:numPr>
          <w:ilvl w:val="0"/>
          <w:numId w:val="0"/>
        </w:numPr>
        <w:spacing w:before="100" w:beforeAutospacing="1" w:after="100" w:afterAutospacing="1"/>
        <w:rPr>
          <w:noProof/>
        </w:rPr>
      </w:pPr>
      <w:r>
        <w:rPr>
          <w:noProof/>
        </w:rPr>
        <w:t xml:space="preserve">As the major positive impact, </w:t>
      </w:r>
      <w:r>
        <w:rPr>
          <w:bCs/>
          <w:noProof/>
        </w:rPr>
        <w:t>all stakeholders interested to take part in the initiative</w:t>
      </w:r>
      <w:r>
        <w:rPr>
          <w:noProof/>
        </w:rPr>
        <w:t xml:space="preserve"> and respond to calls for proposals will stand a chance of benefiting from funding opportunities and access to new scientific ideas, intellectual property and collaborators beyond their usual interlocutors. For industries – including </w:t>
      </w:r>
      <w:r>
        <w:rPr>
          <w:bCs/>
          <w:noProof/>
        </w:rPr>
        <w:t>SMEs</w:t>
      </w:r>
      <w:r>
        <w:rPr>
          <w:noProof/>
        </w:rPr>
        <w:t xml:space="preserve"> – this will enhance business viability and speed up the path of designing products or services that better respond to the needs of end-users: patients, health care professionals and health care systems.  </w:t>
      </w:r>
    </w:p>
    <w:p>
      <w:pPr>
        <w:spacing w:before="100" w:beforeAutospacing="1" w:after="100" w:afterAutospacing="1"/>
        <w:rPr>
          <w:noProof/>
        </w:rPr>
      </w:pPr>
      <w:r>
        <w:rPr>
          <w:noProof/>
        </w:rPr>
        <w:br w:type="page"/>
      </w:r>
    </w:p>
    <w:p>
      <w:pPr>
        <w:pStyle w:val="Heading1"/>
        <w:numPr>
          <w:ilvl w:val="0"/>
          <w:numId w:val="30"/>
        </w:numPr>
        <w:spacing w:before="100" w:beforeAutospacing="1" w:after="100" w:afterAutospacing="1"/>
        <w:rPr>
          <w:noProof/>
        </w:rPr>
      </w:pPr>
      <w:bookmarkStart w:id="97" w:name="_Toc52793621"/>
      <w:r>
        <w:rPr>
          <w:noProof/>
        </w:rPr>
        <w:t>Summary of costs and benefits</w:t>
      </w:r>
      <w:bookmarkEnd w:id="96"/>
      <w:bookmarkEnd w:id="97"/>
    </w:p>
    <w:p>
      <w:pPr>
        <w:spacing w:before="100" w:beforeAutospacing="1" w:after="100" w:afterAutospacing="1"/>
        <w:rPr>
          <w:noProof/>
          <w:lang w:eastAsia="en-US"/>
        </w:rPr>
      </w:pPr>
      <w:r>
        <w:rPr>
          <w:noProof/>
          <w:lang w:eastAsia="en-US"/>
        </w:rPr>
        <w:t>It is not possible to quantify – with an acceptable level of confidence – how this initiative would lead to the reduction or increase of costs of developing health innovations, or to the health status of EU citizens.</w:t>
      </w:r>
    </w:p>
    <w:p>
      <w:pPr>
        <w:pStyle w:val="Text1"/>
        <w:spacing w:before="100" w:beforeAutospacing="1" w:after="100" w:afterAutospacing="1"/>
        <w:ind w:left="0"/>
        <w:rPr>
          <w:noProof/>
          <w:lang w:eastAsia="en-US"/>
        </w:rPr>
      </w:pPr>
      <w:r>
        <w:rPr>
          <w:noProof/>
          <w:lang w:eastAsia="en-US"/>
        </w:rPr>
        <w:t>The development cost and timelines in the field of health play a crucial role. In the pharmaceutical area, successful development of a new drug takes on average 10 to 15 years, far beyond the typical duration of projects seen e.g. in IMI2 JU (usually 4-6 years). The cost of development is, in most cases, shared between various funding sources, such as private investors and governments that complement various phases of product development pathway</w:t>
      </w:r>
      <w:r>
        <w:rPr>
          <w:rStyle w:val="FootnoteReference"/>
          <w:noProof/>
          <w:lang w:eastAsia="en-US"/>
        </w:rPr>
        <w:footnoteReference w:id="6"/>
      </w:r>
      <w:r>
        <w:rPr>
          <w:noProof/>
          <w:lang w:eastAsia="en-US"/>
        </w:rPr>
        <w:t>. While the success of drug development process is variable between areas, such as oncology versus infectious disease vaccine development</w:t>
      </w:r>
      <w:r>
        <w:rPr>
          <w:rStyle w:val="FootnoteReference"/>
          <w:noProof/>
          <w:lang w:eastAsia="en-US"/>
        </w:rPr>
        <w:footnoteReference w:id="7"/>
      </w:r>
      <w:r>
        <w:rPr>
          <w:noProof/>
          <w:lang w:eastAsia="en-US"/>
        </w:rPr>
        <w:t>, a common feature is that the cost of failures needs to be factored in the cost (and ultimately, market price) of products that will successfully enter the market.</w:t>
      </w:r>
      <w:r>
        <w:rPr>
          <w:rStyle w:val="FootnoteReference"/>
          <w:noProof/>
          <w:lang w:eastAsia="en-US"/>
        </w:rPr>
        <w:footnoteReference w:id="8"/>
      </w:r>
      <w:r>
        <w:rPr>
          <w:noProof/>
          <w:lang w:eastAsia="en-US"/>
        </w:rPr>
        <w:t xml:space="preserve">. </w:t>
      </w:r>
    </w:p>
    <w:p>
      <w:pPr>
        <w:pStyle w:val="Text1"/>
        <w:spacing w:before="100" w:beforeAutospacing="1" w:after="100" w:afterAutospacing="1"/>
        <w:ind w:left="0"/>
        <w:rPr>
          <w:noProof/>
          <w:lang w:eastAsia="en-US"/>
        </w:rPr>
      </w:pPr>
      <w:r>
        <w:rPr>
          <w:noProof/>
        </w:rPr>
        <w:t>Furthermore, the funding made available by this initiative can only make a partial contribution to the important development costs of medical interventions. A recent independent analysis</w:t>
      </w:r>
      <w:r>
        <w:rPr>
          <w:rStyle w:val="FootnoteReference"/>
          <w:noProof/>
        </w:rPr>
        <w:footnoteReference w:id="9"/>
      </w:r>
      <w:r>
        <w:rPr>
          <w:noProof/>
        </w:rPr>
        <w:t xml:space="preserve"> demonstrates that </w:t>
      </w:r>
      <w:r>
        <w:rPr>
          <w:noProof/>
          <w:lang w:eastAsia="en-GB"/>
        </w:rPr>
        <w:t xml:space="preserve">(after accounting for the costs of failed trials) the median capitalized R&amp;D investment to bring a new drug to market was estimated at approx. USD 985 million (mean investment approx. USD 1.3 billion). The figures vary greatly between therapeutic areas: median between USD 765.9 million for nervous system agents and USD 2.7 billion for antineoplastic and immunomodulating agents. </w:t>
      </w:r>
      <w:r>
        <w:rPr>
          <w:noProof/>
        </w:rPr>
        <w:t xml:space="preserve">Earlier estimates – based on different type of input data – suggested that out-of-pocket cost per approved new drug reached approx. </w:t>
      </w:r>
      <w:r>
        <w:rPr>
          <w:noProof/>
          <w:lang w:eastAsia="en-GB"/>
        </w:rPr>
        <w:t xml:space="preserve">USD </w:t>
      </w:r>
      <w:r>
        <w:rPr>
          <w:noProof/>
        </w:rPr>
        <w:t xml:space="preserve">1.4 billion (2013), with fully capitalised costs reaching approx. </w:t>
      </w:r>
      <w:r>
        <w:rPr>
          <w:noProof/>
          <w:lang w:eastAsia="en-GB"/>
        </w:rPr>
        <w:t xml:space="preserve">USD </w:t>
      </w:r>
      <w:r>
        <w:rPr>
          <w:noProof/>
        </w:rPr>
        <w:t>2.6 billion</w:t>
      </w:r>
      <w:r>
        <w:rPr>
          <w:rStyle w:val="FootnoteReference"/>
          <w:bCs/>
          <w:noProof/>
        </w:rPr>
        <w:footnoteReference w:id="10"/>
      </w:r>
      <w:r>
        <w:rPr>
          <w:noProof/>
        </w:rPr>
        <w:t xml:space="preserve">. </w:t>
      </w:r>
    </w:p>
    <w:p>
      <w:pPr>
        <w:spacing w:before="100" w:beforeAutospacing="1" w:after="100" w:afterAutospacing="1"/>
        <w:rPr>
          <w:noProof/>
          <w:lang w:eastAsia="en-US"/>
        </w:rPr>
      </w:pPr>
      <w:r>
        <w:rPr>
          <w:noProof/>
          <w:lang w:eastAsia="en-US"/>
        </w:rPr>
        <w:t>This analysis gets inevitably more complex in the case of a cross-sector partnership such as IHI that will bring together the several technology sectors: medical devices, pharmaceuticals, biotechnology, imaging and vaccines. Indeed, it is expected that the majority – if not all – projects funded under IHI will operate in the thematic areas of two or more sectors. Moreover, various sectors have varying development timelines and disparate definitions of pre-competitive space, where this partnership actually intends to intervene. The combination products (such as e.g. diagnostics + treatment) that could result from the partnership in the long term, would also reflect these underlying complexities.</w:t>
      </w:r>
    </w:p>
    <w:p>
      <w:pPr>
        <w:spacing w:before="100" w:beforeAutospacing="1" w:after="100" w:afterAutospacing="1"/>
        <w:rPr>
          <w:noProof/>
          <w:lang w:eastAsia="en-US"/>
        </w:rPr>
      </w:pPr>
      <w:r>
        <w:rPr>
          <w:noProof/>
          <w:lang w:eastAsia="en-US"/>
        </w:rPr>
        <w:t>The direct monetary benefit for citizens cannot be quantified, either, because the status of health is influenced by numerous factors, such as e.g. income and social status, education, environment, social support networks, genetic factors, the place where one lives, access to health care services and many others</w:t>
      </w:r>
      <w:r>
        <w:rPr>
          <w:rStyle w:val="FootnoteReference"/>
          <w:noProof/>
          <w:lang w:eastAsia="en-US"/>
        </w:rPr>
        <w:footnoteReference w:id="11"/>
      </w:r>
      <w:r>
        <w:rPr>
          <w:noProof/>
          <w:lang w:eastAsia="en-US"/>
        </w:rPr>
        <w:t>. Majority of these factors are beyond the control of any funding initiative, including this one.</w:t>
      </w:r>
    </w:p>
    <w:p>
      <w:pPr>
        <w:spacing w:before="100" w:beforeAutospacing="1" w:after="100" w:afterAutospacing="1"/>
        <w:rPr>
          <w:noProof/>
          <w:lang w:eastAsia="en-US"/>
        </w:rPr>
      </w:pPr>
      <w:r>
        <w:rPr>
          <w:noProof/>
          <w:lang w:eastAsia="en-US"/>
        </w:rPr>
        <w:t xml:space="preserve">For all these reasons, the ensuing analysis will provide a qualitative assessment and some estimates, while refraining from computing potential gains or loss values, as these would be based on too many assumptions to warrant credibility. </w:t>
      </w:r>
    </w:p>
    <w:p>
      <w:pPr>
        <w:spacing w:before="100" w:beforeAutospacing="1" w:after="100" w:afterAutospacing="1"/>
        <w:rPr>
          <w:i/>
          <w:iCs/>
          <w:noProof/>
          <w:sz w:val="22"/>
          <w:szCs w:val="22"/>
          <w:lang w:eastAsia="en-US"/>
        </w:rPr>
      </w:pPr>
    </w:p>
    <w:tbl>
      <w:tblPr>
        <w:tblStyle w:val="CV12"/>
        <w:tblW w:w="8647"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3402"/>
        <w:gridCol w:w="2693"/>
      </w:tblGrid>
      <w:tr>
        <w:tc>
          <w:tcPr>
            <w:tcW w:w="8647" w:type="dxa"/>
            <w:gridSpan w:val="3"/>
            <w:tcBorders>
              <w:top w:val="double" w:sz="4" w:space="0" w:color="auto"/>
              <w:bottom w:val="single" w:sz="4" w:space="0" w:color="auto"/>
            </w:tcBorders>
            <w:shd w:val="clear" w:color="auto" w:fill="D5DCE4" w:themeFill="text2" w:themeFillTint="33"/>
          </w:tcPr>
          <w:p>
            <w:pPr>
              <w:tabs>
                <w:tab w:val="num" w:pos="425"/>
              </w:tabs>
              <w:spacing w:before="100" w:beforeAutospacing="1" w:after="100" w:afterAutospacing="1"/>
              <w:jc w:val="center"/>
              <w:rPr>
                <w:b/>
                <w:bCs/>
                <w:i/>
                <w:iCs/>
                <w:noProof/>
              </w:rPr>
            </w:pPr>
            <w:r>
              <w:rPr>
                <w:b/>
                <w:bCs/>
                <w:i/>
                <w:iCs/>
                <w:noProof/>
              </w:rPr>
              <w:t>I. Overview of Benefits (total for all provisions) – Preferred Option</w:t>
            </w:r>
          </w:p>
        </w:tc>
      </w:tr>
      <w:tr>
        <w:tc>
          <w:tcPr>
            <w:tcW w:w="2552" w:type="dxa"/>
            <w:tcBorders>
              <w:top w:val="single" w:sz="4" w:space="0" w:color="auto"/>
            </w:tcBorders>
            <w:shd w:val="clear" w:color="auto" w:fill="D5DCE4" w:themeFill="text2" w:themeFillTint="33"/>
            <w:vAlign w:val="center"/>
          </w:tcPr>
          <w:p>
            <w:pPr>
              <w:tabs>
                <w:tab w:val="num" w:pos="425"/>
              </w:tabs>
              <w:spacing w:before="100" w:beforeAutospacing="1" w:after="100" w:afterAutospacing="1"/>
              <w:jc w:val="center"/>
              <w:rPr>
                <w:b/>
                <w:bCs/>
                <w:i/>
                <w:iCs/>
                <w:noProof/>
              </w:rPr>
            </w:pPr>
            <w:r>
              <w:rPr>
                <w:b/>
                <w:bCs/>
                <w:i/>
                <w:iCs/>
                <w:noProof/>
              </w:rPr>
              <w:t>Description</w:t>
            </w:r>
          </w:p>
        </w:tc>
        <w:tc>
          <w:tcPr>
            <w:tcW w:w="3402" w:type="dxa"/>
            <w:tcBorders>
              <w:top w:val="single" w:sz="4" w:space="0" w:color="auto"/>
            </w:tcBorders>
            <w:shd w:val="clear" w:color="auto" w:fill="D5DCE4" w:themeFill="text2" w:themeFillTint="33"/>
            <w:vAlign w:val="center"/>
          </w:tcPr>
          <w:p>
            <w:pPr>
              <w:tabs>
                <w:tab w:val="num" w:pos="425"/>
              </w:tabs>
              <w:spacing w:before="100" w:beforeAutospacing="1" w:after="100" w:afterAutospacing="1"/>
              <w:jc w:val="center"/>
              <w:rPr>
                <w:b/>
                <w:bCs/>
                <w:i/>
                <w:iCs/>
                <w:noProof/>
              </w:rPr>
            </w:pPr>
            <w:r>
              <w:rPr>
                <w:b/>
                <w:bCs/>
                <w:i/>
                <w:iCs/>
                <w:noProof/>
              </w:rPr>
              <w:t>Estimation</w:t>
            </w:r>
          </w:p>
        </w:tc>
        <w:tc>
          <w:tcPr>
            <w:tcW w:w="2693" w:type="dxa"/>
            <w:tcBorders>
              <w:top w:val="single" w:sz="4" w:space="0" w:color="auto"/>
            </w:tcBorders>
            <w:shd w:val="clear" w:color="auto" w:fill="D5DCE4" w:themeFill="text2" w:themeFillTint="33"/>
            <w:tcMar>
              <w:top w:w="57" w:type="dxa"/>
              <w:left w:w="57" w:type="dxa"/>
              <w:bottom w:w="57" w:type="dxa"/>
              <w:right w:w="57" w:type="dxa"/>
            </w:tcMar>
            <w:vAlign w:val="center"/>
          </w:tcPr>
          <w:p>
            <w:pPr>
              <w:tabs>
                <w:tab w:val="num" w:pos="425"/>
              </w:tabs>
              <w:spacing w:before="100" w:beforeAutospacing="1" w:after="100" w:afterAutospacing="1"/>
              <w:jc w:val="center"/>
              <w:rPr>
                <w:b/>
                <w:bCs/>
                <w:i/>
                <w:iCs/>
                <w:noProof/>
              </w:rPr>
            </w:pPr>
            <w:r>
              <w:rPr>
                <w:b/>
                <w:bCs/>
                <w:i/>
                <w:iCs/>
                <w:noProof/>
              </w:rPr>
              <w:t>Comments</w:t>
            </w:r>
          </w:p>
        </w:tc>
      </w:tr>
      <w:tr>
        <w:tc>
          <w:tcPr>
            <w:tcW w:w="8647" w:type="dxa"/>
            <w:gridSpan w:val="3"/>
            <w:tcBorders>
              <w:top w:val="double" w:sz="4" w:space="0" w:color="auto"/>
            </w:tcBorders>
            <w:shd w:val="clear" w:color="auto" w:fill="F2F2F2" w:themeFill="background1" w:themeFillShade="F2"/>
            <w:vAlign w:val="center"/>
          </w:tcPr>
          <w:p>
            <w:pPr>
              <w:tabs>
                <w:tab w:val="num" w:pos="425"/>
              </w:tabs>
              <w:spacing w:before="100" w:beforeAutospacing="1" w:after="100" w:afterAutospacing="1"/>
              <w:jc w:val="center"/>
              <w:rPr>
                <w:b/>
                <w:bCs/>
                <w:i/>
                <w:iCs/>
                <w:noProof/>
              </w:rPr>
            </w:pPr>
            <w:r>
              <w:rPr>
                <w:b/>
                <w:bCs/>
                <w:i/>
                <w:iCs/>
                <w:noProof/>
              </w:rPr>
              <w:t>Direct benefits</w:t>
            </w:r>
          </w:p>
        </w:tc>
      </w:tr>
      <w:tr>
        <w:tc>
          <w:tcPr>
            <w:tcW w:w="2552" w:type="dxa"/>
            <w:tcBorders>
              <w:top w:val="double" w:sz="4" w:space="0" w:color="auto"/>
              <w:bottom w:val="single" w:sz="4" w:space="0" w:color="auto"/>
            </w:tcBorders>
            <w:vAlign w:val="center"/>
          </w:tcPr>
          <w:p>
            <w:pPr>
              <w:tabs>
                <w:tab w:val="num" w:pos="425"/>
              </w:tabs>
              <w:spacing w:before="100" w:beforeAutospacing="1" w:after="100" w:afterAutospacing="1"/>
              <w:jc w:val="left"/>
              <w:rPr>
                <w:noProof/>
              </w:rPr>
            </w:pPr>
            <w:r>
              <w:rPr>
                <w:noProof/>
              </w:rPr>
              <w:t>Strengthened EU skills and capacity in academic and industrial health research and innovation</w:t>
            </w:r>
          </w:p>
        </w:tc>
        <w:tc>
          <w:tcPr>
            <w:tcW w:w="3402" w:type="dxa"/>
            <w:tcBorders>
              <w:top w:val="double" w:sz="4" w:space="0" w:color="auto"/>
              <w:bottom w:val="sing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New scientific paradigms, new high-impact publications</w:t>
            </w:r>
            <w:r>
              <w:rPr>
                <w:rStyle w:val="FootnoteReference"/>
                <w:noProof/>
              </w:rPr>
              <w:footnoteReference w:id="12"/>
            </w:r>
            <w:r>
              <w:rPr>
                <w:noProof/>
              </w:rPr>
              <w:t>.</w:t>
            </w:r>
          </w:p>
        </w:tc>
        <w:tc>
          <w:tcPr>
            <w:tcW w:w="2693" w:type="dxa"/>
            <w:tcBorders>
              <w:top w:val="double" w:sz="4" w:space="0" w:color="auto"/>
              <w:bottom w:val="sing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p>
        </w:tc>
      </w:tr>
      <w:tr>
        <w:tc>
          <w:tcPr>
            <w:tcW w:w="2552" w:type="dxa"/>
            <w:tcBorders>
              <w:top w:val="single" w:sz="4" w:space="0" w:color="auto"/>
            </w:tcBorders>
            <w:vAlign w:val="center"/>
          </w:tcPr>
          <w:p>
            <w:pPr>
              <w:tabs>
                <w:tab w:val="num" w:pos="425"/>
              </w:tabs>
              <w:spacing w:before="100" w:beforeAutospacing="1" w:after="100" w:afterAutospacing="1"/>
              <w:jc w:val="left"/>
              <w:rPr>
                <w:noProof/>
              </w:rPr>
            </w:pPr>
            <w:r>
              <w:rPr>
                <w:noProof/>
              </w:rPr>
              <w:t>EU-wide cross-sectoral health research and innovation ecosystem created</w:t>
            </w:r>
          </w:p>
        </w:tc>
        <w:tc>
          <w:tcPr>
            <w:tcW w:w="3402" w:type="dxa"/>
            <w:tcBorders>
              <w:top w:val="sing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Easier interactions between potential new collaborators: across stakeholder types (e.g industry with academia, SMEs with large industry…) and across sectors (e.g. pharma with medtech). A neutral platform created for interactions between academia, industry, end-users and regulators.</w:t>
            </w:r>
          </w:p>
        </w:tc>
        <w:tc>
          <w:tcPr>
            <w:tcW w:w="2693" w:type="dxa"/>
            <w:tcBorders>
              <w:top w:val="sing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p>
        </w:tc>
      </w:tr>
      <w:tr>
        <w:tc>
          <w:tcPr>
            <w:tcW w:w="2552" w:type="dxa"/>
            <w:tcBorders>
              <w:bottom w:val="double" w:sz="4" w:space="0" w:color="auto"/>
            </w:tcBorders>
            <w:vAlign w:val="center"/>
          </w:tcPr>
          <w:p>
            <w:pPr>
              <w:tabs>
                <w:tab w:val="num" w:pos="425"/>
              </w:tabs>
              <w:spacing w:before="100" w:beforeAutospacing="1" w:after="100" w:afterAutospacing="1"/>
              <w:jc w:val="left"/>
              <w:rPr>
                <w:noProof/>
              </w:rPr>
            </w:pPr>
            <w:r>
              <w:rPr>
                <w:noProof/>
              </w:rPr>
              <w:t>New scientific paradigms established providing the foundation for innovative health technologies</w:t>
            </w:r>
          </w:p>
        </w:tc>
        <w:tc>
          <w:tcPr>
            <w:tcW w:w="3402" w:type="dxa"/>
            <w:tcBorders>
              <w:bottom w:val="double" w:sz="4" w:space="0" w:color="auto"/>
            </w:tcBorders>
            <w:tcMar>
              <w:top w:w="57" w:type="dxa"/>
              <w:left w:w="57" w:type="dxa"/>
              <w:bottom w:w="57" w:type="dxa"/>
              <w:right w:w="57" w:type="dxa"/>
            </w:tcMar>
            <w:vAlign w:val="center"/>
          </w:tcPr>
          <w:p>
            <w:pPr>
              <w:pStyle w:val="TableText"/>
              <w:spacing w:before="100" w:beforeAutospacing="1" w:after="100" w:afterAutospacing="1" w:line="240" w:lineRule="auto"/>
              <w:rPr>
                <w:rFonts w:ascii="Times New Roman" w:hAnsi="Times New Roman" w:cs="Times New Roman"/>
                <w:noProof/>
                <w:sz w:val="20"/>
                <w:szCs w:val="20"/>
              </w:rPr>
            </w:pPr>
            <w:r>
              <w:rPr>
                <w:rFonts w:ascii="Times New Roman" w:hAnsi="Times New Roman" w:cs="Times New Roman"/>
                <w:noProof/>
                <w:sz w:val="20"/>
                <w:szCs w:val="20"/>
              </w:rPr>
              <w:t>New health solutions (e.g. drugs, diagnostics, combination products) available to citizens.</w:t>
            </w:r>
          </w:p>
          <w:p>
            <w:pPr>
              <w:tabs>
                <w:tab w:val="num" w:pos="425"/>
              </w:tabs>
              <w:spacing w:before="100" w:beforeAutospacing="1" w:after="100" w:afterAutospacing="1"/>
              <w:jc w:val="left"/>
              <w:rPr>
                <w:noProof/>
              </w:rPr>
            </w:pPr>
            <w:r>
              <w:rPr>
                <w:noProof/>
              </w:rPr>
              <w:t>Potential new business opportunities for industry, incl. SMEs</w:t>
            </w:r>
          </w:p>
        </w:tc>
        <w:tc>
          <w:tcPr>
            <w:tcW w:w="2693" w:type="dxa"/>
            <w:tcBorders>
              <w:bottom w:val="doub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Potential new solutions might be entering the market in the future, thus changing the competitive position of companies, incl. SMEs.</w:t>
            </w:r>
          </w:p>
        </w:tc>
      </w:tr>
      <w:tr>
        <w:tc>
          <w:tcPr>
            <w:tcW w:w="8647" w:type="dxa"/>
            <w:gridSpan w:val="3"/>
            <w:shd w:val="clear" w:color="auto" w:fill="F2F2F2" w:themeFill="background1" w:themeFillShade="F2"/>
            <w:vAlign w:val="center"/>
          </w:tcPr>
          <w:p>
            <w:pPr>
              <w:tabs>
                <w:tab w:val="num" w:pos="425"/>
              </w:tabs>
              <w:spacing w:before="100" w:beforeAutospacing="1" w:after="100" w:afterAutospacing="1"/>
              <w:jc w:val="center"/>
              <w:rPr>
                <w:b/>
                <w:bCs/>
                <w:i/>
                <w:iCs/>
                <w:noProof/>
              </w:rPr>
            </w:pPr>
            <w:r>
              <w:rPr>
                <w:b/>
                <w:bCs/>
                <w:i/>
                <w:iCs/>
                <w:noProof/>
              </w:rPr>
              <w:t>Indirect benefits</w:t>
            </w:r>
          </w:p>
        </w:tc>
      </w:tr>
      <w:tr>
        <w:tc>
          <w:tcPr>
            <w:tcW w:w="2552" w:type="dxa"/>
            <w:tcBorders>
              <w:top w:val="double" w:sz="4" w:space="0" w:color="auto"/>
              <w:bottom w:val="single" w:sz="4" w:space="0" w:color="auto"/>
            </w:tcBorders>
            <w:vAlign w:val="center"/>
          </w:tcPr>
          <w:p>
            <w:pPr>
              <w:tabs>
                <w:tab w:val="num" w:pos="425"/>
              </w:tabs>
              <w:spacing w:before="100" w:beforeAutospacing="1" w:after="100" w:afterAutospacing="1"/>
              <w:jc w:val="left"/>
              <w:rPr>
                <w:noProof/>
              </w:rPr>
            </w:pPr>
            <w:r>
              <w:rPr>
                <w:noProof/>
              </w:rPr>
              <w:t>More productive and globally competitive EU health industries that create jobs and growth</w:t>
            </w:r>
          </w:p>
        </w:tc>
        <w:tc>
          <w:tcPr>
            <w:tcW w:w="3402" w:type="dxa"/>
            <w:tcBorders>
              <w:top w:val="double" w:sz="4" w:space="0" w:color="auto"/>
              <w:bottom w:val="sing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Positive impacts on European economy, including access to new markets for companies.</w:t>
            </w:r>
          </w:p>
        </w:tc>
        <w:tc>
          <w:tcPr>
            <w:tcW w:w="2693" w:type="dxa"/>
            <w:tcBorders>
              <w:top w:val="double" w:sz="4" w:space="0" w:color="auto"/>
              <w:bottom w:val="sing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Potential salary increase for highly-skilled jobs and/or increase of high-salary employment in health sectors.</w:t>
            </w:r>
          </w:p>
        </w:tc>
      </w:tr>
      <w:tr>
        <w:tc>
          <w:tcPr>
            <w:tcW w:w="2552" w:type="dxa"/>
            <w:tcBorders>
              <w:top w:val="single" w:sz="4" w:space="0" w:color="auto"/>
            </w:tcBorders>
            <w:vAlign w:val="center"/>
          </w:tcPr>
          <w:p>
            <w:pPr>
              <w:tabs>
                <w:tab w:val="num" w:pos="425"/>
              </w:tabs>
              <w:spacing w:before="100" w:beforeAutospacing="1" w:after="100" w:afterAutospacing="1"/>
              <w:jc w:val="left"/>
              <w:rPr>
                <w:noProof/>
              </w:rPr>
            </w:pPr>
            <w:r>
              <w:rPr>
                <w:noProof/>
              </w:rPr>
              <w:t>Better, safe, effective and cost-effective health technologies, tools and digital solutions for health</w:t>
            </w:r>
          </w:p>
        </w:tc>
        <w:tc>
          <w:tcPr>
            <w:tcW w:w="3402" w:type="dxa"/>
            <w:tcBorders>
              <w:top w:val="sing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EU citizens will benefit.</w:t>
            </w:r>
          </w:p>
        </w:tc>
        <w:tc>
          <w:tcPr>
            <w:tcW w:w="2693" w:type="dxa"/>
            <w:tcBorders>
              <w:top w:val="single" w:sz="4" w:space="0" w:color="auto"/>
            </w:tcBorders>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Companies may need to adapt to changing landscape and new business models.</w:t>
            </w:r>
          </w:p>
        </w:tc>
      </w:tr>
      <w:tr>
        <w:tc>
          <w:tcPr>
            <w:tcW w:w="2552" w:type="dxa"/>
            <w:vAlign w:val="center"/>
          </w:tcPr>
          <w:p>
            <w:pPr>
              <w:tabs>
                <w:tab w:val="num" w:pos="425"/>
              </w:tabs>
              <w:spacing w:before="100" w:beforeAutospacing="1" w:after="100" w:afterAutospacing="1"/>
              <w:jc w:val="left"/>
              <w:rPr>
                <w:noProof/>
              </w:rPr>
            </w:pPr>
            <w:r>
              <w:rPr>
                <w:noProof/>
              </w:rPr>
              <w:t>Increased level of public and private investments into strategic unmet public health needs</w:t>
            </w:r>
          </w:p>
        </w:tc>
        <w:tc>
          <w:tcPr>
            <w:tcW w:w="3402" w:type="dxa"/>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EU citizens will benefit.</w:t>
            </w:r>
          </w:p>
        </w:tc>
        <w:tc>
          <w:tcPr>
            <w:tcW w:w="2693" w:type="dxa"/>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For companies, need to adapt to new business models and areas.</w:t>
            </w:r>
          </w:p>
        </w:tc>
      </w:tr>
      <w:tr>
        <w:tc>
          <w:tcPr>
            <w:tcW w:w="2552" w:type="dxa"/>
            <w:vAlign w:val="center"/>
          </w:tcPr>
          <w:p>
            <w:pPr>
              <w:tabs>
                <w:tab w:val="num" w:pos="425"/>
              </w:tabs>
              <w:spacing w:before="100" w:beforeAutospacing="1" w:after="100" w:afterAutospacing="1"/>
              <w:jc w:val="left"/>
              <w:rPr>
                <w:noProof/>
              </w:rPr>
            </w:pPr>
            <w:r>
              <w:rPr>
                <w:noProof/>
              </w:rPr>
              <w:t>Improved health outcomes and wellbeing in priority disease areas (SDG3)</w:t>
            </w:r>
          </w:p>
        </w:tc>
        <w:tc>
          <w:tcPr>
            <w:tcW w:w="3402" w:type="dxa"/>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EU citizens will benefit.</w:t>
            </w:r>
          </w:p>
        </w:tc>
        <w:tc>
          <w:tcPr>
            <w:tcW w:w="2693" w:type="dxa"/>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Health care systems might need to shift focus from treatment to prevention.</w:t>
            </w:r>
          </w:p>
        </w:tc>
      </w:tr>
      <w:tr>
        <w:tc>
          <w:tcPr>
            <w:tcW w:w="2552" w:type="dxa"/>
            <w:vAlign w:val="center"/>
          </w:tcPr>
          <w:p>
            <w:pPr>
              <w:tabs>
                <w:tab w:val="num" w:pos="425"/>
              </w:tabs>
              <w:spacing w:before="100" w:beforeAutospacing="1" w:after="100" w:afterAutospacing="1"/>
              <w:jc w:val="left"/>
              <w:rPr>
                <w:noProof/>
              </w:rPr>
            </w:pPr>
            <w:r>
              <w:rPr>
                <w:noProof/>
              </w:rPr>
              <w:t>Reduced health inequalities and improved access to high quality health care in priority disease areas (SDG 10)</w:t>
            </w:r>
          </w:p>
        </w:tc>
        <w:tc>
          <w:tcPr>
            <w:tcW w:w="3402" w:type="dxa"/>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EU citizens will benefit.</w:t>
            </w:r>
          </w:p>
        </w:tc>
        <w:tc>
          <w:tcPr>
            <w:tcW w:w="2693" w:type="dxa"/>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For companies, need to adapt to new business models and areas.</w:t>
            </w:r>
          </w:p>
        </w:tc>
      </w:tr>
      <w:tr>
        <w:tc>
          <w:tcPr>
            <w:tcW w:w="2552" w:type="dxa"/>
            <w:vAlign w:val="center"/>
          </w:tcPr>
          <w:p>
            <w:pPr>
              <w:tabs>
                <w:tab w:val="num" w:pos="425"/>
              </w:tabs>
              <w:spacing w:before="100" w:beforeAutospacing="1" w:after="100" w:afterAutospacing="1"/>
              <w:jc w:val="left"/>
              <w:rPr>
                <w:noProof/>
              </w:rPr>
            </w:pPr>
            <w:r>
              <w:rPr>
                <w:noProof/>
              </w:rPr>
              <w:t>Reduced need for travel impacting on climate (SDG 13)</w:t>
            </w:r>
          </w:p>
        </w:tc>
        <w:tc>
          <w:tcPr>
            <w:tcW w:w="3402" w:type="dxa"/>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EU citizens will benefit.</w:t>
            </w:r>
          </w:p>
        </w:tc>
        <w:tc>
          <w:tcPr>
            <w:tcW w:w="2693" w:type="dxa"/>
            <w:tcMar>
              <w:top w:w="57" w:type="dxa"/>
              <w:left w:w="57" w:type="dxa"/>
              <w:bottom w:w="57" w:type="dxa"/>
              <w:right w:w="57" w:type="dxa"/>
            </w:tcMar>
            <w:vAlign w:val="center"/>
          </w:tcPr>
          <w:p>
            <w:pPr>
              <w:tabs>
                <w:tab w:val="num" w:pos="425"/>
              </w:tabs>
              <w:spacing w:before="100" w:beforeAutospacing="1" w:after="100" w:afterAutospacing="1"/>
              <w:jc w:val="left"/>
              <w:rPr>
                <w:noProof/>
              </w:rPr>
            </w:pPr>
            <w:r>
              <w:rPr>
                <w:noProof/>
              </w:rPr>
              <w:t>Lowered revenues for certain enterprises active in the travel sector.</w:t>
            </w:r>
          </w:p>
        </w:tc>
      </w:tr>
    </w:tbl>
    <w:p>
      <w:pPr>
        <w:spacing w:before="100" w:beforeAutospacing="1" w:after="100" w:afterAutospacing="1"/>
        <w:rPr>
          <w:noProof/>
          <w:lang w:eastAsia="en-US"/>
        </w:rPr>
      </w:pPr>
    </w:p>
    <w:p>
      <w:pPr>
        <w:spacing w:before="100" w:beforeAutospacing="1" w:after="100" w:afterAutospacing="1"/>
        <w:ind w:left="-624" w:right="-964"/>
        <w:rPr>
          <w:i/>
          <w:noProof/>
          <w:sz w:val="20"/>
        </w:rPr>
      </w:pPr>
      <w:r>
        <w:rPr>
          <w:i/>
          <w:noProof/>
          <w:sz w:val="20"/>
        </w:rPr>
        <w:t xml:space="preserve"> (1) Estimates are relative to the baseline for the preferred option as a whole (i.e. the impact of individual actions/obligations of the </w:t>
      </w:r>
      <w:r>
        <w:rPr>
          <w:i/>
          <w:noProof/>
          <w:sz w:val="20"/>
          <w:u w:val="single"/>
        </w:rPr>
        <w:t>preferred</w:t>
      </w:r>
      <w:r>
        <w:rPr>
          <w:i/>
          <w:noProof/>
          <w:sz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p>
      <w:pPr>
        <w:spacing w:before="100" w:beforeAutospacing="1" w:after="100" w:afterAutospacing="1"/>
        <w:ind w:right="-29"/>
        <w:rPr>
          <w:i/>
          <w:iCs/>
          <w:noProof/>
          <w:sz w:val="20"/>
        </w:rPr>
      </w:pPr>
    </w:p>
    <w:tbl>
      <w:tblPr>
        <w:tblStyle w:val="CV11"/>
        <w:tblW w:w="8647"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8"/>
        <w:gridCol w:w="992"/>
        <w:gridCol w:w="676"/>
        <w:gridCol w:w="1167"/>
        <w:gridCol w:w="933"/>
        <w:gridCol w:w="1051"/>
        <w:gridCol w:w="851"/>
        <w:gridCol w:w="1559"/>
      </w:tblGrid>
      <w:tr>
        <w:tc>
          <w:tcPr>
            <w:tcW w:w="8647" w:type="dxa"/>
            <w:gridSpan w:val="8"/>
            <w:shd w:val="clear" w:color="auto" w:fill="D5DCE4" w:themeFill="text2" w:themeFillTint="33"/>
            <w:tcMar>
              <w:top w:w="57" w:type="dxa"/>
              <w:left w:w="57" w:type="dxa"/>
              <w:bottom w:w="57" w:type="dxa"/>
              <w:right w:w="57" w:type="dxa"/>
            </w:tcMar>
          </w:tcPr>
          <w:p>
            <w:pPr>
              <w:tabs>
                <w:tab w:val="num" w:pos="425"/>
              </w:tabs>
              <w:spacing w:before="100" w:beforeAutospacing="1" w:after="100" w:afterAutospacing="1"/>
              <w:jc w:val="center"/>
              <w:rPr>
                <w:b/>
                <w:bCs/>
                <w:i/>
                <w:iCs/>
                <w:noProof/>
              </w:rPr>
            </w:pPr>
            <w:r>
              <w:rPr>
                <w:b/>
                <w:bCs/>
                <w:i/>
                <w:iCs/>
                <w:noProof/>
              </w:rPr>
              <w:t>II. Overview of costs – Preferred option</w:t>
            </w:r>
          </w:p>
        </w:tc>
      </w:tr>
      <w:tr>
        <w:trPr>
          <w:trHeight w:val="365"/>
        </w:trPr>
        <w:tc>
          <w:tcPr>
            <w:tcW w:w="2410"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1843" w:type="dxa"/>
            <w:gridSpan w:val="2"/>
            <w:tcBorders>
              <w:left w:val="double" w:sz="4" w:space="0" w:color="auto"/>
            </w:tcBorders>
            <w:tcMar>
              <w:top w:w="57" w:type="dxa"/>
              <w:left w:w="57" w:type="dxa"/>
              <w:bottom w:w="57" w:type="dxa"/>
              <w:right w:w="57" w:type="dxa"/>
            </w:tcMar>
          </w:tcPr>
          <w:p>
            <w:pPr>
              <w:tabs>
                <w:tab w:val="num" w:pos="425"/>
              </w:tabs>
              <w:spacing w:before="100" w:beforeAutospacing="1" w:after="100" w:afterAutospacing="1"/>
              <w:jc w:val="center"/>
              <w:rPr>
                <w:noProof/>
              </w:rPr>
            </w:pPr>
            <w:r>
              <w:rPr>
                <w:noProof/>
              </w:rPr>
              <w:t xml:space="preserve">Citizens/Consumers </w:t>
            </w:r>
          </w:p>
        </w:tc>
        <w:tc>
          <w:tcPr>
            <w:tcW w:w="1984" w:type="dxa"/>
            <w:gridSpan w:val="2"/>
            <w:tcMar>
              <w:top w:w="57" w:type="dxa"/>
              <w:left w:w="57" w:type="dxa"/>
              <w:bottom w:w="57" w:type="dxa"/>
              <w:right w:w="57" w:type="dxa"/>
            </w:tcMar>
          </w:tcPr>
          <w:p>
            <w:pPr>
              <w:tabs>
                <w:tab w:val="num" w:pos="425"/>
              </w:tabs>
              <w:spacing w:before="100" w:beforeAutospacing="1" w:after="100" w:afterAutospacing="1"/>
              <w:jc w:val="center"/>
              <w:rPr>
                <w:noProof/>
              </w:rPr>
            </w:pPr>
            <w:r>
              <w:rPr>
                <w:noProof/>
              </w:rPr>
              <w:t>Businesses</w:t>
            </w:r>
          </w:p>
        </w:tc>
        <w:tc>
          <w:tcPr>
            <w:tcW w:w="2410" w:type="dxa"/>
            <w:gridSpan w:val="2"/>
            <w:tcMar>
              <w:top w:w="57" w:type="dxa"/>
              <w:left w:w="57" w:type="dxa"/>
              <w:bottom w:w="57" w:type="dxa"/>
              <w:right w:w="57" w:type="dxa"/>
            </w:tcMar>
          </w:tcPr>
          <w:p>
            <w:pPr>
              <w:tabs>
                <w:tab w:val="num" w:pos="425"/>
              </w:tabs>
              <w:spacing w:before="100" w:beforeAutospacing="1" w:after="100" w:afterAutospacing="1"/>
              <w:jc w:val="center"/>
              <w:rPr>
                <w:noProof/>
              </w:rPr>
            </w:pPr>
            <w:r>
              <w:rPr>
                <w:noProof/>
              </w:rPr>
              <w:t>Administrations</w:t>
            </w:r>
          </w:p>
        </w:tc>
      </w:tr>
      <w:tr>
        <w:trPr>
          <w:trHeight w:val="644"/>
        </w:trPr>
        <w:tc>
          <w:tcPr>
            <w:tcW w:w="2410"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spacing w:before="100" w:beforeAutospacing="1" w:after="100" w:afterAutospacing="1"/>
              <w:jc w:val="center"/>
              <w:rPr>
                <w:noProof/>
              </w:rPr>
            </w:pPr>
          </w:p>
        </w:tc>
        <w:tc>
          <w:tcPr>
            <w:tcW w:w="676" w:type="dxa"/>
            <w:tcBorders>
              <w:left w:val="double" w:sz="4" w:space="0" w:color="auto"/>
              <w:bottom w:val="double" w:sz="4" w:space="0" w:color="auto"/>
            </w:tcBorders>
            <w:tcMar>
              <w:top w:w="57" w:type="dxa"/>
              <w:left w:w="57" w:type="dxa"/>
              <w:bottom w:w="57" w:type="dxa"/>
              <w:right w:w="57" w:type="dxa"/>
            </w:tcMar>
          </w:tcPr>
          <w:p>
            <w:pPr>
              <w:tabs>
                <w:tab w:val="num" w:pos="425"/>
              </w:tabs>
              <w:spacing w:before="100" w:beforeAutospacing="1" w:after="100" w:afterAutospacing="1"/>
              <w:jc w:val="center"/>
              <w:rPr>
                <w:noProof/>
              </w:rPr>
            </w:pPr>
            <w:r>
              <w:rPr>
                <w:noProof/>
              </w:rPr>
              <w:t>One-off</w:t>
            </w:r>
          </w:p>
        </w:tc>
        <w:tc>
          <w:tcPr>
            <w:tcW w:w="1167" w:type="dxa"/>
            <w:tcBorders>
              <w:bottom w:val="double" w:sz="4" w:space="0" w:color="auto"/>
            </w:tcBorders>
            <w:tcMar>
              <w:top w:w="57" w:type="dxa"/>
              <w:left w:w="57" w:type="dxa"/>
              <w:bottom w:w="57" w:type="dxa"/>
              <w:right w:w="57" w:type="dxa"/>
            </w:tcMar>
          </w:tcPr>
          <w:p>
            <w:pPr>
              <w:tabs>
                <w:tab w:val="num" w:pos="425"/>
              </w:tabs>
              <w:spacing w:before="100" w:beforeAutospacing="1" w:after="100" w:afterAutospacing="1"/>
              <w:jc w:val="center"/>
              <w:rPr>
                <w:noProof/>
              </w:rPr>
            </w:pPr>
            <w:r>
              <w:rPr>
                <w:noProof/>
              </w:rPr>
              <w:t>Recurrent</w:t>
            </w:r>
          </w:p>
        </w:tc>
        <w:tc>
          <w:tcPr>
            <w:tcW w:w="933" w:type="dxa"/>
            <w:tcBorders>
              <w:bottom w:val="double" w:sz="4" w:space="0" w:color="auto"/>
            </w:tcBorders>
            <w:tcMar>
              <w:top w:w="57" w:type="dxa"/>
              <w:left w:w="57" w:type="dxa"/>
              <w:bottom w:w="57" w:type="dxa"/>
              <w:right w:w="57" w:type="dxa"/>
            </w:tcMar>
          </w:tcPr>
          <w:p>
            <w:pPr>
              <w:tabs>
                <w:tab w:val="num" w:pos="425"/>
              </w:tabs>
              <w:spacing w:before="100" w:beforeAutospacing="1" w:after="100" w:afterAutospacing="1"/>
              <w:jc w:val="center"/>
              <w:rPr>
                <w:noProof/>
              </w:rPr>
            </w:pPr>
            <w:r>
              <w:rPr>
                <w:noProof/>
              </w:rPr>
              <w:t>One-off</w:t>
            </w:r>
          </w:p>
        </w:tc>
        <w:tc>
          <w:tcPr>
            <w:tcW w:w="1051" w:type="dxa"/>
            <w:tcBorders>
              <w:bottom w:val="double" w:sz="4" w:space="0" w:color="auto"/>
            </w:tcBorders>
            <w:tcMar>
              <w:top w:w="57" w:type="dxa"/>
              <w:left w:w="57" w:type="dxa"/>
              <w:bottom w:w="57" w:type="dxa"/>
              <w:right w:w="57" w:type="dxa"/>
            </w:tcMar>
          </w:tcPr>
          <w:p>
            <w:pPr>
              <w:tabs>
                <w:tab w:val="num" w:pos="425"/>
              </w:tabs>
              <w:spacing w:before="100" w:beforeAutospacing="1" w:after="100" w:afterAutospacing="1"/>
              <w:jc w:val="center"/>
              <w:rPr>
                <w:noProof/>
              </w:rPr>
            </w:pPr>
            <w:r>
              <w:rPr>
                <w:noProof/>
              </w:rPr>
              <w:t>Recurrent</w:t>
            </w:r>
          </w:p>
        </w:tc>
        <w:tc>
          <w:tcPr>
            <w:tcW w:w="851" w:type="dxa"/>
            <w:tcBorders>
              <w:bottom w:val="double" w:sz="4" w:space="0" w:color="auto"/>
            </w:tcBorders>
            <w:tcMar>
              <w:top w:w="57" w:type="dxa"/>
              <w:left w:w="57" w:type="dxa"/>
              <w:bottom w:w="57" w:type="dxa"/>
              <w:right w:w="57" w:type="dxa"/>
            </w:tcMar>
          </w:tcPr>
          <w:p>
            <w:pPr>
              <w:tabs>
                <w:tab w:val="num" w:pos="425"/>
              </w:tabs>
              <w:spacing w:before="100" w:beforeAutospacing="1" w:after="100" w:afterAutospacing="1"/>
              <w:jc w:val="center"/>
              <w:rPr>
                <w:noProof/>
              </w:rPr>
            </w:pPr>
            <w:r>
              <w:rPr>
                <w:noProof/>
              </w:rPr>
              <w:t>One-off</w:t>
            </w:r>
          </w:p>
        </w:tc>
        <w:tc>
          <w:tcPr>
            <w:tcW w:w="1559" w:type="dxa"/>
            <w:tcBorders>
              <w:bottom w:val="double" w:sz="4" w:space="0" w:color="auto"/>
            </w:tcBorders>
            <w:tcMar>
              <w:top w:w="57" w:type="dxa"/>
              <w:left w:w="57" w:type="dxa"/>
              <w:bottom w:w="57" w:type="dxa"/>
              <w:right w:w="57" w:type="dxa"/>
            </w:tcMar>
          </w:tcPr>
          <w:p>
            <w:pPr>
              <w:tabs>
                <w:tab w:val="num" w:pos="425"/>
              </w:tabs>
              <w:spacing w:before="100" w:beforeAutospacing="1" w:after="100" w:afterAutospacing="1"/>
              <w:jc w:val="center"/>
              <w:rPr>
                <w:noProof/>
              </w:rPr>
            </w:pPr>
            <w:r>
              <w:rPr>
                <w:noProof/>
              </w:rPr>
              <w:t>Recurrent</w:t>
            </w:r>
          </w:p>
        </w:tc>
      </w:tr>
      <w:tr>
        <w:trPr>
          <w:trHeight w:val="646"/>
        </w:trPr>
        <w:tc>
          <w:tcPr>
            <w:tcW w:w="1418" w:type="dxa"/>
            <w:vMerge w:val="restart"/>
            <w:tcMar>
              <w:top w:w="57" w:type="dxa"/>
              <w:left w:w="57" w:type="dxa"/>
              <w:bottom w:w="57" w:type="dxa"/>
              <w:right w:w="57" w:type="dxa"/>
            </w:tcMar>
            <w:vAlign w:val="center"/>
          </w:tcPr>
          <w:p>
            <w:pPr>
              <w:tabs>
                <w:tab w:val="num" w:pos="425"/>
              </w:tabs>
              <w:spacing w:before="100" w:beforeAutospacing="1" w:after="100" w:afterAutospacing="1"/>
              <w:rPr>
                <w:noProof/>
              </w:rPr>
            </w:pPr>
            <w:r>
              <w:rPr>
                <w:b/>
                <w:bCs/>
                <w:noProof/>
              </w:rPr>
              <w:t xml:space="preserve">Management/Administrative costs  </w:t>
            </w:r>
          </w:p>
        </w:tc>
        <w:tc>
          <w:tcPr>
            <w:tcW w:w="992" w:type="dxa"/>
            <w:tcBorders>
              <w:right w:val="double" w:sz="4" w:space="0" w:color="auto"/>
            </w:tcBorders>
            <w:tcMar>
              <w:top w:w="57" w:type="dxa"/>
              <w:left w:w="57" w:type="dxa"/>
              <w:bottom w:w="57" w:type="dxa"/>
              <w:right w:w="57" w:type="dxa"/>
            </w:tcMar>
            <w:vAlign w:val="center"/>
          </w:tcPr>
          <w:p>
            <w:pPr>
              <w:tabs>
                <w:tab w:val="num" w:pos="425"/>
              </w:tabs>
              <w:spacing w:before="100" w:beforeAutospacing="1" w:after="100" w:afterAutospacing="1"/>
              <w:rPr>
                <w:noProof/>
              </w:rPr>
            </w:pPr>
            <w:r>
              <w:rPr>
                <w:noProof/>
              </w:rPr>
              <w:t>Direct costs</w:t>
            </w:r>
          </w:p>
        </w:tc>
        <w:tc>
          <w:tcPr>
            <w:tcW w:w="676" w:type="dxa"/>
            <w:tcBorders>
              <w:left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1167" w:type="dxa"/>
            <w:tcMar>
              <w:top w:w="57" w:type="dxa"/>
              <w:left w:w="57" w:type="dxa"/>
              <w:bottom w:w="57" w:type="dxa"/>
              <w:right w:w="57" w:type="dxa"/>
            </w:tcMar>
          </w:tcPr>
          <w:p>
            <w:pPr>
              <w:tabs>
                <w:tab w:val="num" w:pos="425"/>
              </w:tabs>
              <w:spacing w:before="100" w:beforeAutospacing="1" w:after="100" w:afterAutospacing="1"/>
              <w:rPr>
                <w:noProof/>
              </w:rPr>
            </w:pPr>
          </w:p>
        </w:tc>
        <w:tc>
          <w:tcPr>
            <w:tcW w:w="933" w:type="dxa"/>
            <w:tcMar>
              <w:top w:w="57" w:type="dxa"/>
              <w:left w:w="57" w:type="dxa"/>
              <w:bottom w:w="57" w:type="dxa"/>
              <w:right w:w="57" w:type="dxa"/>
            </w:tcMar>
          </w:tcPr>
          <w:p>
            <w:pPr>
              <w:tabs>
                <w:tab w:val="num" w:pos="425"/>
              </w:tabs>
              <w:spacing w:before="100" w:beforeAutospacing="1" w:after="100" w:afterAutospacing="1"/>
              <w:rPr>
                <w:noProof/>
              </w:rPr>
            </w:pPr>
          </w:p>
        </w:tc>
        <w:tc>
          <w:tcPr>
            <w:tcW w:w="1051" w:type="dxa"/>
            <w:tcMar>
              <w:top w:w="57" w:type="dxa"/>
              <w:left w:w="57" w:type="dxa"/>
              <w:bottom w:w="57" w:type="dxa"/>
              <w:right w:w="57" w:type="dxa"/>
            </w:tcMar>
          </w:tcPr>
          <w:p>
            <w:pPr>
              <w:tabs>
                <w:tab w:val="num" w:pos="425"/>
              </w:tabs>
              <w:spacing w:before="100" w:beforeAutospacing="1" w:after="100" w:afterAutospacing="1"/>
              <w:rPr>
                <w:noProof/>
              </w:rPr>
            </w:pPr>
          </w:p>
        </w:tc>
        <w:tc>
          <w:tcPr>
            <w:tcW w:w="851" w:type="dxa"/>
            <w:tcMar>
              <w:top w:w="57" w:type="dxa"/>
              <w:left w:w="57" w:type="dxa"/>
              <w:bottom w:w="57" w:type="dxa"/>
              <w:right w:w="57" w:type="dxa"/>
            </w:tcMar>
          </w:tcPr>
          <w:p>
            <w:pPr>
              <w:tabs>
                <w:tab w:val="num" w:pos="425"/>
              </w:tabs>
              <w:spacing w:before="100" w:beforeAutospacing="1" w:after="100" w:afterAutospacing="1"/>
              <w:rPr>
                <w:noProof/>
              </w:rPr>
            </w:pPr>
          </w:p>
        </w:tc>
        <w:tc>
          <w:tcPr>
            <w:tcW w:w="1559" w:type="dxa"/>
            <w:tcMar>
              <w:top w:w="57" w:type="dxa"/>
              <w:left w:w="57" w:type="dxa"/>
              <w:bottom w:w="57" w:type="dxa"/>
              <w:right w:w="57" w:type="dxa"/>
            </w:tcMar>
          </w:tcPr>
          <w:p>
            <w:pPr>
              <w:pStyle w:val="EUR"/>
              <w:spacing w:before="100" w:beforeAutospacing="1" w:after="100" w:afterAutospacing="1"/>
              <w:jc w:val="left"/>
              <w:rPr>
                <w:noProof/>
              </w:rPr>
            </w:pPr>
            <w:r>
              <w:rPr>
                <w:noProof/>
              </w:rPr>
              <w:t>EUR 4,7 million</w:t>
            </w:r>
            <w:r>
              <w:rPr>
                <w:rStyle w:val="FootnoteReference"/>
                <w:noProof/>
              </w:rPr>
              <w:footnoteReference w:id="13"/>
            </w:r>
            <w:r>
              <w:rPr>
                <w:noProof/>
              </w:rPr>
              <w:t xml:space="preserve"> </w:t>
            </w:r>
          </w:p>
        </w:tc>
      </w:tr>
      <w:tr>
        <w:trPr>
          <w:trHeight w:val="531"/>
        </w:trPr>
        <w:tc>
          <w:tcPr>
            <w:tcW w:w="1418" w:type="dxa"/>
            <w:vMerge/>
            <w:tcMar>
              <w:top w:w="57" w:type="dxa"/>
              <w:left w:w="57" w:type="dxa"/>
              <w:bottom w:w="57" w:type="dxa"/>
              <w:right w:w="57" w:type="dxa"/>
            </w:tcMar>
          </w:tcPr>
          <w:p>
            <w:pPr>
              <w:tabs>
                <w:tab w:val="num" w:pos="425"/>
              </w:tabs>
              <w:spacing w:before="100" w:beforeAutospacing="1" w:after="100" w:afterAutospacing="1"/>
              <w:rPr>
                <w:noProof/>
              </w:rPr>
            </w:pPr>
          </w:p>
        </w:tc>
        <w:tc>
          <w:tcPr>
            <w:tcW w:w="992" w:type="dxa"/>
            <w:tcBorders>
              <w:right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r>
              <w:rPr>
                <w:noProof/>
              </w:rPr>
              <w:t>Indirect costs</w:t>
            </w:r>
          </w:p>
        </w:tc>
        <w:tc>
          <w:tcPr>
            <w:tcW w:w="676" w:type="dxa"/>
            <w:tcBorders>
              <w:left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1167" w:type="dxa"/>
            <w:tcMar>
              <w:top w:w="57" w:type="dxa"/>
              <w:left w:w="57" w:type="dxa"/>
              <w:bottom w:w="57" w:type="dxa"/>
              <w:right w:w="57" w:type="dxa"/>
            </w:tcMar>
          </w:tcPr>
          <w:p>
            <w:pPr>
              <w:tabs>
                <w:tab w:val="num" w:pos="425"/>
              </w:tabs>
              <w:spacing w:before="100" w:beforeAutospacing="1" w:after="100" w:afterAutospacing="1"/>
              <w:rPr>
                <w:noProof/>
              </w:rPr>
            </w:pPr>
          </w:p>
        </w:tc>
        <w:tc>
          <w:tcPr>
            <w:tcW w:w="933" w:type="dxa"/>
            <w:tcMar>
              <w:top w:w="57" w:type="dxa"/>
              <w:left w:w="57" w:type="dxa"/>
              <w:bottom w:w="57" w:type="dxa"/>
              <w:right w:w="57" w:type="dxa"/>
            </w:tcMar>
          </w:tcPr>
          <w:p>
            <w:pPr>
              <w:tabs>
                <w:tab w:val="num" w:pos="425"/>
              </w:tabs>
              <w:spacing w:before="100" w:beforeAutospacing="1" w:after="100" w:afterAutospacing="1"/>
              <w:rPr>
                <w:noProof/>
              </w:rPr>
            </w:pPr>
          </w:p>
        </w:tc>
        <w:tc>
          <w:tcPr>
            <w:tcW w:w="1051" w:type="dxa"/>
            <w:tcMar>
              <w:top w:w="57" w:type="dxa"/>
              <w:left w:w="57" w:type="dxa"/>
              <w:bottom w:w="57" w:type="dxa"/>
              <w:right w:w="57" w:type="dxa"/>
            </w:tcMar>
          </w:tcPr>
          <w:p>
            <w:pPr>
              <w:tabs>
                <w:tab w:val="num" w:pos="425"/>
              </w:tabs>
              <w:spacing w:before="100" w:beforeAutospacing="1" w:after="100" w:afterAutospacing="1"/>
              <w:rPr>
                <w:noProof/>
              </w:rPr>
            </w:pPr>
          </w:p>
        </w:tc>
        <w:tc>
          <w:tcPr>
            <w:tcW w:w="851" w:type="dxa"/>
            <w:tcMar>
              <w:top w:w="57" w:type="dxa"/>
              <w:left w:w="57" w:type="dxa"/>
              <w:bottom w:w="57" w:type="dxa"/>
              <w:right w:w="57" w:type="dxa"/>
            </w:tcMar>
          </w:tcPr>
          <w:p>
            <w:pPr>
              <w:tabs>
                <w:tab w:val="num" w:pos="425"/>
              </w:tabs>
              <w:spacing w:before="100" w:beforeAutospacing="1" w:after="100" w:afterAutospacing="1"/>
              <w:rPr>
                <w:noProof/>
              </w:rPr>
            </w:pPr>
          </w:p>
        </w:tc>
        <w:tc>
          <w:tcPr>
            <w:tcW w:w="1559" w:type="dxa"/>
            <w:tcMar>
              <w:top w:w="57" w:type="dxa"/>
              <w:left w:w="57" w:type="dxa"/>
              <w:bottom w:w="57" w:type="dxa"/>
              <w:right w:w="57" w:type="dxa"/>
            </w:tcMar>
          </w:tcPr>
          <w:p>
            <w:pPr>
              <w:tabs>
                <w:tab w:val="num" w:pos="425"/>
              </w:tabs>
              <w:spacing w:before="100" w:beforeAutospacing="1" w:after="100" w:afterAutospacing="1"/>
              <w:jc w:val="left"/>
              <w:rPr>
                <w:noProof/>
              </w:rPr>
            </w:pPr>
          </w:p>
        </w:tc>
      </w:tr>
      <w:tr>
        <w:trPr>
          <w:trHeight w:val="1160"/>
        </w:trPr>
        <w:tc>
          <w:tcPr>
            <w:tcW w:w="1418" w:type="dxa"/>
            <w:vMerge w:val="restart"/>
            <w:tcBorders>
              <w:top w:val="double" w:sz="4" w:space="0" w:color="auto"/>
            </w:tcBorders>
            <w:tcMar>
              <w:top w:w="57" w:type="dxa"/>
              <w:left w:w="57" w:type="dxa"/>
              <w:bottom w:w="57" w:type="dxa"/>
              <w:right w:w="57" w:type="dxa"/>
            </w:tcMar>
          </w:tcPr>
          <w:p>
            <w:pPr>
              <w:tabs>
                <w:tab w:val="num" w:pos="425"/>
              </w:tabs>
              <w:spacing w:before="100" w:beforeAutospacing="1" w:after="100" w:afterAutospacing="1"/>
              <w:rPr>
                <w:b/>
                <w:bCs/>
                <w:noProof/>
              </w:rPr>
            </w:pPr>
            <w:r>
              <w:rPr>
                <w:b/>
                <w:bCs/>
                <w:noProof/>
              </w:rPr>
              <w:t>Personnel costs</w:t>
            </w:r>
          </w:p>
        </w:tc>
        <w:tc>
          <w:tcPr>
            <w:tcW w:w="992" w:type="dxa"/>
            <w:tcBorders>
              <w:top w:val="double" w:sz="4" w:space="0" w:color="auto"/>
              <w:right w:val="double" w:sz="4" w:space="0" w:color="auto"/>
            </w:tcBorders>
            <w:tcMar>
              <w:top w:w="57" w:type="dxa"/>
              <w:left w:w="57" w:type="dxa"/>
              <w:bottom w:w="57" w:type="dxa"/>
              <w:right w:w="57" w:type="dxa"/>
            </w:tcMar>
            <w:vAlign w:val="center"/>
          </w:tcPr>
          <w:p>
            <w:pPr>
              <w:tabs>
                <w:tab w:val="num" w:pos="425"/>
              </w:tabs>
              <w:spacing w:before="100" w:beforeAutospacing="1" w:after="100" w:afterAutospacing="1"/>
              <w:rPr>
                <w:noProof/>
              </w:rPr>
            </w:pPr>
            <w:r>
              <w:rPr>
                <w:noProof/>
              </w:rPr>
              <w:t>Direct costs</w:t>
            </w:r>
          </w:p>
        </w:tc>
        <w:tc>
          <w:tcPr>
            <w:tcW w:w="676" w:type="dxa"/>
            <w:tcBorders>
              <w:top w:val="double" w:sz="4" w:space="0" w:color="auto"/>
              <w:left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1167" w:type="dxa"/>
            <w:tcBorders>
              <w:top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933" w:type="dxa"/>
            <w:tcBorders>
              <w:top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1051" w:type="dxa"/>
            <w:tcBorders>
              <w:top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851" w:type="dxa"/>
            <w:tcBorders>
              <w:top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1559" w:type="dxa"/>
            <w:tcBorders>
              <w:top w:val="double" w:sz="4" w:space="0" w:color="auto"/>
            </w:tcBorders>
            <w:tcMar>
              <w:top w:w="57" w:type="dxa"/>
              <w:left w:w="57" w:type="dxa"/>
              <w:bottom w:w="57" w:type="dxa"/>
              <w:right w:w="57" w:type="dxa"/>
            </w:tcMar>
          </w:tcPr>
          <w:p>
            <w:pPr>
              <w:tabs>
                <w:tab w:val="num" w:pos="425"/>
              </w:tabs>
              <w:spacing w:before="100" w:beforeAutospacing="1" w:after="100" w:afterAutospacing="1"/>
              <w:jc w:val="left"/>
              <w:rPr>
                <w:noProof/>
              </w:rPr>
            </w:pPr>
            <w:r>
              <w:rPr>
                <w:noProof/>
              </w:rPr>
              <w:t>EUR 6.3 million</w:t>
            </w:r>
            <w:r>
              <w:rPr>
                <w:rStyle w:val="FootnoteReference"/>
                <w:noProof/>
              </w:rPr>
              <w:footnoteReference w:id="14"/>
            </w:r>
            <w:r>
              <w:rPr>
                <w:noProof/>
              </w:rPr>
              <w:t xml:space="preserve"> to cover the cost of 56 staff</w:t>
            </w:r>
          </w:p>
        </w:tc>
      </w:tr>
      <w:tr>
        <w:trPr>
          <w:trHeight w:val="501"/>
        </w:trPr>
        <w:tc>
          <w:tcPr>
            <w:tcW w:w="1418" w:type="dxa"/>
            <w:vMerge/>
            <w:tcMar>
              <w:top w:w="57" w:type="dxa"/>
              <w:left w:w="57" w:type="dxa"/>
              <w:bottom w:w="57" w:type="dxa"/>
              <w:right w:w="57" w:type="dxa"/>
            </w:tcMar>
          </w:tcPr>
          <w:p>
            <w:pPr>
              <w:tabs>
                <w:tab w:val="num" w:pos="425"/>
              </w:tabs>
              <w:spacing w:before="100" w:beforeAutospacing="1" w:after="100" w:afterAutospacing="1"/>
              <w:rPr>
                <w:noProof/>
              </w:rPr>
            </w:pPr>
          </w:p>
        </w:tc>
        <w:tc>
          <w:tcPr>
            <w:tcW w:w="992" w:type="dxa"/>
            <w:tcBorders>
              <w:right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r>
              <w:rPr>
                <w:noProof/>
              </w:rPr>
              <w:t>Indirect costs</w:t>
            </w:r>
          </w:p>
        </w:tc>
        <w:tc>
          <w:tcPr>
            <w:tcW w:w="676" w:type="dxa"/>
            <w:tcBorders>
              <w:left w:val="double" w:sz="4" w:space="0" w:color="auto"/>
            </w:tcBorders>
            <w:tcMar>
              <w:top w:w="57" w:type="dxa"/>
              <w:left w:w="57" w:type="dxa"/>
              <w:bottom w:w="57" w:type="dxa"/>
              <w:right w:w="57" w:type="dxa"/>
            </w:tcMar>
          </w:tcPr>
          <w:p>
            <w:pPr>
              <w:tabs>
                <w:tab w:val="num" w:pos="425"/>
              </w:tabs>
              <w:spacing w:before="100" w:beforeAutospacing="1" w:after="100" w:afterAutospacing="1"/>
              <w:rPr>
                <w:noProof/>
              </w:rPr>
            </w:pPr>
          </w:p>
        </w:tc>
        <w:tc>
          <w:tcPr>
            <w:tcW w:w="1167" w:type="dxa"/>
            <w:tcMar>
              <w:top w:w="57" w:type="dxa"/>
              <w:left w:w="57" w:type="dxa"/>
              <w:bottom w:w="57" w:type="dxa"/>
              <w:right w:w="57" w:type="dxa"/>
            </w:tcMar>
          </w:tcPr>
          <w:p>
            <w:pPr>
              <w:tabs>
                <w:tab w:val="num" w:pos="425"/>
              </w:tabs>
              <w:spacing w:before="100" w:beforeAutospacing="1" w:after="100" w:afterAutospacing="1"/>
              <w:rPr>
                <w:noProof/>
              </w:rPr>
            </w:pPr>
          </w:p>
        </w:tc>
        <w:tc>
          <w:tcPr>
            <w:tcW w:w="933" w:type="dxa"/>
            <w:tcMar>
              <w:top w:w="57" w:type="dxa"/>
              <w:left w:w="57" w:type="dxa"/>
              <w:bottom w:w="57" w:type="dxa"/>
              <w:right w:w="57" w:type="dxa"/>
            </w:tcMar>
          </w:tcPr>
          <w:p>
            <w:pPr>
              <w:tabs>
                <w:tab w:val="num" w:pos="425"/>
              </w:tabs>
              <w:spacing w:before="100" w:beforeAutospacing="1" w:after="100" w:afterAutospacing="1"/>
              <w:rPr>
                <w:noProof/>
              </w:rPr>
            </w:pPr>
          </w:p>
        </w:tc>
        <w:tc>
          <w:tcPr>
            <w:tcW w:w="1051" w:type="dxa"/>
            <w:tcMar>
              <w:top w:w="57" w:type="dxa"/>
              <w:left w:w="57" w:type="dxa"/>
              <w:bottom w:w="57" w:type="dxa"/>
              <w:right w:w="57" w:type="dxa"/>
            </w:tcMar>
          </w:tcPr>
          <w:p>
            <w:pPr>
              <w:tabs>
                <w:tab w:val="num" w:pos="425"/>
              </w:tabs>
              <w:spacing w:before="100" w:beforeAutospacing="1" w:after="100" w:afterAutospacing="1"/>
              <w:rPr>
                <w:noProof/>
              </w:rPr>
            </w:pPr>
          </w:p>
        </w:tc>
        <w:tc>
          <w:tcPr>
            <w:tcW w:w="851" w:type="dxa"/>
            <w:tcMar>
              <w:top w:w="57" w:type="dxa"/>
              <w:left w:w="57" w:type="dxa"/>
              <w:bottom w:w="57" w:type="dxa"/>
              <w:right w:w="57" w:type="dxa"/>
            </w:tcMar>
          </w:tcPr>
          <w:p>
            <w:pPr>
              <w:tabs>
                <w:tab w:val="num" w:pos="425"/>
              </w:tabs>
              <w:spacing w:before="100" w:beforeAutospacing="1" w:after="100" w:afterAutospacing="1"/>
              <w:rPr>
                <w:noProof/>
              </w:rPr>
            </w:pPr>
          </w:p>
        </w:tc>
        <w:tc>
          <w:tcPr>
            <w:tcW w:w="1559" w:type="dxa"/>
            <w:tcMar>
              <w:top w:w="57" w:type="dxa"/>
              <w:left w:w="57" w:type="dxa"/>
              <w:bottom w:w="57" w:type="dxa"/>
              <w:right w:w="57" w:type="dxa"/>
            </w:tcMar>
          </w:tcPr>
          <w:p>
            <w:pPr>
              <w:tabs>
                <w:tab w:val="num" w:pos="425"/>
              </w:tabs>
              <w:spacing w:before="100" w:beforeAutospacing="1" w:after="100" w:afterAutospacing="1"/>
              <w:rPr>
                <w:noProof/>
              </w:rPr>
            </w:pPr>
          </w:p>
        </w:tc>
      </w:tr>
    </w:tbl>
    <w:p>
      <w:pPr>
        <w:pStyle w:val="ListParagraph"/>
        <w:numPr>
          <w:ilvl w:val="0"/>
          <w:numId w:val="37"/>
        </w:numPr>
        <w:spacing w:before="100" w:beforeAutospacing="1" w:after="100" w:afterAutospacing="1"/>
        <w:ind w:right="-964"/>
        <w:rPr>
          <w:i/>
          <w:noProof/>
          <w:sz w:val="20"/>
          <w:lang w:val="en-GB"/>
        </w:rPr>
      </w:pPr>
      <w:r>
        <w:rPr>
          <w:i/>
          <w:noProof/>
          <w:sz w:val="20"/>
          <w:lang w:val="en-GB"/>
        </w:rPr>
        <w:t xml:space="preserve">Estimates to be provided with respect to the baseline; (2) costs are provided for each identifiable action/obligation of the </w:t>
      </w:r>
      <w:r>
        <w:rPr>
          <w:i/>
          <w:noProof/>
          <w:sz w:val="20"/>
          <w:u w:val="single"/>
          <w:lang w:val="en-GB"/>
        </w:rPr>
        <w:t>preferred</w:t>
      </w:r>
      <w:r>
        <w:rPr>
          <w:i/>
          <w:noProof/>
          <w:sz w:val="20"/>
          <w:lang w:val="en-GB"/>
        </w:rPr>
        <w:t xml:space="preserve"> option otherwise for all retained options when no preferred option is specified; (3) If relevant and available, please present information on costs according to the standard typology of costs (compliance costs, regulatory charges, hassle costs, administrative costs, enforcement costs, indirect costs; see section 6 of the attached guidance).</w:t>
      </w:r>
    </w:p>
    <w:p>
      <w:pPr>
        <w:spacing w:before="100" w:beforeAutospacing="1" w:after="100" w:afterAutospacing="1"/>
        <w:ind w:right="-964"/>
        <w:rPr>
          <w:i/>
          <w:noProof/>
          <w:sz w:val="20"/>
        </w:rPr>
      </w:pPr>
    </w:p>
    <w:p>
      <w:pPr>
        <w:pStyle w:val="ListDash1"/>
        <w:numPr>
          <w:ilvl w:val="0"/>
          <w:numId w:val="0"/>
        </w:numPr>
        <w:spacing w:before="100" w:beforeAutospacing="1" w:after="100" w:afterAutospacing="1"/>
        <w:rPr>
          <w:noProof/>
          <w:lang w:eastAsia="en-US"/>
        </w:rPr>
      </w:pPr>
      <w:r>
        <w:rPr>
          <w:noProof/>
          <w:lang w:eastAsia="en-US"/>
        </w:rPr>
        <w:t>All these individual costs and benefits are likely to contribute to, or even trigger, changes in the health care systems. For individual citizens, this could mean that the health care will shift from disease/incident-based treatments to more holistic care throughout the lifetime.</w:t>
      </w:r>
    </w:p>
    <w:p>
      <w:pPr>
        <w:pStyle w:val="Default"/>
        <w:spacing w:before="100" w:beforeAutospacing="1" w:after="100" w:afterAutospacing="1"/>
        <w:rPr>
          <w:b/>
          <w:bCs/>
          <w:noProof/>
          <w:sz w:val="23"/>
          <w:szCs w:val="23"/>
          <w:lang w:val="en-GB"/>
        </w:rPr>
      </w:pPr>
      <w:r>
        <w:rPr>
          <w:b/>
          <w:bCs/>
          <w:noProof/>
          <w:sz w:val="23"/>
          <w:szCs w:val="23"/>
          <w:lang w:val="en-GB"/>
        </w:rPr>
        <w:t xml:space="preserve">REFIT Cost savings table </w:t>
      </w:r>
    </w:p>
    <w:p>
      <w:pPr>
        <w:pStyle w:val="ListDash1"/>
        <w:numPr>
          <w:ilvl w:val="0"/>
          <w:numId w:val="0"/>
        </w:numPr>
        <w:spacing w:before="100" w:beforeAutospacing="1" w:after="100" w:afterAutospacing="1"/>
        <w:rPr>
          <w:noProof/>
          <w:lang w:eastAsia="en-US"/>
        </w:rPr>
      </w:pPr>
      <w:r>
        <w:rPr>
          <w:noProof/>
          <w:sz w:val="23"/>
          <w:szCs w:val="23"/>
        </w:rPr>
        <w:t>Not applicable for the proposed Innovative Health partnership. The initiative will build on the existing implementation structure (the Programme Office) already in place for IMI2 JU. There are no additional regulatory costs associated, and no specific simplification measures apply in this case.</w:t>
      </w:r>
    </w:p>
    <w:p>
      <w:pPr>
        <w:spacing w:before="100" w:beforeAutospacing="1" w:after="100" w:afterAutospacing="1"/>
        <w:ind w:right="-964"/>
        <w:rPr>
          <w:i/>
          <w:noProof/>
          <w:sz w:val="20"/>
        </w:rPr>
      </w:pPr>
    </w:p>
    <w:p>
      <w:pPr>
        <w:pStyle w:val="AnnexTitle"/>
        <w:numPr>
          <w:ilvl w:val="0"/>
          <w:numId w:val="0"/>
        </w:numPr>
        <w:spacing w:before="100" w:beforeAutospacing="1" w:after="100" w:afterAutospacing="1"/>
        <w:ind w:left="2268" w:hanging="2268"/>
        <w:rPr>
          <w:noProof/>
        </w:rPr>
      </w:pPr>
      <w:bookmarkStart w:id="98" w:name="_Toc52793622"/>
      <w:r>
        <w:rPr>
          <w:noProof/>
        </w:rPr>
        <w:t>Annex 4</w:t>
      </w:r>
      <w:r>
        <w:rPr>
          <w:noProof/>
        </w:rPr>
        <w:tab/>
        <w:t>Analytical Methods</w:t>
      </w:r>
      <w:bookmarkEnd w:id="98"/>
    </w:p>
    <w:p>
      <w:pPr>
        <w:pStyle w:val="Text2"/>
        <w:spacing w:before="100" w:beforeAutospacing="1" w:after="100" w:afterAutospacing="1"/>
        <w:ind w:left="0"/>
        <w:rPr>
          <w:noProof/>
        </w:rPr>
      </w:pPr>
      <w:r>
        <w:rPr>
          <w:noProof/>
        </w:rPr>
        <w:t>The methodology for each impact assessment is based on the Commission Better Regulation Guidelines</w:t>
      </w:r>
      <w:r>
        <w:rPr>
          <w:rStyle w:val="FootnoteReference"/>
          <w:noProof/>
        </w:rPr>
        <w:footnoteReference w:id="15"/>
      </w:r>
      <w:r>
        <w:rPr>
          <w:noProof/>
        </w:rPr>
        <w:t xml:space="preserve"> to evaluate and compare options with regards to their </w:t>
      </w:r>
      <w:r>
        <w:rPr>
          <w:b/>
          <w:noProof/>
        </w:rPr>
        <w:t>efficiency, effectiveness and coherence</w:t>
      </w:r>
      <w:r>
        <w:rPr>
          <w:noProof/>
        </w:rPr>
        <w:t xml:space="preserve">. This is complemented by integrating the </w:t>
      </w:r>
      <w:r>
        <w:rPr>
          <w:b/>
          <w:noProof/>
        </w:rPr>
        <w:t>conditions and</w:t>
      </w:r>
      <w:r>
        <w:rPr>
          <w:noProof/>
        </w:rPr>
        <w:t xml:space="preserve"> </w:t>
      </w:r>
      <w:r>
        <w:rPr>
          <w:b/>
          <w:noProof/>
        </w:rPr>
        <w:t>selection criteria for European Partnerships</w:t>
      </w:r>
      <w:r>
        <w:rPr>
          <w:noProof/>
        </w:rPr>
        <w:t>, as well as requirements for setting up Institutionalised Partnerships.</w:t>
      </w:r>
      <w:r>
        <w:rPr>
          <w:rStyle w:val="FootnoteReference"/>
          <w:noProof/>
        </w:rPr>
        <w:footnoteReference w:id="16"/>
      </w:r>
      <w:r>
        <w:rPr>
          <w:noProof/>
        </w:rPr>
        <w:t xml:space="preserve"> </w:t>
      </w:r>
    </w:p>
    <w:p>
      <w:pPr>
        <w:pStyle w:val="Heading1"/>
        <w:numPr>
          <w:ilvl w:val="0"/>
          <w:numId w:val="32"/>
        </w:numPr>
        <w:spacing w:before="100" w:beforeAutospacing="1" w:after="100" w:afterAutospacing="1"/>
        <w:rPr>
          <w:noProof/>
        </w:rPr>
      </w:pPr>
      <w:bookmarkStart w:id="99" w:name="_Toc33117155"/>
      <w:bookmarkStart w:id="100" w:name="_Toc52793623"/>
      <w:r>
        <w:rPr>
          <w:noProof/>
        </w:rPr>
        <w:t>Overview of the methodologies employed</w:t>
      </w:r>
      <w:bookmarkEnd w:id="99"/>
      <w:bookmarkEnd w:id="100"/>
      <w:r>
        <w:rPr>
          <w:noProof/>
        </w:rPr>
        <w:t xml:space="preserve"> </w:t>
      </w:r>
    </w:p>
    <w:p>
      <w:pPr>
        <w:spacing w:before="100" w:beforeAutospacing="1" w:after="100" w:afterAutospacing="1"/>
        <w:rPr>
          <w:noProof/>
          <w:szCs w:val="24"/>
        </w:rPr>
      </w:pPr>
      <w:r>
        <w:rPr>
          <w:noProof/>
        </w:rPr>
        <w:t xml:space="preserve">In terms of </w:t>
      </w:r>
      <w:r>
        <w:rPr>
          <w:b/>
          <w:noProof/>
        </w:rPr>
        <w:t>methods and evidence used</w:t>
      </w:r>
      <w:r>
        <w:rPr>
          <w:noProof/>
        </w:rPr>
        <w:t xml:space="preserve">, the set of impact assessments for all candidate </w:t>
      </w:r>
      <w:r>
        <w:rPr>
          <w:noProof/>
          <w:szCs w:val="24"/>
        </w:rPr>
        <w:t xml:space="preserve">Institutionalised European Partnerships draw on an external study covering all initiatives in parallel to ensure a high level of coherence and comparability of analysis </w:t>
      </w:r>
      <w:r>
        <w:rPr>
          <w:rStyle w:val="FootnoteReference"/>
          <w:noProof/>
          <w:szCs w:val="24"/>
        </w:rPr>
        <w:footnoteReference w:id="17"/>
      </w:r>
      <w:r>
        <w:rPr>
          <w:noProof/>
          <w:szCs w:val="24"/>
        </w:rPr>
        <w:t xml:space="preserve"> (Technopolis Group, 2020). </w:t>
      </w:r>
    </w:p>
    <w:p>
      <w:pPr>
        <w:pStyle w:val="Body"/>
        <w:spacing w:before="100" w:beforeAutospacing="1" w:after="100" w:afterAutospacing="1" w:line="240" w:lineRule="auto"/>
        <w:rPr>
          <w:noProof/>
          <w:sz w:val="24"/>
          <w:lang w:eastAsia="ja-JP"/>
        </w:rPr>
      </w:pPr>
      <w:r>
        <w:rPr>
          <w:noProof/>
          <w:sz w:val="24"/>
        </w:rPr>
        <w:t xml:space="preserve">All impact assessment mobilised a mix of qualitative and quantitative data collection and analysis methods. These methods range from desk research and interviews to the analysis of the responses to the Open Consultation, stakeholder analysis and composition/portfolio analysis, bibliometrics/patent analysis and social network analysis, and a cost-effectiveness analysis. </w:t>
      </w:r>
    </w:p>
    <w:p>
      <w:pPr>
        <w:pStyle w:val="Body"/>
        <w:spacing w:before="100" w:beforeAutospacing="1" w:after="100" w:afterAutospacing="1" w:line="240" w:lineRule="auto"/>
        <w:rPr>
          <w:noProof/>
          <w:sz w:val="24"/>
        </w:rPr>
      </w:pPr>
      <w:r>
        <w:rPr>
          <w:noProof/>
          <w:sz w:val="24"/>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pStyle w:val="Body"/>
        <w:spacing w:before="100" w:beforeAutospacing="1" w:after="100" w:afterAutospacing="1" w:line="240" w:lineRule="auto"/>
        <w:rPr>
          <w:noProof/>
          <w:sz w:val="24"/>
        </w:rPr>
      </w:pPr>
      <w:r>
        <w:rPr>
          <w:noProof/>
          <w:sz w:val="24"/>
        </w:rPr>
        <w:t xml:space="preserve">In the assessment of the problems to address, the lessons to be learned from past and ongoing partnerships were taken into account, especially from relevant midterm or ex-post evaluations. </w:t>
      </w:r>
    </w:p>
    <w:p>
      <w:pPr>
        <w:pStyle w:val="Body"/>
        <w:spacing w:before="100" w:beforeAutospacing="1" w:after="100" w:afterAutospacing="1" w:line="240" w:lineRule="auto"/>
        <w:rPr>
          <w:noProof/>
          <w:sz w:val="24"/>
        </w:rPr>
      </w:pPr>
      <w:r>
        <w:rPr>
          <w:noProof/>
          <w:sz w:val="24"/>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pStyle w:val="Body"/>
        <w:spacing w:before="100" w:beforeAutospacing="1" w:after="100" w:afterAutospacing="1" w:line="240" w:lineRule="auto"/>
        <w:rPr>
          <w:noProof/>
          <w:sz w:val="24"/>
        </w:rPr>
      </w:pPr>
      <w:r>
        <w:rPr>
          <w:noProof/>
          <w:sz w:val="24"/>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pStyle w:val="Body"/>
        <w:spacing w:before="100" w:beforeAutospacing="1" w:after="100" w:afterAutospacing="1" w:line="240" w:lineRule="auto"/>
        <w:rPr>
          <w:noProof/>
          <w:sz w:val="24"/>
        </w:rPr>
      </w:pPr>
      <w:r>
        <w:rPr>
          <w:noProof/>
          <w:sz w:val="24"/>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before="100" w:beforeAutospacing="1" w:after="100" w:afterAutospacing="1"/>
        <w:rPr>
          <w:noProof/>
        </w:rPr>
      </w:pPr>
      <w:r>
        <w:rPr>
          <w:noProof/>
          <w:szCs w:val="24"/>
        </w:rPr>
        <w:t xml:space="preserve">A cost modelling exercise was performed in order to feed into the efficiency assessments of the partnership options. </w:t>
      </w:r>
    </w:p>
    <w:p>
      <w:pPr>
        <w:pStyle w:val="Body"/>
        <w:spacing w:before="100" w:beforeAutospacing="1" w:after="100" w:afterAutospacing="1" w:line="240" w:lineRule="auto"/>
        <w:rPr>
          <w:noProof/>
          <w:sz w:val="24"/>
        </w:rPr>
      </w:pPr>
      <w:r>
        <w:rPr>
          <w:noProof/>
          <w:sz w:val="24"/>
        </w:rPr>
        <w:t xml:space="preserve">The conclusions drawn from the data analysis were confronted to the views of experts and stakeholders collected via three means: </w:t>
      </w:r>
    </w:p>
    <w:p>
      <w:pPr>
        <w:pStyle w:val="ListBullet"/>
        <w:numPr>
          <w:ilvl w:val="0"/>
          <w:numId w:val="31"/>
        </w:numPr>
        <w:spacing w:before="100" w:beforeAutospacing="1" w:after="100" w:afterAutospacing="1"/>
        <w:rPr>
          <w:noProof/>
          <w:szCs w:val="24"/>
        </w:rPr>
      </w:pPr>
      <w:r>
        <w:rPr>
          <w:noProof/>
          <w:szCs w:val="24"/>
        </w:rPr>
        <w:t>The comments to the inception impact assessments of the individual candidate institutionalised European Partnerships;</w:t>
      </w:r>
    </w:p>
    <w:p>
      <w:pPr>
        <w:pStyle w:val="ListBullet"/>
        <w:numPr>
          <w:ilvl w:val="0"/>
          <w:numId w:val="31"/>
        </w:numPr>
        <w:spacing w:before="100" w:beforeAutospacing="1" w:after="100" w:afterAutospacing="1"/>
        <w:rPr>
          <w:noProof/>
          <w:szCs w:val="24"/>
        </w:rPr>
      </w:pPr>
      <w:r>
        <w:rPr>
          <w:noProof/>
          <w:szCs w:val="24"/>
        </w:rPr>
        <w:t>The open public consultation organised by the European Commission from September to November 2019;</w:t>
      </w:r>
    </w:p>
    <w:p>
      <w:pPr>
        <w:pStyle w:val="ListBullet"/>
        <w:numPr>
          <w:ilvl w:val="0"/>
          <w:numId w:val="31"/>
        </w:numPr>
        <w:spacing w:before="100" w:beforeAutospacing="1" w:after="100" w:afterAutospacing="1"/>
        <w:rPr>
          <w:noProof/>
          <w:szCs w:val="24"/>
        </w:rPr>
      </w:pPr>
      <w:r>
        <w:rPr>
          <w:noProof/>
          <w:szCs w:val="24"/>
        </w:rPr>
        <w:t xml:space="preserve">The interviews (up to 50) conducted by each impact assessment study team conducted between August 2019 and January 2020 </w:t>
      </w:r>
      <w:r>
        <w:rPr>
          <w:noProof/>
        </w:rPr>
        <w:t>(policymakers, business including SMEs and business associations, research institutes and universities, and civil organisations, among others)</w:t>
      </w:r>
      <w:r>
        <w:rPr>
          <w:noProof/>
          <w:szCs w:val="24"/>
        </w:rPr>
        <w:t xml:space="preserve">. </w:t>
      </w:r>
    </w:p>
    <w:p>
      <w:pPr>
        <w:pStyle w:val="Body"/>
        <w:spacing w:before="100" w:beforeAutospacing="1" w:after="100" w:afterAutospacing="1" w:line="240" w:lineRule="auto"/>
        <w:rPr>
          <w:noProof/>
          <w:sz w:val="24"/>
          <w:szCs w:val="20"/>
          <w:lang w:eastAsia="fr-BE"/>
        </w:rPr>
      </w:pPr>
      <w:r>
        <w:rPr>
          <w:noProof/>
          <w:sz w:val="24"/>
          <w:szCs w:val="20"/>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pStyle w:val="Body"/>
        <w:spacing w:before="100" w:beforeAutospacing="1" w:after="100" w:afterAutospacing="1"/>
        <w:rPr>
          <w:noProof/>
          <w:sz w:val="24"/>
          <w:szCs w:val="20"/>
          <w:lang w:eastAsia="fr-BE"/>
        </w:rPr>
      </w:pPr>
      <w:r>
        <w:rPr>
          <w:noProof/>
          <w:sz w:val="24"/>
          <w:szCs w:val="20"/>
          <w:lang w:eastAsia="fr-BE"/>
        </w:rPr>
        <w:t xml:space="preserve">Annex 2 includes also the main outcomes of the stakeholder consultation exercises. </w:t>
      </w:r>
    </w:p>
    <w:p>
      <w:pPr>
        <w:pStyle w:val="ListBullet"/>
        <w:numPr>
          <w:ilvl w:val="0"/>
          <w:numId w:val="0"/>
        </w:numPr>
        <w:spacing w:before="100" w:beforeAutospacing="1" w:after="100" w:afterAutospacing="1"/>
        <w:ind w:left="283" w:hanging="283"/>
        <w:rPr>
          <w:noProof/>
          <w:szCs w:val="24"/>
        </w:rPr>
      </w:pPr>
    </w:p>
    <w:p>
      <w:pPr>
        <w:pStyle w:val="Heading1"/>
        <w:spacing w:before="100" w:beforeAutospacing="1" w:after="100" w:afterAutospacing="1"/>
        <w:rPr>
          <w:noProof/>
        </w:rPr>
      </w:pPr>
      <w:bookmarkStart w:id="101" w:name="_Toc33117156"/>
      <w:bookmarkStart w:id="102" w:name="_Toc52793624"/>
      <w:r>
        <w:rPr>
          <w:noProof/>
        </w:rPr>
        <w:t>Method for assessing the effectiveness, efficiency and coherence of each option</w:t>
      </w:r>
      <w:bookmarkEnd w:id="101"/>
      <w:r>
        <w:rPr>
          <w:noProof/>
        </w:rPr>
        <w:t xml:space="preserve"> - The use of functionalities</w:t>
      </w:r>
      <w:bookmarkEnd w:id="102"/>
    </w:p>
    <w:p>
      <w:pPr>
        <w:spacing w:before="100" w:beforeAutospacing="1" w:after="100" w:afterAutospacing="1"/>
        <w:rPr>
          <w:noProof/>
        </w:rPr>
      </w:pPr>
      <w:r>
        <w:rPr>
          <w:noProof/>
        </w:rPr>
        <w:t>Given the focus of the impact assessment on comparing different forms of implementation, the Better Regulation framework has been adapted to introduce “</w:t>
      </w:r>
      <w:r>
        <w:rPr>
          <w:b/>
          <w:noProof/>
        </w:rPr>
        <w:t>functionalities</w:t>
      </w:r>
      <w:r>
        <w:rPr>
          <w:noProof/>
        </w:rPr>
        <w:t xml:space="preserve">”. These are used to reflect </w:t>
      </w:r>
      <w:r>
        <w:rPr>
          <w:i/>
          <w:iCs/>
          <w:noProof/>
        </w:rPr>
        <w:t xml:space="preserve">what is needed in terms of implementation </w:t>
      </w:r>
      <w:r>
        <w:rPr>
          <w:iCs/>
          <w:noProof/>
        </w:rPr>
        <w:t xml:space="preserve">for </w:t>
      </w:r>
      <w:r>
        <w:rPr>
          <w:noProof/>
        </w:rPr>
        <w:t xml:space="preserve">each candidate initiative to be able to deliver on its objectives. The functionalities are the </w:t>
      </w:r>
      <w:r>
        <w:rPr>
          <w:b/>
          <w:noProof/>
        </w:rPr>
        <w:t>distinguishing factors</w:t>
      </w:r>
      <w:r>
        <w:rPr>
          <w:noProof/>
        </w:rPr>
        <w:t xml:space="preserve"> between the different options and are directly linked to the European Partnerships’ selection criteria of openness and transparency, additionality and directionality (see Annex 6). Based on the objectives identified and the targeted impact, functionalities describe what this requires in terms of implementation. Each form of implementation is then assessed to establish to which degree it would allow for these functionalities to be covered, e.g. the type and composition of actors that can be involved (‘openness’), the range of activities that can be performed (including additionality and level of integration), the level of directionality and integration of stakeholders’ R&amp;I strategies</w:t>
      </w:r>
      <w:r>
        <w:rPr>
          <w:rStyle w:val="FootnoteReference"/>
          <w:noProof/>
        </w:rPr>
        <w:footnoteReference w:id="18"/>
      </w:r>
      <w:r>
        <w:rPr>
          <w:noProof/>
        </w:rPr>
        <w:t>; the possibilities offered for coherence and synergies with other components of Horizon Europe, including other Partnerships (internal coherence), and the coherence with other EU, national or regional policy environments, including with the relevant regulatory and standardisation framework (external coherence). This approach guides the identification of discarded options and allows a structured comparison of the options against the selection criteria for European Partnerships.</w:t>
      </w:r>
    </w:p>
    <w:p>
      <w:pPr>
        <w:pStyle w:val="Caption"/>
        <w:keepNext/>
        <w:spacing w:before="100" w:beforeAutospacing="1" w:after="100" w:afterAutospacing="1"/>
        <w:rPr>
          <w:noProof/>
        </w:rPr>
      </w:pPr>
      <w:r>
        <w:rPr>
          <w:noProof/>
        </w:rPr>
        <w:t>Figure 1. Overview of key functionalities of each form of implementation of European Partnerships</w:t>
      </w:r>
    </w:p>
    <w:tbl>
      <w:tblPr>
        <w:tblStyle w:val="CV11"/>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before="100" w:beforeAutospacing="1" w:after="100" w:afterAutospacing="1"/>
              <w:jc w:val="left"/>
              <w:rPr>
                <w:b/>
                <w:noProof/>
              </w:rPr>
            </w:pPr>
            <w:r>
              <w:rPr>
                <w:b/>
                <w:noProof/>
              </w:rPr>
              <w:t>Baseline: Horizon Europe calls</w:t>
            </w:r>
          </w:p>
        </w:tc>
        <w:tc>
          <w:tcPr>
            <w:tcW w:w="1985" w:type="dxa"/>
            <w:shd w:val="clear" w:color="auto" w:fill="ACB9CA" w:themeFill="text2" w:themeFillTint="66"/>
          </w:tcPr>
          <w:p>
            <w:pPr>
              <w:keepNext/>
              <w:spacing w:before="100" w:beforeAutospacing="1" w:after="100" w:afterAutospacing="1"/>
              <w:jc w:val="left"/>
              <w:rPr>
                <w:b/>
                <w:noProof/>
              </w:rPr>
            </w:pPr>
            <w:r>
              <w:rPr>
                <w:b/>
                <w:noProof/>
              </w:rPr>
              <w:t>Option 1: Co-programmed</w:t>
            </w:r>
          </w:p>
        </w:tc>
        <w:tc>
          <w:tcPr>
            <w:tcW w:w="1843" w:type="dxa"/>
            <w:shd w:val="clear" w:color="auto" w:fill="ACB9CA" w:themeFill="text2" w:themeFillTint="66"/>
          </w:tcPr>
          <w:p>
            <w:pPr>
              <w:keepNext/>
              <w:spacing w:before="100" w:beforeAutospacing="1" w:after="100" w:afterAutospacing="1"/>
              <w:jc w:val="left"/>
              <w:rPr>
                <w:b/>
                <w:noProof/>
              </w:rPr>
            </w:pPr>
            <w:r>
              <w:rPr>
                <w:b/>
                <w:noProof/>
              </w:rPr>
              <w:t>Option 2: Co-funded</w:t>
            </w:r>
          </w:p>
        </w:tc>
        <w:tc>
          <w:tcPr>
            <w:tcW w:w="1964" w:type="dxa"/>
            <w:shd w:val="clear" w:color="auto" w:fill="ACB9CA" w:themeFill="text2" w:themeFillTint="66"/>
          </w:tcPr>
          <w:p>
            <w:pPr>
              <w:keepNext/>
              <w:spacing w:before="100" w:beforeAutospacing="1" w:after="100" w:afterAutospacing="1"/>
              <w:jc w:val="left"/>
              <w:rPr>
                <w:b/>
                <w:noProof/>
              </w:rPr>
            </w:pPr>
            <w:r>
              <w:rPr>
                <w:b/>
                <w:noProof/>
              </w:rPr>
              <w:t>Option 3.1: Institutionalised Article 185</w:t>
            </w:r>
          </w:p>
        </w:tc>
        <w:tc>
          <w:tcPr>
            <w:tcW w:w="1896" w:type="dxa"/>
            <w:shd w:val="clear" w:color="auto" w:fill="ACB9CA" w:themeFill="text2" w:themeFillTint="66"/>
          </w:tcPr>
          <w:p>
            <w:pPr>
              <w:keepNext/>
              <w:spacing w:before="100" w:beforeAutospacing="1" w:after="100" w:afterAutospacing="1"/>
              <w:jc w:val="left"/>
              <w:rPr>
                <w:b/>
                <w:noProof/>
              </w:rPr>
            </w:pPr>
            <w:r>
              <w:rPr>
                <w:b/>
                <w:noProof/>
              </w:rPr>
              <w:t>Option 3.2: Institutionalised Article 187</w:t>
            </w:r>
          </w:p>
        </w:tc>
      </w:tr>
      <w:tr>
        <w:tc>
          <w:tcPr>
            <w:tcW w:w="9511" w:type="dxa"/>
            <w:gridSpan w:val="6"/>
          </w:tcPr>
          <w:p>
            <w:pPr>
              <w:spacing w:before="100" w:beforeAutospacing="1" w:after="100" w:afterAutospacing="1"/>
              <w:jc w:val="left"/>
              <w:rPr>
                <w:b/>
                <w:noProof/>
              </w:rPr>
            </w:pPr>
            <w:r>
              <w:rPr>
                <w:b/>
                <w:noProof/>
              </w:rPr>
              <w:t>Type and composition of actors (including openness and roles)</w:t>
            </w:r>
          </w:p>
        </w:tc>
      </w:tr>
      <w:tr>
        <w:trPr>
          <w:gridAfter w:val="1"/>
          <w:wAfter w:w="14" w:type="dxa"/>
        </w:trPr>
        <w:tc>
          <w:tcPr>
            <w:tcW w:w="1809" w:type="dxa"/>
          </w:tcPr>
          <w:p>
            <w:pPr>
              <w:spacing w:before="100" w:beforeAutospacing="1" w:after="100" w:afterAutospacing="1"/>
              <w:jc w:val="left"/>
              <w:rPr>
                <w:noProof/>
              </w:rPr>
            </w:pPr>
            <w:r>
              <w:rPr>
                <w:noProof/>
                <w:u w:val="single"/>
              </w:rPr>
              <w:t>Partners</w:t>
            </w:r>
            <w:r>
              <w:rPr>
                <w:noProof/>
              </w:rPr>
              <w:t xml:space="preserve">: N.A., </w:t>
            </w:r>
            <w:r>
              <w:rPr>
                <w:noProof/>
              </w:rPr>
              <w:br/>
              <w:t>no common set of actors that engage in planning and implementation</w:t>
            </w:r>
          </w:p>
          <w:p>
            <w:pPr>
              <w:spacing w:before="100" w:beforeAutospacing="1" w:after="100" w:afterAutospacing="1"/>
              <w:jc w:val="left"/>
              <w:rPr>
                <w:noProof/>
              </w:rPr>
            </w:pPr>
            <w:r>
              <w:rPr>
                <w:noProof/>
                <w:u w:val="single"/>
              </w:rPr>
              <w:t xml:space="preserve">Priority setting: </w:t>
            </w:r>
            <w:r>
              <w:rPr>
                <w:noProof/>
              </w:rPr>
              <w:t xml:space="preserve">open to all, part of Horizon Europe Strategic planning </w:t>
            </w:r>
          </w:p>
          <w:p>
            <w:pPr>
              <w:spacing w:before="100" w:beforeAutospacing="1" w:after="100" w:afterAutospacing="1"/>
              <w:jc w:val="left"/>
              <w:rPr>
                <w:noProof/>
              </w:rPr>
            </w:pPr>
            <w:r>
              <w:rPr>
                <w:noProof/>
                <w:u w:val="single"/>
              </w:rPr>
              <w:t>Participation in R&amp;I activities</w:t>
            </w:r>
            <w:r>
              <w:rPr>
                <w:noProof/>
              </w:rPr>
              <w:t xml:space="preserve">: fully open in line with standard Horizon Europe rules </w:t>
            </w:r>
          </w:p>
        </w:tc>
        <w:tc>
          <w:tcPr>
            <w:tcW w:w="1985" w:type="dxa"/>
          </w:tcPr>
          <w:p>
            <w:pPr>
              <w:spacing w:before="100" w:beforeAutospacing="1" w:after="100" w:afterAutospacing="1"/>
              <w:jc w:val="left"/>
              <w:rPr>
                <w:noProof/>
              </w:rPr>
            </w:pPr>
            <w:r>
              <w:rPr>
                <w:noProof/>
                <w:u w:val="single"/>
              </w:rPr>
              <w:t>Partners</w:t>
            </w:r>
            <w:r>
              <w:rPr>
                <w:noProof/>
              </w:rPr>
              <w:t>: Suitable for all types: private and/or public partners, foundations</w:t>
            </w:r>
          </w:p>
          <w:p>
            <w:pPr>
              <w:spacing w:before="100" w:beforeAutospacing="1" w:after="100" w:afterAutospacing="1"/>
              <w:jc w:val="left"/>
              <w:rPr>
                <w:noProof/>
              </w:rPr>
            </w:pPr>
            <w:r>
              <w:rPr>
                <w:noProof/>
                <w:u w:val="single"/>
              </w:rPr>
              <w:t xml:space="preserve">Priority setting: </w:t>
            </w:r>
            <w:r>
              <w:rPr>
                <w:noProof/>
              </w:rPr>
              <w:t xml:space="preserve">Driven by partners, open stakeholder consultation, MS in comitology </w:t>
            </w:r>
          </w:p>
          <w:p>
            <w:pPr>
              <w:spacing w:before="100" w:beforeAutospacing="1" w:after="100" w:afterAutospacing="1"/>
              <w:jc w:val="left"/>
              <w:rPr>
                <w:noProof/>
              </w:rPr>
            </w:pPr>
            <w:r>
              <w:rPr>
                <w:noProof/>
                <w:u w:val="single"/>
              </w:rPr>
              <w:t>Participation in R&amp;I activities</w:t>
            </w:r>
            <w:r>
              <w:rPr>
                <w:noProof/>
              </w:rPr>
              <w:t xml:space="preserve">: fully open in line with standard Horizon Europe rules </w:t>
            </w:r>
          </w:p>
        </w:tc>
        <w:tc>
          <w:tcPr>
            <w:tcW w:w="1843" w:type="dxa"/>
          </w:tcPr>
          <w:p>
            <w:pPr>
              <w:spacing w:before="100" w:beforeAutospacing="1" w:after="100" w:afterAutospacing="1"/>
              <w:jc w:val="left"/>
              <w:rPr>
                <w:noProof/>
              </w:rPr>
            </w:pPr>
            <w:r>
              <w:rPr>
                <w:noProof/>
                <w:u w:val="single"/>
              </w:rPr>
              <w:t>Partners</w:t>
            </w:r>
            <w:r>
              <w:rPr>
                <w:noProof/>
              </w:rPr>
              <w:t>: core of national funding bodies or govern-mental research organisations</w:t>
            </w:r>
          </w:p>
          <w:p>
            <w:pPr>
              <w:spacing w:before="100" w:beforeAutospacing="1" w:after="100" w:afterAutospacing="1"/>
              <w:jc w:val="left"/>
              <w:rPr>
                <w:noProof/>
              </w:rPr>
            </w:pPr>
            <w:r>
              <w:rPr>
                <w:noProof/>
                <w:u w:val="single"/>
              </w:rPr>
              <w:t xml:space="preserve">Priority setting: </w:t>
            </w:r>
            <w:r>
              <w:rPr>
                <w:noProof/>
              </w:rPr>
              <w:t xml:space="preserve">Driven by partners, open stakeholder consultation </w:t>
            </w:r>
          </w:p>
          <w:p>
            <w:pPr>
              <w:spacing w:before="100" w:beforeAutospacing="1" w:after="100" w:afterAutospacing="1"/>
              <w:jc w:val="left"/>
              <w:rPr>
                <w:noProof/>
              </w:rPr>
            </w:pPr>
            <w:r>
              <w:rPr>
                <w:noProof/>
                <w:u w:val="single"/>
              </w:rPr>
              <w:t>Participation in R&amp;I activities</w:t>
            </w:r>
            <w:r>
              <w:rPr>
                <w:noProof/>
              </w:rPr>
              <w:t xml:space="preserve">: limited, according to national rules of partner countries </w:t>
            </w:r>
          </w:p>
        </w:tc>
        <w:tc>
          <w:tcPr>
            <w:tcW w:w="1964" w:type="dxa"/>
          </w:tcPr>
          <w:p>
            <w:pPr>
              <w:spacing w:before="100" w:beforeAutospacing="1" w:after="100" w:afterAutospacing="1"/>
              <w:jc w:val="left"/>
              <w:rPr>
                <w:i/>
                <w:noProof/>
              </w:rPr>
            </w:pPr>
            <w:r>
              <w:rPr>
                <w:noProof/>
                <w:u w:val="single"/>
              </w:rPr>
              <w:t>Partners</w:t>
            </w:r>
            <w:r>
              <w:rPr>
                <w:noProof/>
              </w:rPr>
              <w:t>: National funding bodies or governmental research organisation</w:t>
            </w:r>
          </w:p>
          <w:p>
            <w:pPr>
              <w:spacing w:before="100" w:beforeAutospacing="1" w:after="100" w:afterAutospacing="1"/>
              <w:jc w:val="left"/>
              <w:rPr>
                <w:noProof/>
              </w:rPr>
            </w:pPr>
            <w:r>
              <w:rPr>
                <w:noProof/>
                <w:u w:val="single"/>
              </w:rPr>
              <w:t xml:space="preserve">Priority setting: </w:t>
            </w:r>
            <w:r>
              <w:rPr>
                <w:noProof/>
              </w:rPr>
              <w:t xml:space="preserve">Driven by partners, open stakeholder consultation </w:t>
            </w:r>
          </w:p>
          <w:p>
            <w:pPr>
              <w:spacing w:before="100" w:beforeAutospacing="1" w:after="100" w:afterAutospacing="1"/>
              <w:jc w:val="left"/>
              <w:rPr>
                <w:noProof/>
              </w:rPr>
            </w:pPr>
            <w:r>
              <w:rPr>
                <w:noProof/>
                <w:u w:val="single"/>
              </w:rPr>
              <w:t>Participation in R&amp;I activities</w:t>
            </w:r>
            <w:r>
              <w:rPr>
                <w:noProof/>
              </w:rPr>
              <w:t>: fully open in line with standard Horizon Europe rules, but possible derogations</w:t>
            </w:r>
          </w:p>
        </w:tc>
        <w:tc>
          <w:tcPr>
            <w:tcW w:w="1896" w:type="dxa"/>
          </w:tcPr>
          <w:p>
            <w:pPr>
              <w:spacing w:before="100" w:beforeAutospacing="1" w:after="100" w:afterAutospacing="1"/>
              <w:jc w:val="left"/>
              <w:rPr>
                <w:noProof/>
              </w:rPr>
            </w:pPr>
            <w:r>
              <w:rPr>
                <w:noProof/>
                <w:u w:val="single"/>
              </w:rPr>
              <w:t>Partners</w:t>
            </w:r>
            <w:r>
              <w:rPr>
                <w:noProof/>
              </w:rPr>
              <w:t>: Suitable for all types: private and/or public partners, foundations</w:t>
            </w:r>
          </w:p>
          <w:p>
            <w:pPr>
              <w:spacing w:before="100" w:beforeAutospacing="1" w:after="100" w:afterAutospacing="1"/>
              <w:jc w:val="left"/>
              <w:rPr>
                <w:noProof/>
              </w:rPr>
            </w:pPr>
            <w:r>
              <w:rPr>
                <w:noProof/>
                <w:u w:val="single"/>
              </w:rPr>
              <w:t xml:space="preserve">Priority setting: </w:t>
            </w:r>
            <w:r>
              <w:rPr>
                <w:noProof/>
              </w:rPr>
              <w:t xml:space="preserve">Driven by partners, open stakeholder consultation </w:t>
            </w:r>
          </w:p>
          <w:p>
            <w:pPr>
              <w:spacing w:before="100" w:beforeAutospacing="1" w:after="100" w:afterAutospacing="1"/>
              <w:jc w:val="left"/>
              <w:rPr>
                <w:noProof/>
              </w:rPr>
            </w:pPr>
            <w:r>
              <w:rPr>
                <w:noProof/>
                <w:u w:val="single"/>
              </w:rPr>
              <w:t>Participation in R&amp;I activities</w:t>
            </w:r>
            <w:r>
              <w:rPr>
                <w:noProof/>
              </w:rPr>
              <w:t>: fully open in line with standard Horizon Europe rules, but possible derogations</w:t>
            </w:r>
          </w:p>
        </w:tc>
      </w:tr>
      <w:tr>
        <w:tc>
          <w:tcPr>
            <w:tcW w:w="9511" w:type="dxa"/>
            <w:gridSpan w:val="6"/>
          </w:tcPr>
          <w:p>
            <w:pPr>
              <w:spacing w:before="100" w:beforeAutospacing="1" w:after="100" w:afterAutospacing="1"/>
              <w:jc w:val="left"/>
              <w:rPr>
                <w:b/>
                <w:noProof/>
              </w:rPr>
            </w:pPr>
            <w:r>
              <w:rPr>
                <w:b/>
                <w:noProof/>
              </w:rPr>
              <w:t>Type and range of activities (including additionality and level of integration)</w:t>
            </w:r>
          </w:p>
        </w:tc>
      </w:tr>
      <w:tr>
        <w:trPr>
          <w:gridAfter w:val="1"/>
          <w:wAfter w:w="14" w:type="dxa"/>
        </w:trPr>
        <w:tc>
          <w:tcPr>
            <w:tcW w:w="1809" w:type="dxa"/>
          </w:tcPr>
          <w:p>
            <w:pPr>
              <w:spacing w:before="100" w:beforeAutospacing="1" w:after="100" w:afterAutospacing="1"/>
              <w:jc w:val="left"/>
              <w:rPr>
                <w:noProof/>
              </w:rPr>
            </w:pPr>
            <w:r>
              <w:rPr>
                <w:noProof/>
                <w:u w:val="single"/>
              </w:rPr>
              <w:t xml:space="preserve">Activities: </w:t>
            </w:r>
            <w:r>
              <w:rPr>
                <w:noProof/>
              </w:rPr>
              <w:t xml:space="preserve">Horizon Europe standards that allow broad range of individual actions </w:t>
            </w:r>
          </w:p>
          <w:p>
            <w:pPr>
              <w:spacing w:before="100" w:beforeAutospacing="1" w:after="100" w:afterAutospacing="1"/>
              <w:jc w:val="left"/>
              <w:rPr>
                <w:noProof/>
              </w:rPr>
            </w:pPr>
            <w:r>
              <w:rPr>
                <w:noProof/>
                <w:u w:val="single"/>
              </w:rPr>
              <w:t>Additionality:</w:t>
            </w:r>
            <w:r>
              <w:rPr>
                <w:noProof/>
              </w:rPr>
              <w:t xml:space="preserve"> no additional activities and investments outside the funded projects</w:t>
            </w:r>
          </w:p>
          <w:p>
            <w:pPr>
              <w:spacing w:before="100" w:beforeAutospacing="1" w:after="100" w:afterAutospacing="1"/>
              <w:jc w:val="left"/>
              <w:rPr>
                <w:noProof/>
              </w:rPr>
            </w:pPr>
            <w:r>
              <w:rPr>
                <w:noProof/>
                <w:u w:val="single"/>
              </w:rPr>
              <w:t>Limitations:</w:t>
            </w:r>
            <w:r>
              <w:rPr>
                <w:noProof/>
              </w:rPr>
              <w:t xml:space="preserve"> No systemic approach beyond individual actions</w:t>
            </w:r>
          </w:p>
        </w:tc>
        <w:tc>
          <w:tcPr>
            <w:tcW w:w="1985" w:type="dxa"/>
          </w:tcPr>
          <w:p>
            <w:pPr>
              <w:spacing w:before="100" w:beforeAutospacing="1" w:after="100" w:afterAutospacing="1"/>
              <w:jc w:val="left"/>
              <w:rPr>
                <w:noProof/>
              </w:rPr>
            </w:pPr>
            <w:r>
              <w:rPr>
                <w:noProof/>
                <w:u w:val="single"/>
              </w:rPr>
              <w:t xml:space="preserve">Activities: </w:t>
            </w:r>
            <w:r>
              <w:rPr>
                <w:noProof/>
              </w:rPr>
              <w:t>Horizon Europe standard actions that allow broad range of individual actions, support to market, regulatory or policy/ societal uptake</w:t>
            </w:r>
          </w:p>
          <w:p>
            <w:pPr>
              <w:spacing w:before="100" w:beforeAutospacing="1" w:after="100" w:afterAutospacing="1"/>
              <w:jc w:val="left"/>
              <w:rPr>
                <w:noProof/>
              </w:rPr>
            </w:pPr>
            <w:r>
              <w:rPr>
                <w:noProof/>
                <w:u w:val="single"/>
              </w:rPr>
              <w:t>Additionality:</w:t>
            </w:r>
            <w:r>
              <w:rPr>
                <w:noProof/>
              </w:rPr>
              <w:t xml:space="preserve"> Activities/investments of partners, National funding</w:t>
            </w:r>
          </w:p>
          <w:p>
            <w:pPr>
              <w:spacing w:before="100" w:beforeAutospacing="1" w:after="100" w:afterAutospacing="1"/>
              <w:jc w:val="left"/>
              <w:rPr>
                <w:noProof/>
              </w:rPr>
            </w:pPr>
            <w:r>
              <w:rPr>
                <w:noProof/>
                <w:u w:val="single"/>
              </w:rPr>
              <w:t>Limitations:</w:t>
            </w:r>
            <w:r>
              <w:rPr>
                <w:noProof/>
              </w:rPr>
              <w:t xml:space="preserve"> Limited systemic approach beyond individual actions.</w:t>
            </w:r>
          </w:p>
        </w:tc>
        <w:tc>
          <w:tcPr>
            <w:tcW w:w="1843" w:type="dxa"/>
          </w:tcPr>
          <w:p>
            <w:pPr>
              <w:spacing w:before="100" w:beforeAutospacing="1" w:after="100" w:afterAutospacing="1"/>
              <w:jc w:val="left"/>
              <w:rPr>
                <w:noProof/>
              </w:rPr>
            </w:pPr>
            <w:r>
              <w:rPr>
                <w:noProof/>
                <w:u w:val="single"/>
              </w:rPr>
              <w:t>Activities:</w:t>
            </w:r>
            <w:r>
              <w:rPr>
                <w:noProof/>
              </w:rPr>
              <w:t xml:space="preserve"> Broad, according to rules/programmes of participating States, State-aid rules, support to regulatory or policy/ societal uptake</w:t>
            </w:r>
          </w:p>
          <w:p>
            <w:pPr>
              <w:spacing w:before="100" w:beforeAutospacing="1" w:after="100" w:afterAutospacing="1"/>
              <w:jc w:val="left"/>
              <w:rPr>
                <w:noProof/>
              </w:rPr>
            </w:pPr>
            <w:r>
              <w:rPr>
                <w:noProof/>
                <w:u w:val="single"/>
              </w:rPr>
              <w:t>Additionality:</w:t>
            </w:r>
            <w:r>
              <w:rPr>
                <w:noProof/>
              </w:rPr>
              <w:t xml:space="preserve"> National funding</w:t>
            </w:r>
          </w:p>
          <w:p>
            <w:pPr>
              <w:spacing w:before="100" w:beforeAutospacing="1" w:after="100" w:afterAutospacing="1"/>
              <w:jc w:val="left"/>
              <w:rPr>
                <w:noProof/>
              </w:rPr>
            </w:pPr>
            <w:r>
              <w:rPr>
                <w:noProof/>
                <w:u w:val="single"/>
              </w:rPr>
              <w:t>Limitations:</w:t>
            </w:r>
            <w:r>
              <w:rPr>
                <w:noProof/>
              </w:rPr>
              <w:t xml:space="preserve"> Scale and scope depend on the participating programmes, often smaller in scale </w:t>
            </w:r>
          </w:p>
        </w:tc>
        <w:tc>
          <w:tcPr>
            <w:tcW w:w="1964" w:type="dxa"/>
          </w:tcPr>
          <w:p>
            <w:pPr>
              <w:spacing w:before="100" w:beforeAutospacing="1" w:after="100" w:afterAutospacing="1"/>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w:t>
            </w:r>
          </w:p>
          <w:p>
            <w:pPr>
              <w:spacing w:before="100" w:beforeAutospacing="1" w:after="100" w:afterAutospacing="1"/>
              <w:jc w:val="left"/>
              <w:rPr>
                <w:noProof/>
              </w:rPr>
            </w:pPr>
          </w:p>
          <w:p>
            <w:pPr>
              <w:spacing w:before="100" w:beforeAutospacing="1" w:after="100" w:afterAutospacing="1"/>
              <w:jc w:val="left"/>
              <w:rPr>
                <w:noProof/>
              </w:rPr>
            </w:pPr>
            <w:r>
              <w:rPr>
                <w:noProof/>
                <w:u w:val="single"/>
              </w:rPr>
              <w:t>Additionality:</w:t>
            </w:r>
            <w:r>
              <w:rPr>
                <w:noProof/>
              </w:rPr>
              <w:t xml:space="preserve"> National funding</w:t>
            </w:r>
          </w:p>
        </w:tc>
        <w:tc>
          <w:tcPr>
            <w:tcW w:w="1896" w:type="dxa"/>
          </w:tcPr>
          <w:p>
            <w:pPr>
              <w:spacing w:before="100" w:beforeAutospacing="1" w:after="100" w:afterAutospacing="1"/>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 (portfolios of projects, scaling up of results, synergies with other funds.</w:t>
            </w:r>
          </w:p>
          <w:p>
            <w:pPr>
              <w:spacing w:before="100" w:beforeAutospacing="1" w:after="100" w:afterAutospacing="1"/>
              <w:ind w:right="-218"/>
              <w:jc w:val="left"/>
              <w:rPr>
                <w:noProof/>
              </w:rPr>
            </w:pPr>
            <w:r>
              <w:rPr>
                <w:noProof/>
                <w:u w:val="single"/>
              </w:rPr>
              <w:t>Additionality:</w:t>
            </w:r>
            <w:r>
              <w:rPr>
                <w:noProof/>
              </w:rPr>
              <w:t xml:space="preserve"> Activities/investments of  partners/ national funding </w:t>
            </w:r>
          </w:p>
        </w:tc>
      </w:tr>
      <w:tr>
        <w:tc>
          <w:tcPr>
            <w:tcW w:w="9511" w:type="dxa"/>
            <w:gridSpan w:val="6"/>
          </w:tcPr>
          <w:p>
            <w:pPr>
              <w:spacing w:before="100" w:beforeAutospacing="1" w:after="100" w:afterAutospacing="1"/>
              <w:jc w:val="left"/>
              <w:rPr>
                <w:b/>
                <w:noProof/>
              </w:rPr>
            </w:pPr>
            <w:r>
              <w:rPr>
                <w:b/>
                <w:noProof/>
              </w:rPr>
              <w:t>Directionality</w:t>
            </w:r>
          </w:p>
        </w:tc>
      </w:tr>
      <w:tr>
        <w:trPr>
          <w:gridAfter w:val="1"/>
          <w:wAfter w:w="14" w:type="dxa"/>
        </w:trPr>
        <w:tc>
          <w:tcPr>
            <w:tcW w:w="1809" w:type="dxa"/>
          </w:tcPr>
          <w:p>
            <w:pPr>
              <w:spacing w:before="100" w:beforeAutospacing="1" w:after="100" w:afterAutospacing="1"/>
              <w:jc w:val="left"/>
              <w:rPr>
                <w:noProof/>
              </w:rPr>
            </w:pPr>
            <w:r>
              <w:rPr>
                <w:noProof/>
                <w:u w:val="single"/>
              </w:rPr>
              <w:t>Priority setting:</w:t>
            </w:r>
            <w:r>
              <w:rPr>
                <w:noProof/>
              </w:rPr>
              <w:t xml:space="preserve"> Strategic Plan and annual work programmes, covering max. 4 years. </w:t>
            </w:r>
          </w:p>
          <w:p>
            <w:pPr>
              <w:spacing w:before="100" w:beforeAutospacing="1" w:after="100" w:afterAutospacing="1"/>
              <w:jc w:val="left"/>
              <w:rPr>
                <w:b/>
                <w:noProof/>
              </w:rPr>
            </w:pPr>
            <w:r>
              <w:rPr>
                <w:noProof/>
                <w:u w:val="single"/>
              </w:rPr>
              <w:t>Limitations:</w:t>
            </w:r>
            <w:r>
              <w:rPr>
                <w:noProof/>
              </w:rPr>
              <w:t xml:space="preserve"> Fully taking into account existing or to be developed SRIA/ roadmap</w:t>
            </w:r>
          </w:p>
          <w:p>
            <w:pPr>
              <w:spacing w:before="100" w:beforeAutospacing="1" w:after="100" w:afterAutospacing="1"/>
              <w:jc w:val="left"/>
              <w:rPr>
                <w:noProof/>
              </w:rPr>
            </w:pPr>
          </w:p>
        </w:tc>
        <w:tc>
          <w:tcPr>
            <w:tcW w:w="1985" w:type="dxa"/>
          </w:tcPr>
          <w:p>
            <w:pPr>
              <w:spacing w:before="100" w:beforeAutospacing="1" w:after="100" w:afterAutospacing="1"/>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before="100" w:beforeAutospacing="1" w:after="100" w:afterAutospacing="1"/>
              <w:jc w:val="left"/>
              <w:rPr>
                <w:noProof/>
              </w:rPr>
            </w:pPr>
            <w:r>
              <w:rPr>
                <w:noProof/>
              </w:rPr>
              <w:t>Input to FP annual work programme drafted by partners, finalised by COM (comitology)</w:t>
            </w:r>
          </w:p>
          <w:p>
            <w:pPr>
              <w:spacing w:before="100" w:beforeAutospacing="1" w:after="100" w:afterAutospacing="1"/>
              <w:jc w:val="left"/>
              <w:rPr>
                <w:noProof/>
              </w:rPr>
            </w:pPr>
            <w:r>
              <w:rPr>
                <w:noProof/>
              </w:rPr>
              <w:t>Objectives and commitments are set in the contractual arrangement.</w:t>
            </w:r>
          </w:p>
        </w:tc>
        <w:tc>
          <w:tcPr>
            <w:tcW w:w="1843" w:type="dxa"/>
          </w:tcPr>
          <w:p>
            <w:pPr>
              <w:spacing w:before="100" w:beforeAutospacing="1" w:after="100" w:afterAutospacing="1"/>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before="100" w:beforeAutospacing="1" w:after="100" w:afterAutospacing="1"/>
              <w:jc w:val="left"/>
              <w:rPr>
                <w:noProof/>
              </w:rPr>
            </w:pPr>
            <w:r>
              <w:rPr>
                <w:noProof/>
              </w:rPr>
              <w:t>Annual work programme drafted by partners, approved by COM</w:t>
            </w:r>
          </w:p>
          <w:p>
            <w:pPr>
              <w:spacing w:before="100" w:beforeAutospacing="1" w:after="100" w:afterAutospacing="1"/>
              <w:jc w:val="left"/>
              <w:rPr>
                <w:noProof/>
              </w:rPr>
            </w:pPr>
            <w:r>
              <w:rPr>
                <w:noProof/>
              </w:rPr>
              <w:t>Objectives and commitments are set in the Grant Agreement.</w:t>
            </w:r>
          </w:p>
        </w:tc>
        <w:tc>
          <w:tcPr>
            <w:tcW w:w="1964" w:type="dxa"/>
          </w:tcPr>
          <w:p>
            <w:pPr>
              <w:spacing w:before="100" w:beforeAutospacing="1" w:after="100" w:afterAutospacing="1"/>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before="100" w:beforeAutospacing="1" w:after="100" w:afterAutospacing="1"/>
              <w:jc w:val="left"/>
              <w:rPr>
                <w:noProof/>
              </w:rPr>
            </w:pPr>
            <w:r>
              <w:rPr>
                <w:noProof/>
              </w:rPr>
              <w:t>Annual work programme drafted by partners, approved by COM</w:t>
            </w:r>
          </w:p>
          <w:p>
            <w:pPr>
              <w:spacing w:before="100" w:beforeAutospacing="1" w:after="100" w:afterAutospacing="1"/>
              <w:jc w:val="left"/>
              <w:rPr>
                <w:noProof/>
              </w:rPr>
            </w:pPr>
            <w:r>
              <w:rPr>
                <w:noProof/>
              </w:rPr>
              <w:t xml:space="preserve">Objectives and commitments are set in the legal base. </w:t>
            </w:r>
          </w:p>
          <w:p>
            <w:pPr>
              <w:spacing w:before="100" w:beforeAutospacing="1" w:after="100" w:afterAutospacing="1"/>
              <w:jc w:val="left"/>
              <w:rPr>
                <w:noProof/>
              </w:rPr>
            </w:pPr>
          </w:p>
        </w:tc>
        <w:tc>
          <w:tcPr>
            <w:tcW w:w="1896" w:type="dxa"/>
          </w:tcPr>
          <w:p>
            <w:pPr>
              <w:spacing w:before="100" w:beforeAutospacing="1" w:after="100" w:afterAutospacing="1"/>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before="100" w:beforeAutospacing="1" w:after="100" w:afterAutospacing="1"/>
              <w:jc w:val="left"/>
              <w:rPr>
                <w:noProof/>
              </w:rPr>
            </w:pPr>
            <w:r>
              <w:rPr>
                <w:noProof/>
              </w:rPr>
              <w:t>Annual work programme drafted by partners, approved by COM (veto-right in governance)</w:t>
            </w:r>
          </w:p>
          <w:p>
            <w:pPr>
              <w:spacing w:before="100" w:beforeAutospacing="1" w:after="100" w:afterAutospacing="1"/>
              <w:jc w:val="left"/>
              <w:rPr>
                <w:noProof/>
              </w:rPr>
            </w:pPr>
            <w:r>
              <w:rPr>
                <w:noProof/>
              </w:rPr>
              <w:t xml:space="preserve">Objectives and commitments are set in the legal base. </w:t>
            </w:r>
          </w:p>
        </w:tc>
      </w:tr>
      <w:tr>
        <w:tc>
          <w:tcPr>
            <w:tcW w:w="9511" w:type="dxa"/>
            <w:gridSpan w:val="6"/>
          </w:tcPr>
          <w:p>
            <w:pPr>
              <w:spacing w:before="100" w:beforeAutospacing="1" w:after="100" w:afterAutospacing="1"/>
              <w:jc w:val="left"/>
              <w:rPr>
                <w:b/>
                <w:noProof/>
              </w:rPr>
            </w:pPr>
            <w:r>
              <w:rPr>
                <w:b/>
                <w:noProof/>
              </w:rPr>
              <w:t>Coherence: internal (Horizon Europe) and external (other Union programmes, national programmes, industrial strategies)</w:t>
            </w:r>
          </w:p>
        </w:tc>
      </w:tr>
      <w:tr>
        <w:trPr>
          <w:gridAfter w:val="1"/>
          <w:wAfter w:w="14" w:type="dxa"/>
        </w:trPr>
        <w:tc>
          <w:tcPr>
            <w:tcW w:w="1809" w:type="dxa"/>
          </w:tcPr>
          <w:p>
            <w:pPr>
              <w:spacing w:before="100" w:beforeAutospacing="1" w:after="100" w:afterAutospacing="1"/>
              <w:jc w:val="left"/>
              <w:rPr>
                <w:b/>
                <w:noProof/>
              </w:rPr>
            </w:pPr>
            <w:r>
              <w:rPr>
                <w:noProof/>
                <w:u w:val="single"/>
              </w:rPr>
              <w:t xml:space="preserve">Internal: </w:t>
            </w:r>
            <w:r>
              <w:rPr>
                <w:noProof/>
              </w:rPr>
              <w:t>Between different parts of the Annual Work programme can be ensured by COM</w:t>
            </w:r>
          </w:p>
          <w:p>
            <w:pPr>
              <w:spacing w:before="100" w:beforeAutospacing="1" w:after="100" w:afterAutospacing="1"/>
              <w:jc w:val="left"/>
              <w:rPr>
                <w:noProof/>
              </w:rPr>
            </w:pPr>
            <w:r>
              <w:rPr>
                <w:noProof/>
                <w:u w:val="single"/>
              </w:rPr>
              <w:t xml:space="preserve">External: </w:t>
            </w:r>
            <w:r>
              <w:rPr>
                <w:noProof/>
              </w:rPr>
              <w:t xml:space="preserve">Limited for other Union programmes, no synergies with national/regional programmes and activities </w:t>
            </w:r>
          </w:p>
        </w:tc>
        <w:tc>
          <w:tcPr>
            <w:tcW w:w="1985" w:type="dxa"/>
          </w:tcPr>
          <w:p>
            <w:pPr>
              <w:spacing w:before="100" w:beforeAutospacing="1" w:after="100" w:afterAutospacing="1"/>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before="100" w:beforeAutospacing="1" w:after="100" w:afterAutospacing="1"/>
              <w:jc w:val="left"/>
              <w:rPr>
                <w:noProof/>
              </w:rPr>
            </w:pPr>
            <w:r>
              <w:rPr>
                <w:noProof/>
                <w:u w:val="single"/>
              </w:rPr>
              <w:t>External:</w:t>
            </w:r>
            <w:r>
              <w:rPr>
                <w:noProof/>
              </w:rPr>
              <w:t xml:space="preserve"> Limited synergies with other Union programmes and industrial strategies</w:t>
            </w:r>
          </w:p>
          <w:p>
            <w:pPr>
              <w:spacing w:before="100" w:beforeAutospacing="1" w:after="100" w:afterAutospacing="1"/>
              <w:jc w:val="left"/>
              <w:rPr>
                <w:noProof/>
              </w:rPr>
            </w:pPr>
            <w:r>
              <w:rPr>
                <w:noProof/>
              </w:rPr>
              <w:t xml:space="preserve">If MS participate, with national/ regional programmes and activities </w:t>
            </w:r>
          </w:p>
        </w:tc>
        <w:tc>
          <w:tcPr>
            <w:tcW w:w="1843" w:type="dxa"/>
          </w:tcPr>
          <w:p>
            <w:pPr>
              <w:spacing w:before="100" w:beforeAutospacing="1" w:after="100" w:afterAutospacing="1"/>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before="100" w:beforeAutospacing="1" w:after="100" w:afterAutospacing="1"/>
              <w:jc w:val="left"/>
              <w:rPr>
                <w:bCs/>
                <w:noProof/>
              </w:rPr>
            </w:pPr>
            <w:r>
              <w:rPr>
                <w:noProof/>
                <w:u w:val="single"/>
              </w:rPr>
              <w:t xml:space="preserve">External: </w:t>
            </w:r>
            <w:r>
              <w:rPr>
                <w:noProof/>
              </w:rPr>
              <w:t>Synergies with national/ regional programmes and activities</w:t>
            </w:r>
          </w:p>
        </w:tc>
        <w:tc>
          <w:tcPr>
            <w:tcW w:w="1964" w:type="dxa"/>
          </w:tcPr>
          <w:p>
            <w:pPr>
              <w:spacing w:before="100" w:beforeAutospacing="1" w:after="100" w:afterAutospacing="1"/>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before="100" w:beforeAutospacing="1" w:after="100" w:afterAutospacing="1"/>
              <w:jc w:val="left"/>
              <w:rPr>
                <w:bCs/>
                <w:noProof/>
              </w:rPr>
            </w:pPr>
            <w:r>
              <w:rPr>
                <w:noProof/>
                <w:u w:val="single"/>
              </w:rPr>
              <w:t xml:space="preserve">External: </w:t>
            </w:r>
            <w:r>
              <w:rPr>
                <w:noProof/>
              </w:rPr>
              <w:t>Synergies with national/ regional programmes and activities</w:t>
            </w:r>
          </w:p>
        </w:tc>
        <w:tc>
          <w:tcPr>
            <w:tcW w:w="1896" w:type="dxa"/>
          </w:tcPr>
          <w:p>
            <w:pPr>
              <w:spacing w:before="100" w:beforeAutospacing="1" w:after="100" w:afterAutospacing="1"/>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before="100" w:beforeAutospacing="1" w:after="100" w:afterAutospacing="1"/>
              <w:jc w:val="left"/>
              <w:rPr>
                <w:noProof/>
              </w:rPr>
            </w:pPr>
            <w:r>
              <w:rPr>
                <w:noProof/>
                <w:u w:val="single"/>
              </w:rPr>
              <w:t>External:</w:t>
            </w:r>
            <w:r>
              <w:rPr>
                <w:noProof/>
              </w:rPr>
              <w:t xml:space="preserve"> Synergies with other Union programmes and industrial strategies</w:t>
            </w:r>
          </w:p>
          <w:p>
            <w:pPr>
              <w:spacing w:before="100" w:beforeAutospacing="1" w:after="100" w:afterAutospacing="1"/>
              <w:jc w:val="left"/>
              <w:rPr>
                <w:noProof/>
              </w:rPr>
            </w:pPr>
            <w:r>
              <w:rPr>
                <w:noProof/>
              </w:rPr>
              <w:t>If MS participate, with national/ regional programmes and activities</w:t>
            </w:r>
          </w:p>
        </w:tc>
      </w:tr>
    </w:tbl>
    <w:p>
      <w:pPr>
        <w:tabs>
          <w:tab w:val="left" w:pos="1693"/>
        </w:tabs>
        <w:spacing w:before="100" w:beforeAutospacing="1" w:after="100" w:afterAutospacing="1"/>
        <w:rPr>
          <w:noProof/>
        </w:rPr>
      </w:pPr>
      <w:r>
        <w:rPr>
          <w:noProof/>
        </w:rPr>
        <w:t xml:space="preserve">On the basis of the evidence collected, the thematic impact assessments evaluate the </w:t>
      </w:r>
      <w:r>
        <w:rPr>
          <w:b/>
          <w:noProof/>
        </w:rPr>
        <w:t>effectiveness</w:t>
      </w:r>
      <w:r>
        <w:rPr>
          <w:noProof/>
        </w:rPr>
        <w:t xml:space="preserve"> of the various policy options along three dimensions corresponding to the different categories of likely impacts: scientific, economic and technological, and societal (including environmental). Each impact assessment considers to which extent the different policy options fulfil the desirable ‘functionalities’ and are therefore likely to produce the targeted impacts. In addition, where specific impacts (e.g. on fundamental rights) are relevant for a candidate Partnership, these are assessed in the corresponding report and according to the Better Regulation Guidelines and Toolbox. This analysis results in a scoring of the policy options with a three-point scale. Scores vary from + to +++, where + refers to low potential for reaching the likely impacts, ++ to a good potential, and +++ to a high potential. The effectiveness assessment of the different options does not use a compound score but concludes on as many scores as there are expected impacts. This is done to increase transparency and accuracy in the assessment of options. Qualitative and quantitative evidence is provided to motivate each score.</w:t>
      </w:r>
    </w:p>
    <w:p>
      <w:pPr>
        <w:spacing w:before="100" w:beforeAutospacing="1" w:after="100" w:afterAutospacing="1"/>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corresponds to the consistency between a given implementation mode and the other actions under Horizon Europe. External coherence refers instead to the alignment with other initiatives at EU, national and international level beyond Horizon Europe that are relevant to a thematic area. Each option (implementation mode) is assessed following a three-point qualitative scale. </w:t>
      </w:r>
    </w:p>
    <w:p>
      <w:pPr>
        <w:widowControl w:val="0"/>
        <w:spacing w:after="120"/>
        <w:rPr>
          <w:noProof/>
          <w:szCs w:val="24"/>
        </w:rPr>
      </w:pPr>
      <w:r>
        <w:rPr>
          <w:noProof/>
          <w:szCs w:val="24"/>
        </w:rPr>
        <w:t>To compare the expected costs and benefits of each option (</w:t>
      </w:r>
      <w:r>
        <w:rPr>
          <w:b/>
          <w:noProof/>
          <w:szCs w:val="24"/>
        </w:rPr>
        <w:t>efficiency</w:t>
      </w:r>
      <w:r>
        <w:rPr>
          <w:noProof/>
          <w:szCs w:val="24"/>
        </w:rPr>
        <w:t>), the thematic impact assessments broadly follow a cost-effectiveness approach</w:t>
      </w:r>
      <w:r>
        <w:rPr>
          <w:rStyle w:val="FootnoteReference"/>
          <w:noProof/>
          <w:szCs w:val="24"/>
        </w:rPr>
        <w:footnoteReference w:id="19"/>
      </w:r>
      <w:r>
        <w:rPr>
          <w:noProof/>
          <w:szCs w:val="24"/>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rPr>
        <w:footnoteReference w:id="20"/>
      </w:r>
      <w:r>
        <w:rPr>
          <w:noProof/>
          <w:szCs w:val="24"/>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1"/>
      </w:r>
      <w:r>
        <w:rPr>
          <w:noProof/>
          <w:szCs w:val="24"/>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eastAsia="ja-JP"/>
        </w:rPr>
        <w:t>the expected co-financing rates and the total budget available for each of the policy options, assuming a common Union contribution (cost-efficiency):</w:t>
      </w:r>
    </w:p>
    <w:p>
      <w:pPr>
        <w:pStyle w:val="ListParagraph"/>
        <w:widowControl w:val="0"/>
        <w:numPr>
          <w:ilvl w:val="0"/>
          <w:numId w:val="5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5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a Co-Programmed partnership the costs of preparation and implementation increase only marginally</w:t>
      </w:r>
      <w:r>
        <w:rPr>
          <w:noProof/>
          <w:szCs w:val="24"/>
          <w:lang w:val="en-GB"/>
        </w:rPr>
        <w:t xml:space="preserve"> </w:t>
      </w:r>
      <w:r>
        <w:rPr>
          <w:rFonts w:ascii="Times New Roman" w:hAnsi="Times New Roman" w:cs="Times New Roman"/>
          <w:noProof/>
          <w:sz w:val="24"/>
          <w:szCs w:val="24"/>
          <w:lang w:val="en-GB"/>
        </w:rPr>
        <w:t>compared to the baseline (&lt;1%),</w:t>
      </w:r>
      <w:r>
        <w:rPr>
          <w:rStyle w:val="FootnoteReference"/>
          <w:rFonts w:ascii="Times New Roman" w:hAnsi="Times New Roman" w:cs="Times New Roman"/>
          <w:noProof/>
          <w:sz w:val="24"/>
          <w:szCs w:val="24"/>
          <w:lang w:val="en-GB"/>
        </w:rPr>
        <w:footnoteReference w:id="22"/>
      </w:r>
      <w:r>
        <w:rPr>
          <w:rFonts w:ascii="Times New Roman" w:hAnsi="Times New Roman" w:cs="Times New Roman"/>
          <w:noProof/>
          <w:sz w:val="24"/>
          <w:szCs w:val="24"/>
          <w:lang w:val="en-GB"/>
        </w:rPr>
        <w:t xml:space="preserve"> but lead to an additional R&amp;I investment of at least the same amount than the Union contribution</w:t>
      </w:r>
      <w:r>
        <w:rPr>
          <w:rStyle w:val="FootnoteReference"/>
          <w:rFonts w:ascii="Times New Roman" w:hAnsi="Times New Roman" w:cs="Times New Roman"/>
          <w:noProof/>
          <w:sz w:val="24"/>
          <w:szCs w:val="24"/>
          <w:lang w:val="en-GB"/>
        </w:rPr>
        <w:footnoteReference w:id="23"/>
      </w:r>
      <w:r>
        <w:rPr>
          <w:rFonts w:ascii="Times New Roman" w:hAnsi="Times New Roman" w:cs="Times New Roman"/>
          <w:noProof/>
          <w:sz w:val="24"/>
          <w:szCs w:val="24"/>
          <w:lang w:val="en-GB"/>
        </w:rPr>
        <w:t xml:space="preserve"> (efficiency of 98% for the overall investment).</w:t>
      </w:r>
    </w:p>
    <w:p>
      <w:pPr>
        <w:pStyle w:val="ListParagraph"/>
        <w:widowControl w:val="0"/>
        <w:numPr>
          <w:ilvl w:val="0"/>
          <w:numId w:val="5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a Co-Funded partnership the additional R&amp;I investment by Member States accounts for 2,3 times the Union contribution</w:t>
      </w:r>
      <w:r>
        <w:rPr>
          <w:rStyle w:val="FootnoteReference"/>
          <w:rFonts w:ascii="Times New Roman" w:hAnsi="Times New Roman" w:cs="Times New Roman"/>
          <w:noProof/>
          <w:sz w:val="24"/>
          <w:szCs w:val="24"/>
          <w:lang w:val="en-GB"/>
        </w:rPr>
        <w:footnoteReference w:id="24"/>
      </w:r>
      <w:r>
        <w:rPr>
          <w:rFonts w:ascii="Times New Roman" w:hAnsi="Times New Roman" w:cs="Times New Roman"/>
          <w:noProof/>
          <w:sz w:val="24"/>
          <w:szCs w:val="24"/>
          <w:lang w:val="en-GB"/>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noProof/>
          <w:szCs w:val="24"/>
          <w:lang w:val="en-GB"/>
        </w:rPr>
        <w:t>.</w:t>
      </w:r>
      <w:r>
        <w:rPr>
          <w:rStyle w:val="FootnoteReference"/>
          <w:noProof/>
          <w:szCs w:val="24"/>
          <w:lang w:val="en-GB"/>
        </w:rPr>
        <w:footnoteReference w:id="25"/>
      </w:r>
    </w:p>
    <w:p>
      <w:pPr>
        <w:pStyle w:val="ListParagraph"/>
        <w:widowControl w:val="0"/>
        <w:numPr>
          <w:ilvl w:val="0"/>
          <w:numId w:val="5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an Article 185 initiative the additional R&amp;I investment by Member States is equal to the Union contribution</w:t>
      </w:r>
      <w:r>
        <w:rPr>
          <w:rStyle w:val="FootnoteReference"/>
          <w:rFonts w:ascii="Times New Roman" w:hAnsi="Times New Roman" w:cs="Times New Roman"/>
          <w:noProof/>
          <w:sz w:val="24"/>
          <w:szCs w:val="24"/>
          <w:lang w:val="en-GB"/>
        </w:rPr>
        <w:footnoteReference w:id="26"/>
      </w:r>
      <w:r>
        <w:rPr>
          <w:rFonts w:ascii="Times New Roman" w:hAnsi="Times New Roman" w:cs="Times New Roman"/>
          <w:noProof/>
          <w:sz w:val="24"/>
          <w:szCs w:val="24"/>
          <w:lang w:val="en-GB"/>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56"/>
        </w:numPr>
        <w:spacing w:after="120" w:line="240" w:lineRule="auto"/>
        <w:jc w:val="both"/>
        <w:rPr>
          <w:noProof/>
          <w:szCs w:val="24"/>
          <w:lang w:val="en-GB"/>
        </w:rPr>
      </w:pPr>
      <w:r>
        <w:rPr>
          <w:rFonts w:ascii="Times New Roman" w:hAnsi="Times New Roman" w:cs="Times New Roman"/>
          <w:noProof/>
          <w:sz w:val="24"/>
          <w:szCs w:val="24"/>
          <w:lang w:val="en-GB"/>
        </w:rPr>
        <w:t>For an Article 187 initiative the additional R&amp;I investment by partners is equal to the Union contribution</w:t>
      </w:r>
      <w:r>
        <w:rPr>
          <w:rStyle w:val="FootnoteReference"/>
          <w:rFonts w:ascii="Times New Roman" w:hAnsi="Times New Roman" w:cs="Times New Roman"/>
          <w:noProof/>
          <w:sz w:val="24"/>
          <w:szCs w:val="24"/>
          <w:lang w:val="en-GB"/>
        </w:rPr>
        <w:footnoteReference w:id="27"/>
      </w:r>
      <w:r>
        <w:rPr>
          <w:rFonts w:ascii="Times New Roman" w:hAnsi="Times New Roman" w:cs="Times New Roman"/>
          <w:noProof/>
          <w:sz w:val="24"/>
          <w:szCs w:val="24"/>
          <w:lang w:val="en-GB"/>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r>
        <w:rPr>
          <w:noProof/>
          <w:szCs w:val="24"/>
          <w:lang w:val="en-GB"/>
        </w:rPr>
        <w:t>.</w:t>
      </w:r>
    </w:p>
    <w:p>
      <w:pPr>
        <w:pStyle w:val="Caption"/>
        <w:keepNext/>
        <w:keepLines/>
        <w:spacing w:after="120"/>
        <w:rPr>
          <w:bCs/>
          <w:noProof/>
        </w:rPr>
      </w:pPr>
      <w:r>
        <w:rPr>
          <w:noProof/>
        </w:rPr>
        <w:t xml:space="preserve">Figure 2 -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370"/>
        <w:gridCol w:w="1055"/>
        <w:gridCol w:w="1372"/>
        <w:gridCol w:w="1140"/>
        <w:gridCol w:w="1102"/>
        <w:gridCol w:w="1002"/>
        <w:gridCol w:w="36"/>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spacing w:before="100" w:beforeAutospacing="1" w:after="100" w:afterAutospacing="1"/>
        <w:rPr>
          <w:noProof/>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Heading1"/>
        <w:spacing w:before="100" w:beforeAutospacing="1" w:after="100" w:afterAutospacing="1"/>
        <w:rPr>
          <w:noProof/>
        </w:rPr>
      </w:pPr>
      <w:bookmarkStart w:id="103" w:name="_Toc52793625"/>
      <w:r>
        <w:rPr>
          <w:noProof/>
        </w:rPr>
        <w:t>Method for identifying the preferred option – The scorecard analysis</w:t>
      </w:r>
      <w:bookmarkEnd w:id="103"/>
    </w:p>
    <w:p>
      <w:pPr>
        <w:pStyle w:val="Body"/>
        <w:spacing w:line="240" w:lineRule="auto"/>
        <w:rPr>
          <w:noProof/>
          <w:sz w:val="24"/>
        </w:rPr>
      </w:pPr>
      <w:r>
        <w:rPr>
          <w:noProof/>
          <w:sz w:val="24"/>
        </w:rPr>
        <w:t xml:space="preserve">For the </w:t>
      </w:r>
      <w:r>
        <w:rPr>
          <w:b/>
          <w:noProof/>
          <w:sz w:val="24"/>
        </w:rPr>
        <w:t>identification of the preferred option,</w:t>
      </w:r>
      <w:r>
        <w:rPr>
          <w:noProof/>
          <w:sz w:val="24"/>
        </w:rPr>
        <w:t xml:space="preserve"> a scorecard analysis is used to build a hierarchy of the options by individual criterion and overall</w:t>
      </w:r>
      <w:r>
        <w:rPr>
          <w:iCs/>
          <w:noProof/>
          <w:sz w:val="24"/>
        </w:rPr>
        <w:t xml:space="preserve"> in order to identify a single preferred policy option or in case of an inconclusive comparison of options, a number of ‘retained’ options or hybrid</w:t>
      </w:r>
      <w:r>
        <w:rPr>
          <w:noProof/>
          <w:sz w:val="24"/>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szCs w:val="24"/>
          <w:lang w:val="en-IE"/>
        </w:rPr>
      </w:pPr>
      <w:r>
        <w:rPr>
          <w:rFonts w:eastAsiaTheme="minorEastAsia"/>
          <w:noProof/>
          <w:lang w:eastAsia="ja-JP"/>
        </w:rPr>
        <w:t>This scorecard approach also relies on a standard cost model developed for the external study supporting the impact assessment, as illustrated in Figure 3</w:t>
      </w:r>
      <w:r>
        <w:rPr>
          <w:noProof/>
        </w:rPr>
        <w:t xml:space="preserve">. </w:t>
      </w:r>
      <w:r>
        <w:rPr>
          <w:noProof/>
          <w:szCs w:val="24"/>
          <w:lang w:val="en-IE"/>
        </w:rPr>
        <w:t>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Body"/>
        <w:spacing w:line="240" w:lineRule="auto"/>
        <w:rPr>
          <w:rFonts w:eastAsiaTheme="minorEastAsia"/>
          <w:noProof/>
          <w:sz w:val="24"/>
          <w:lang w:eastAsia="ja-JP"/>
        </w:rPr>
      </w:pPr>
      <w:r>
        <w:rPr>
          <w:noProof/>
          <w:sz w:val="24"/>
        </w:rPr>
        <w:t xml:space="preserve">These costs essentially refer to the administrative, operational and coordination costs of the various options. The figure shows how the scoring of costs </w:t>
      </w:r>
      <w:r>
        <w:rPr>
          <w:rFonts w:eastAsiaTheme="minorEastAsia"/>
          <w:noProof/>
          <w:sz w:val="24"/>
          <w:lang w:eastAsia="ja-JP"/>
        </w:rPr>
        <w:t>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and Co-Funded options, a score of 0 to the Article 185 option and a score of (-) for the Article 187 Institutionalised Partnership policy </w:t>
      </w:r>
      <w:r>
        <w:rPr>
          <w:noProof/>
        </w:rPr>
        <w:t>option</w:t>
      </w:r>
      <w:r>
        <w:rPr>
          <w:rStyle w:val="FootnoteReference"/>
          <w:noProof/>
        </w:rPr>
        <w:footnoteReference w:id="28"/>
      </w:r>
      <w:r>
        <w:rPr>
          <w:noProof/>
        </w:rPr>
        <w:t>.</w:t>
      </w:r>
    </w:p>
    <w:p>
      <w:pPr>
        <w:pStyle w:val="Body"/>
        <w:spacing w:line="240" w:lineRule="auto"/>
        <w:rPr>
          <w:rFonts w:eastAsiaTheme="minorEastAsia"/>
          <w:b/>
          <w:noProof/>
          <w:lang w:eastAsia="ja-JP"/>
        </w:rPr>
      </w:pPr>
      <w:r>
        <w:rPr>
          <w:rFonts w:eastAsiaTheme="minorEastAsia"/>
          <w:b/>
          <w:noProof/>
          <w:lang w:eastAsia="ja-JP"/>
        </w:rPr>
        <w:t>Figure 3: Matrix on ‘overall costs’ and ‘adjusted cost scoring’</w:t>
      </w:r>
    </w:p>
    <w:tbl>
      <w:tblPr>
        <w:tblStyle w:val="Style1"/>
        <w:tblW w:w="5000" w:type="pct"/>
        <w:tblLook w:val="04A0" w:firstRow="1" w:lastRow="0" w:firstColumn="1" w:lastColumn="0" w:noHBand="0" w:noVBand="1"/>
      </w:tblPr>
      <w:tblGrid>
        <w:gridCol w:w="2070"/>
        <w:gridCol w:w="1444"/>
        <w:gridCol w:w="1338"/>
        <w:gridCol w:w="1083"/>
        <w:gridCol w:w="1606"/>
        <w:gridCol w:w="1606"/>
      </w:tblGrid>
      <w:tr>
        <w:trPr>
          <w:cnfStyle w:val="100000000000" w:firstRow="1" w:lastRow="0" w:firstColumn="0" w:lastColumn="0" w:oddVBand="0" w:evenVBand="0" w:oddHBand="0" w:evenHBand="0" w:firstRowFirstColumn="0" w:firstRowLastColumn="0" w:lastRowFirstColumn="0" w:lastRowLastColumn="0"/>
          <w:tblHeader/>
        </w:trPr>
        <w:tc>
          <w:tcPr>
            <w:tcW w:w="1175" w:type="pct"/>
          </w:tcPr>
          <w:p>
            <w:pPr>
              <w:spacing w:after="60"/>
              <w:rPr>
                <w:noProof/>
                <w:sz w:val="20"/>
              </w:rPr>
            </w:pPr>
          </w:p>
        </w:tc>
        <w:tc>
          <w:tcPr>
            <w:tcW w:w="833" w:type="pct"/>
          </w:tcPr>
          <w:p>
            <w:pPr>
              <w:spacing w:after="60"/>
              <w:jc w:val="left"/>
              <w:rPr>
                <w:noProof/>
                <w:sz w:val="20"/>
              </w:rPr>
            </w:pPr>
            <w:r>
              <w:rPr>
                <w:noProof/>
                <w:sz w:val="20"/>
              </w:rPr>
              <w:t>Baseline: Horizon Europe calls</w:t>
            </w:r>
          </w:p>
        </w:tc>
        <w:tc>
          <w:tcPr>
            <w:tcW w:w="720" w:type="pct"/>
          </w:tcPr>
          <w:p>
            <w:pPr>
              <w:spacing w:after="60"/>
              <w:jc w:val="left"/>
              <w:rPr>
                <w:noProof/>
                <w:sz w:val="20"/>
              </w:rPr>
            </w:pPr>
            <w:r>
              <w:rPr>
                <w:noProof/>
                <w:sz w:val="20"/>
              </w:rPr>
              <w:t>Option 1: Co-programmed</w:t>
            </w:r>
          </w:p>
        </w:tc>
        <w:tc>
          <w:tcPr>
            <w:tcW w:w="635" w:type="pct"/>
          </w:tcPr>
          <w:p>
            <w:pPr>
              <w:spacing w:after="60"/>
              <w:jc w:val="left"/>
              <w:rPr>
                <w:noProof/>
                <w:sz w:val="20"/>
              </w:rPr>
            </w:pPr>
            <w:r>
              <w:rPr>
                <w:noProof/>
                <w:sz w:val="20"/>
              </w:rPr>
              <w:t>Option 2: Co-funded</w:t>
            </w:r>
          </w:p>
        </w:tc>
        <w:tc>
          <w:tcPr>
            <w:tcW w:w="865" w:type="pct"/>
          </w:tcPr>
          <w:p>
            <w:pPr>
              <w:spacing w:after="60"/>
              <w:jc w:val="left"/>
              <w:rPr>
                <w:noProof/>
                <w:sz w:val="20"/>
              </w:rPr>
            </w:pPr>
            <w:r>
              <w:rPr>
                <w:noProof/>
                <w:sz w:val="20"/>
              </w:rPr>
              <w:t>Option 3a: Institutionalised 185</w:t>
            </w:r>
          </w:p>
        </w:tc>
        <w:tc>
          <w:tcPr>
            <w:tcW w:w="772" w:type="pct"/>
          </w:tcPr>
          <w:p>
            <w:pPr>
              <w:spacing w:after="60"/>
              <w:jc w:val="left"/>
              <w:rPr>
                <w:noProof/>
                <w:sz w:val="20"/>
              </w:rPr>
            </w:pPr>
            <w:r>
              <w:rPr>
                <w:noProof/>
                <w:sz w:val="20"/>
              </w:rPr>
              <w:t>Option 3b: Institutionalised 187</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(0)</w:t>
            </w:r>
          </w:p>
        </w:tc>
        <w:tc>
          <w:tcPr>
            <w:tcW w:w="635" w:type="pct"/>
          </w:tcPr>
          <w:p>
            <w:pPr>
              <w:spacing w:after="60"/>
              <w:rPr>
                <w:noProof/>
                <w:sz w:val="20"/>
              </w:rPr>
            </w:pPr>
            <w:r>
              <w:rPr>
                <w:noProof/>
                <w:sz w:val="20"/>
              </w:rPr>
              <w:t>( - )</w:t>
            </w:r>
          </w:p>
        </w:tc>
        <w:tc>
          <w:tcPr>
            <w:tcW w:w="865" w:type="pct"/>
          </w:tcPr>
          <w:p>
            <w:pPr>
              <w:spacing w:after="60"/>
              <w:rPr>
                <w:noProof/>
                <w:sz w:val="20"/>
              </w:rPr>
            </w:pPr>
            <w:r>
              <w:rPr>
                <w:noProof/>
                <w:sz w:val="20"/>
              </w:rPr>
              <w:t>( - -)</w:t>
            </w:r>
          </w:p>
        </w:tc>
        <w:tc>
          <w:tcPr>
            <w:tcW w:w="772" w:type="pct"/>
          </w:tcPr>
          <w:p>
            <w:pPr>
              <w:spacing w:after="60"/>
              <w:rPr>
                <w:noProof/>
                <w:sz w:val="20"/>
              </w:rPr>
            </w:pPr>
            <w:r>
              <w:rPr>
                <w:noProof/>
                <w:sz w:val="20"/>
              </w:rPr>
              <w:t>(- -)</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w:t>
            </w:r>
          </w:p>
        </w:tc>
        <w:tc>
          <w:tcPr>
            <w:tcW w:w="635" w:type="pct"/>
          </w:tcPr>
          <w:p>
            <w:pPr>
              <w:spacing w:after="60"/>
              <w:rPr>
                <w:noProof/>
                <w:sz w:val="20"/>
              </w:rPr>
            </w:pPr>
            <w:r>
              <w:rPr>
                <w:noProof/>
                <w:sz w:val="20"/>
              </w:rPr>
              <w:t>(+)</w:t>
            </w:r>
          </w:p>
        </w:tc>
        <w:tc>
          <w:tcPr>
            <w:tcW w:w="865" w:type="pct"/>
          </w:tcPr>
          <w:p>
            <w:pPr>
              <w:spacing w:after="60"/>
              <w:rPr>
                <w:noProof/>
                <w:sz w:val="20"/>
              </w:rPr>
            </w:pPr>
            <w:r>
              <w:rPr>
                <w:noProof/>
                <w:sz w:val="20"/>
              </w:rPr>
              <w:t>(0)</w:t>
            </w:r>
          </w:p>
        </w:tc>
        <w:tc>
          <w:tcPr>
            <w:tcW w:w="772" w:type="pct"/>
          </w:tcPr>
          <w:p>
            <w:pPr>
              <w:spacing w:after="60"/>
              <w:rPr>
                <w:noProof/>
                <w:sz w:val="20"/>
              </w:rPr>
            </w:pPr>
            <w:r>
              <w:rPr>
                <w:noProof/>
                <w:sz w:val="20"/>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Notes: Score 0 = same costs as for the baseline; score (-) = limited additional costs compared to baseline; score (- -) = substantial additional costs compared to baseline. ; score (+) = lower costs compared to baseline</w:t>
      </w:r>
    </w:p>
    <w:p>
      <w:pPr>
        <w:spacing w:before="100" w:beforeAutospacing="1" w:after="100" w:afterAutospacing="1"/>
        <w:rPr>
          <w:noProof/>
        </w:rPr>
      </w:pPr>
    </w:p>
    <w:p>
      <w:pPr>
        <w:pStyle w:val="AnnexTitle"/>
        <w:numPr>
          <w:ilvl w:val="0"/>
          <w:numId w:val="0"/>
        </w:numPr>
        <w:spacing w:before="100" w:beforeAutospacing="1" w:after="100" w:afterAutospacing="1"/>
        <w:ind w:left="2268" w:hanging="2268"/>
        <w:rPr>
          <w:noProof/>
        </w:rPr>
      </w:pPr>
      <w:bookmarkStart w:id="104" w:name="_Toc52793626"/>
      <w:r>
        <w:rPr>
          <w:noProof/>
        </w:rPr>
        <w:t>Annex 5</w:t>
      </w:r>
      <w:r>
        <w:rPr>
          <w:noProof/>
        </w:rPr>
        <w:tab/>
        <w:t>Subsidiarity Grid</w:t>
      </w:r>
      <w:bookmarkEnd w:id="104"/>
    </w:p>
    <w:tbl>
      <w:tblPr>
        <w:tblStyle w:val="TableGrid"/>
        <w:tblW w:w="0" w:type="auto"/>
        <w:tblCellMar>
          <w:top w:w="100" w:type="dxa"/>
          <w:bottom w:w="100" w:type="dxa"/>
        </w:tblCellMar>
        <w:tblLook w:val="04A0" w:firstRow="1" w:lastRow="0" w:firstColumn="1" w:lastColumn="0" w:noHBand="0" w:noVBand="1"/>
      </w:tblPr>
      <w:tblGrid>
        <w:gridCol w:w="9147"/>
      </w:tblGrid>
      <w:tr>
        <w:tc>
          <w:tcPr>
            <w:tcW w:w="9288" w:type="dxa"/>
            <w:shd w:val="clear" w:color="auto" w:fill="808080" w:themeFill="background1" w:themeFillShade="80"/>
          </w:tcPr>
          <w:p>
            <w:pPr>
              <w:numPr>
                <w:ilvl w:val="0"/>
                <w:numId w:val="21"/>
              </w:numPr>
              <w:spacing w:before="100" w:beforeAutospacing="1" w:after="100" w:afterAutospacing="1"/>
              <w:rPr>
                <w:b/>
                <w:noProof/>
                <w:color w:val="000000" w:themeColor="text1"/>
              </w:rPr>
            </w:pPr>
            <w:r>
              <w:rPr>
                <w:b/>
                <w:noProof/>
                <w:color w:val="000000" w:themeColor="text1"/>
              </w:rPr>
              <w:t>Can the Union act? What is the legal basis and competence of the Unions’ intended action?</w:t>
            </w:r>
          </w:p>
        </w:tc>
      </w:tr>
      <w:tr>
        <w:tc>
          <w:tcPr>
            <w:tcW w:w="9288" w:type="dxa"/>
          </w:tcPr>
          <w:p>
            <w:pPr>
              <w:spacing w:before="100" w:beforeAutospacing="1" w:after="100" w:afterAutospacing="1"/>
              <w:rPr>
                <w:b/>
                <w:noProof/>
                <w:color w:val="000000" w:themeColor="text1"/>
              </w:rPr>
            </w:pPr>
            <w:r>
              <w:rPr>
                <w:b/>
                <w:noProof/>
                <w:color w:val="000000" w:themeColor="text1"/>
              </w:rPr>
              <w:t>1.1 Which article(s) of the Treaty are used to support the legislative proposal or policy initiative?</w:t>
            </w:r>
          </w:p>
        </w:tc>
      </w:tr>
      <w:tr>
        <w:tc>
          <w:tcPr>
            <w:tcW w:w="9288" w:type="dxa"/>
          </w:tcPr>
          <w:p>
            <w:pPr>
              <w:spacing w:before="100" w:beforeAutospacing="1" w:after="100" w:afterAutospacing="1"/>
              <w:rPr>
                <w:noProof/>
                <w:color w:val="000000" w:themeColor="text1"/>
              </w:rPr>
            </w:pPr>
            <w:r>
              <w:rPr>
                <w:noProof/>
                <w:color w:val="000000" w:themeColor="text1"/>
              </w:rPr>
              <w:t xml:space="preserve">This proposal is based on (1)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Union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spacing w:before="100" w:beforeAutospacing="1" w:after="100" w:afterAutospacing="1"/>
              <w:rPr>
                <w:noProof/>
                <w:color w:val="000000" w:themeColor="text1"/>
              </w:rPr>
            </w:pPr>
            <w:r>
              <w:rPr>
                <w:noProof/>
                <w:color w:val="000000" w:themeColor="text1"/>
              </w:rPr>
              <w:t>The proposal aims to implement Article 8 of the Commission proposal for Horizon Europe - the future EU research and innovation (R&amp;I) programme for 2021-2027, according to which, “</w:t>
            </w:r>
            <w:r>
              <w:rPr>
                <w:i/>
                <w:noProof/>
                <w:color w:val="000000" w:themeColor="text1"/>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rPr>
              <w:t>”. The Horizon Europe proposal has received the political agreement of the Council and the European Parliament.</w:t>
            </w:r>
          </w:p>
        </w:tc>
      </w:tr>
      <w:tr>
        <w:tc>
          <w:tcPr>
            <w:tcW w:w="9288" w:type="dxa"/>
          </w:tcPr>
          <w:p>
            <w:pPr>
              <w:spacing w:before="100" w:beforeAutospacing="1" w:after="100" w:afterAutospacing="1"/>
              <w:rPr>
                <w:b/>
                <w:noProof/>
                <w:color w:val="000000" w:themeColor="text1"/>
              </w:rPr>
            </w:pPr>
            <w:r>
              <w:rPr>
                <w:b/>
                <w:noProof/>
                <w:color w:val="000000" w:themeColor="text1"/>
              </w:rPr>
              <w:t>1.2 Is the Union competence represented by this Treaty article exclusive, shared or supporting in nature?</w:t>
            </w:r>
          </w:p>
        </w:tc>
      </w:tr>
      <w:tr>
        <w:tc>
          <w:tcPr>
            <w:tcW w:w="9288" w:type="dxa"/>
          </w:tcPr>
          <w:p>
            <w:pPr>
              <w:spacing w:before="100" w:beforeAutospacing="1" w:after="100" w:afterAutospacing="1"/>
              <w:rPr>
                <w:noProof/>
                <w:color w:val="000000" w:themeColor="text1"/>
              </w:rPr>
            </w:pPr>
            <w:r>
              <w:rPr>
                <w:noProof/>
                <w:color w:val="000000" w:themeColor="text1"/>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spacing w:before="100" w:beforeAutospacing="1" w:after="100" w:afterAutospacing="1"/>
              <w:rPr>
                <w:i/>
                <w:noProof/>
                <w:color w:val="000000" w:themeColor="text1"/>
              </w:rPr>
            </w:pPr>
            <w:r>
              <w:rPr>
                <w:i/>
                <w:noProof/>
                <w:color w:val="000000" w:themeColor="text1"/>
              </w:rPr>
              <w:t xml:space="preserve">Subsidiarity does not apply for policy areas where the Union has </w:t>
            </w:r>
            <w:r>
              <w:rPr>
                <w:b/>
                <w:i/>
                <w:noProof/>
                <w:color w:val="000000" w:themeColor="text1"/>
              </w:rPr>
              <w:t>exclusive</w:t>
            </w:r>
            <w:r>
              <w:rPr>
                <w:i/>
                <w:noProof/>
                <w:color w:val="000000" w:themeColor="text1"/>
              </w:rPr>
              <w:t xml:space="preserve"> competence as defined in Article 3 TFEU</w:t>
            </w:r>
            <w:r>
              <w:rPr>
                <w:i/>
                <w:noProof/>
                <w:color w:val="000000" w:themeColor="text1"/>
                <w:vertAlign w:val="superscript"/>
              </w:rPr>
              <w:footnoteReference w:id="29"/>
            </w:r>
            <w:r>
              <w:rPr>
                <w:i/>
                <w:noProof/>
                <w:color w:val="000000" w:themeColor="text1"/>
              </w:rPr>
              <w:t>. It is the specific legal basis which determines whether the proposal falls under the subsidiarity control mechanism. Article 4 TFEU</w:t>
            </w:r>
            <w:r>
              <w:rPr>
                <w:i/>
                <w:noProof/>
                <w:color w:val="000000" w:themeColor="text1"/>
                <w:vertAlign w:val="superscript"/>
              </w:rPr>
              <w:footnoteReference w:id="30"/>
            </w:r>
            <w:r>
              <w:rPr>
                <w:i/>
                <w:noProof/>
                <w:color w:val="000000" w:themeColor="text1"/>
              </w:rPr>
              <w:t xml:space="preserve"> sets out the areas where competence is shared between the Union and the Member States. Article 6 TFEU</w:t>
            </w:r>
            <w:r>
              <w:rPr>
                <w:i/>
                <w:noProof/>
                <w:color w:val="000000" w:themeColor="text1"/>
                <w:vertAlign w:val="superscript"/>
              </w:rPr>
              <w:footnoteReference w:id="31"/>
            </w:r>
            <w:r>
              <w:rPr>
                <w:i/>
                <w:noProof/>
                <w:color w:val="000000" w:themeColor="text1"/>
              </w:rPr>
              <w:t xml:space="preserve"> sets out the areas for which the Unions has competence only to support the actions of the Member States.</w:t>
            </w:r>
          </w:p>
        </w:tc>
      </w:tr>
      <w:tr>
        <w:tc>
          <w:tcPr>
            <w:tcW w:w="9288" w:type="dxa"/>
            <w:shd w:val="clear" w:color="auto" w:fill="808080" w:themeFill="background1" w:themeFillShade="80"/>
          </w:tcPr>
          <w:p>
            <w:pPr>
              <w:numPr>
                <w:ilvl w:val="0"/>
                <w:numId w:val="21"/>
              </w:numPr>
              <w:spacing w:before="100" w:beforeAutospacing="1" w:after="100" w:afterAutospacing="1"/>
              <w:rPr>
                <w:b/>
                <w:noProof/>
                <w:color w:val="000000" w:themeColor="text1"/>
              </w:rPr>
            </w:pPr>
            <w:r>
              <w:rPr>
                <w:b/>
                <w:noProof/>
                <w:color w:val="000000" w:themeColor="text1"/>
              </w:rPr>
              <w:t>Subsidiarity Principle: Why should the EU act?</w:t>
            </w:r>
          </w:p>
        </w:tc>
      </w:tr>
      <w:tr>
        <w:tc>
          <w:tcPr>
            <w:tcW w:w="9288" w:type="dxa"/>
          </w:tcPr>
          <w:p>
            <w:pPr>
              <w:numPr>
                <w:ilvl w:val="1"/>
                <w:numId w:val="21"/>
              </w:numPr>
              <w:spacing w:before="100" w:beforeAutospacing="1" w:after="100" w:afterAutospacing="1"/>
              <w:rPr>
                <w:b/>
                <w:noProof/>
                <w:color w:val="000000" w:themeColor="text1"/>
              </w:rPr>
            </w:pPr>
            <w:r>
              <w:rPr>
                <w:b/>
                <w:noProof/>
                <w:color w:val="000000" w:themeColor="text1"/>
              </w:rPr>
              <w:t>Does the proposal fulfil the procedural requirements of Protocol No. 2</w:t>
            </w:r>
            <w:r>
              <w:rPr>
                <w:b/>
                <w:noProof/>
                <w:color w:val="000000" w:themeColor="text1"/>
                <w:vertAlign w:val="superscript"/>
              </w:rPr>
              <w:footnoteReference w:id="32"/>
            </w:r>
            <w:r>
              <w:rPr>
                <w:b/>
                <w:noProof/>
                <w:color w:val="000000" w:themeColor="text1"/>
              </w:rPr>
              <w:t>:</w:t>
            </w:r>
          </w:p>
          <w:p>
            <w:pPr>
              <w:numPr>
                <w:ilvl w:val="0"/>
                <w:numId w:val="22"/>
              </w:numPr>
              <w:spacing w:before="100" w:beforeAutospacing="1" w:after="100" w:afterAutospacing="1"/>
              <w:rPr>
                <w:noProof/>
                <w:color w:val="000000" w:themeColor="text1"/>
              </w:rPr>
            </w:pPr>
            <w:r>
              <w:rPr>
                <w:noProof/>
                <w:color w:val="000000" w:themeColor="text1"/>
              </w:rPr>
              <w:t>Has there been a wide consultation before proposing the act?</w:t>
            </w:r>
          </w:p>
          <w:p>
            <w:pPr>
              <w:numPr>
                <w:ilvl w:val="0"/>
                <w:numId w:val="22"/>
              </w:numPr>
              <w:spacing w:before="100" w:beforeAutospacing="1" w:after="100" w:afterAutospacing="1"/>
              <w:rPr>
                <w:noProof/>
                <w:color w:val="000000" w:themeColor="text1"/>
              </w:rPr>
            </w:pPr>
            <w:r>
              <w:rPr>
                <w:noProof/>
                <w:color w:val="000000" w:themeColor="text1"/>
              </w:rPr>
              <w:t>Is there a detailed statement with qualitative and, where possible, quantitative indicators allowing an appraisal of whether the action can best be achieved at Union level?</w:t>
            </w:r>
          </w:p>
        </w:tc>
      </w:tr>
      <w:tr>
        <w:tc>
          <w:tcPr>
            <w:tcW w:w="9288" w:type="dxa"/>
          </w:tcPr>
          <w:p>
            <w:pPr>
              <w:spacing w:before="100" w:beforeAutospacing="1" w:after="100" w:afterAutospacing="1"/>
              <w:rPr>
                <w:noProof/>
                <w:color w:val="000000" w:themeColor="text1"/>
              </w:rPr>
            </w:pPr>
            <w:r>
              <w:rPr>
                <w:noProof/>
                <w:color w:val="000000" w:themeColor="text1"/>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spacing w:before="100" w:beforeAutospacing="1" w:after="100" w:afterAutospacing="1"/>
              <w:rPr>
                <w:noProof/>
                <w:color w:val="000000" w:themeColor="text1"/>
              </w:rPr>
            </w:pPr>
            <w:r>
              <w:rPr>
                <w:noProof/>
                <w:color w:val="000000" w:themeColor="text1"/>
              </w:rPr>
              <w:t>The explanatory memorandum and the impact assessment (horizontal part, Section 3) contain a dedicated section on the principle of subsidiarity, as explained in question 2.2 below.</w:t>
            </w:r>
          </w:p>
        </w:tc>
      </w:tr>
      <w:tr>
        <w:tc>
          <w:tcPr>
            <w:tcW w:w="9288" w:type="dxa"/>
          </w:tcPr>
          <w:p>
            <w:pPr>
              <w:numPr>
                <w:ilvl w:val="1"/>
                <w:numId w:val="21"/>
              </w:numPr>
              <w:spacing w:before="100" w:beforeAutospacing="1" w:after="100" w:afterAutospacing="1"/>
              <w:rPr>
                <w:b/>
                <w:noProof/>
                <w:color w:val="000000" w:themeColor="text1"/>
              </w:rPr>
            </w:pPr>
            <w:r>
              <w:rPr>
                <w:b/>
                <w:noProof/>
                <w:color w:val="000000" w:themeColor="text1"/>
              </w:rPr>
              <w:t>Does the explanatory memorandum (and any impact assessment) accompanying the Commission’s proposal contain an adequate justification regarding the conformity with the principle of subsidiarity?</w:t>
            </w:r>
          </w:p>
        </w:tc>
      </w:tr>
      <w:tr>
        <w:tc>
          <w:tcPr>
            <w:tcW w:w="9288" w:type="dxa"/>
          </w:tcPr>
          <w:p>
            <w:pPr>
              <w:spacing w:before="100" w:beforeAutospacing="1" w:after="100" w:afterAutospacing="1"/>
              <w:rPr>
                <w:noProof/>
                <w:color w:val="000000" w:themeColor="text1"/>
              </w:rPr>
            </w:pPr>
            <w:r>
              <w:rPr>
                <w:noProof/>
                <w:color w:val="000000" w:themeColor="text1"/>
              </w:rPr>
              <w:t>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This will also be reflected in the explanatory memorandum.</w:t>
            </w:r>
          </w:p>
        </w:tc>
      </w:tr>
      <w:tr>
        <w:tc>
          <w:tcPr>
            <w:tcW w:w="9288" w:type="dxa"/>
          </w:tcPr>
          <w:p>
            <w:pPr>
              <w:numPr>
                <w:ilvl w:val="1"/>
                <w:numId w:val="21"/>
              </w:numPr>
              <w:spacing w:before="100" w:beforeAutospacing="1" w:after="100" w:afterAutospacing="1"/>
              <w:rPr>
                <w:b/>
                <w:noProof/>
                <w:color w:val="000000" w:themeColor="text1"/>
              </w:rPr>
            </w:pPr>
            <w:r>
              <w:rPr>
                <w:b/>
                <w:noProof/>
                <w:color w:val="000000" w:themeColor="text1"/>
              </w:rPr>
              <w:t>Based on the answers to the questions below, can the objectives of the proposed action be achieved sufficiently by the Member States acting alone (necessity for EU action)?</w:t>
            </w:r>
          </w:p>
        </w:tc>
      </w:tr>
      <w:tr>
        <w:tc>
          <w:tcPr>
            <w:tcW w:w="9288" w:type="dxa"/>
          </w:tcPr>
          <w:p>
            <w:pPr>
              <w:spacing w:before="100" w:beforeAutospacing="1" w:after="100" w:afterAutospacing="1"/>
              <w:rPr>
                <w:noProof/>
                <w:color w:val="000000" w:themeColor="text1"/>
              </w:rPr>
            </w:pPr>
            <w:r>
              <w:rPr>
                <w:noProof/>
                <w:color w:val="000000" w:themeColor="text1"/>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tcPr>
          <w:p>
            <w:pPr>
              <w:numPr>
                <w:ilvl w:val="0"/>
                <w:numId w:val="23"/>
              </w:numPr>
              <w:spacing w:before="100" w:beforeAutospacing="1" w:after="100" w:afterAutospacing="1"/>
              <w:rPr>
                <w:noProof/>
                <w:color w:val="000000" w:themeColor="text1"/>
              </w:rPr>
            </w:pPr>
            <w:r>
              <w:rPr>
                <w:noProof/>
                <w:color w:val="000000" w:themeColor="text1"/>
              </w:rPr>
              <w:t>Are there significant/appreciable transnational/cross-border aspects to the problems being tackled? Have these been quantified?</w:t>
            </w:r>
          </w:p>
        </w:tc>
      </w:tr>
      <w:tr>
        <w:tc>
          <w:tcPr>
            <w:tcW w:w="9288" w:type="dxa"/>
          </w:tcPr>
          <w:p>
            <w:pPr>
              <w:spacing w:before="100" w:beforeAutospacing="1" w:after="100" w:afterAutospacing="1"/>
              <w:rPr>
                <w:noProof/>
                <w:color w:val="000000" w:themeColor="text1"/>
              </w:rPr>
            </w:pPr>
            <w:r>
              <w:rPr>
                <w:noProof/>
                <w:color w:val="000000" w:themeColor="text1"/>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23"/>
              </w:numPr>
              <w:spacing w:before="100" w:beforeAutospacing="1" w:after="100" w:afterAutospacing="1"/>
              <w:rPr>
                <w:noProof/>
                <w:color w:val="000000" w:themeColor="text1"/>
              </w:rPr>
            </w:pPr>
            <w:r>
              <w:rPr>
                <w:noProof/>
                <w:color w:val="000000" w:themeColor="text1"/>
              </w:rPr>
              <w:t>Would national action or the absence of the EU level action conflict with core objectives of the Treaty</w:t>
            </w:r>
            <w:r>
              <w:rPr>
                <w:noProof/>
                <w:color w:val="000000" w:themeColor="text1"/>
                <w:vertAlign w:val="superscript"/>
              </w:rPr>
              <w:footnoteReference w:id="33"/>
            </w:r>
            <w:r>
              <w:rPr>
                <w:noProof/>
                <w:color w:val="000000" w:themeColor="text1"/>
              </w:rPr>
              <w:t xml:space="preserve"> or significantly damage the interests of other Member States?</w:t>
            </w:r>
          </w:p>
        </w:tc>
      </w:tr>
      <w:tr>
        <w:tc>
          <w:tcPr>
            <w:tcW w:w="9288" w:type="dxa"/>
          </w:tcPr>
          <w:p>
            <w:pPr>
              <w:spacing w:before="100" w:beforeAutospacing="1" w:after="100" w:afterAutospacing="1"/>
              <w:rPr>
                <w:noProof/>
                <w:color w:val="000000" w:themeColor="text1"/>
              </w:rPr>
            </w:pPr>
            <w:r>
              <w:rPr>
                <w:noProof/>
                <w:color w:val="000000" w:themeColor="text1"/>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23"/>
              </w:numPr>
              <w:spacing w:before="100" w:beforeAutospacing="1" w:after="100" w:afterAutospacing="1"/>
              <w:rPr>
                <w:noProof/>
                <w:color w:val="000000" w:themeColor="text1"/>
              </w:rPr>
            </w:pPr>
            <w:r>
              <w:rPr>
                <w:noProof/>
                <w:color w:val="000000" w:themeColor="text1"/>
              </w:rPr>
              <w:t>To what extent do Member States have the ability or possibility to enact appropriate measures?</w:t>
            </w:r>
          </w:p>
        </w:tc>
      </w:tr>
      <w:tr>
        <w:tc>
          <w:tcPr>
            <w:tcW w:w="9288" w:type="dxa"/>
          </w:tcPr>
          <w:p>
            <w:pPr>
              <w:spacing w:before="100" w:beforeAutospacing="1" w:after="100" w:afterAutospacing="1"/>
              <w:rPr>
                <w:noProof/>
                <w:color w:val="000000" w:themeColor="text1"/>
              </w:rPr>
            </w:pPr>
            <w:r>
              <w:rPr>
                <w:noProof/>
                <w:color w:val="000000" w:themeColor="text1"/>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23"/>
              </w:numPr>
              <w:spacing w:before="100" w:beforeAutospacing="1" w:after="100" w:afterAutospacing="1"/>
              <w:rPr>
                <w:noProof/>
                <w:color w:val="000000" w:themeColor="text1"/>
              </w:rPr>
            </w:pPr>
            <w:r>
              <w:rPr>
                <w:noProof/>
                <w:color w:val="000000" w:themeColor="text1"/>
              </w:rPr>
              <w:t>How does the problem and its causes (e.g. negative externalities, spill-over effects) vary across the national, regional and local levels of the EU?</w:t>
            </w:r>
          </w:p>
        </w:tc>
      </w:tr>
      <w:tr>
        <w:tc>
          <w:tcPr>
            <w:tcW w:w="9288" w:type="dxa"/>
          </w:tcPr>
          <w:p>
            <w:pPr>
              <w:spacing w:before="100" w:beforeAutospacing="1" w:after="100" w:afterAutospacing="1"/>
              <w:rPr>
                <w:noProof/>
                <w:color w:val="000000" w:themeColor="text1"/>
              </w:rPr>
            </w:pPr>
            <w:r>
              <w:rPr>
                <w:noProof/>
                <w:color w:val="000000" w:themeColor="text1"/>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23"/>
              </w:numPr>
              <w:spacing w:before="100" w:beforeAutospacing="1" w:after="100" w:afterAutospacing="1"/>
              <w:rPr>
                <w:noProof/>
                <w:color w:val="000000" w:themeColor="text1"/>
              </w:rPr>
            </w:pPr>
            <w:r>
              <w:rPr>
                <w:noProof/>
                <w:color w:val="000000" w:themeColor="text1"/>
              </w:rPr>
              <w:t>Is the problem widespread across the EU or limited to a few Member States?</w:t>
            </w:r>
          </w:p>
        </w:tc>
      </w:tr>
      <w:tr>
        <w:tc>
          <w:tcPr>
            <w:tcW w:w="9288" w:type="dxa"/>
          </w:tcPr>
          <w:p>
            <w:pPr>
              <w:spacing w:before="100" w:beforeAutospacing="1" w:after="100" w:afterAutospacing="1"/>
              <w:rPr>
                <w:noProof/>
                <w:color w:val="000000" w:themeColor="text1"/>
              </w:rPr>
            </w:pPr>
            <w:r>
              <w:rPr>
                <w:noProof/>
                <w:color w:val="000000" w:themeColor="text1"/>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23"/>
              </w:numPr>
              <w:spacing w:before="100" w:beforeAutospacing="1" w:after="100" w:afterAutospacing="1"/>
              <w:rPr>
                <w:noProof/>
                <w:color w:val="000000" w:themeColor="text1"/>
              </w:rPr>
            </w:pPr>
            <w:r>
              <w:rPr>
                <w:noProof/>
                <w:color w:val="000000" w:themeColor="text1"/>
              </w:rPr>
              <w:t>Are Member States overstretched in achieving the objectives of the planned measure?</w:t>
            </w:r>
          </w:p>
        </w:tc>
      </w:tr>
      <w:tr>
        <w:tc>
          <w:tcPr>
            <w:tcW w:w="9288" w:type="dxa"/>
          </w:tcPr>
          <w:p>
            <w:pPr>
              <w:spacing w:before="100" w:beforeAutospacing="1" w:after="100" w:afterAutospacing="1"/>
              <w:rPr>
                <w:noProof/>
                <w:color w:val="000000" w:themeColor="text1"/>
              </w:rPr>
            </w:pPr>
            <w:r>
              <w:rPr>
                <w:noProof/>
                <w:color w:val="000000" w:themeColor="text1"/>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23"/>
              </w:numPr>
              <w:spacing w:before="100" w:beforeAutospacing="1" w:after="100" w:afterAutospacing="1"/>
              <w:rPr>
                <w:noProof/>
                <w:color w:val="000000" w:themeColor="text1"/>
              </w:rPr>
            </w:pPr>
            <w:r>
              <w:rPr>
                <w:noProof/>
                <w:color w:val="000000" w:themeColor="text1"/>
              </w:rPr>
              <w:t>How do the views/preferred courses of action of national, regional and local authorities differ across the EU?</w:t>
            </w:r>
          </w:p>
        </w:tc>
      </w:tr>
      <w:tr>
        <w:tc>
          <w:tcPr>
            <w:tcW w:w="9288" w:type="dxa"/>
          </w:tcPr>
          <w:p>
            <w:pPr>
              <w:spacing w:before="100" w:beforeAutospacing="1" w:after="100" w:afterAutospacing="1"/>
              <w:rPr>
                <w:noProof/>
                <w:color w:val="000000" w:themeColor="text1"/>
              </w:rPr>
            </w:pPr>
            <w:r>
              <w:rPr>
                <w:noProof/>
                <w:color w:val="000000" w:themeColor="text1"/>
              </w:rPr>
              <w:t>No specific differences between the views of national, regional and local authorities emerged from the stakeholder consultation.</w:t>
            </w:r>
          </w:p>
        </w:tc>
      </w:tr>
      <w:tr>
        <w:tc>
          <w:tcPr>
            <w:tcW w:w="9288" w:type="dxa"/>
          </w:tcPr>
          <w:p>
            <w:pPr>
              <w:numPr>
                <w:ilvl w:val="1"/>
                <w:numId w:val="21"/>
              </w:numPr>
              <w:spacing w:before="100" w:beforeAutospacing="1" w:after="100" w:afterAutospacing="1"/>
              <w:rPr>
                <w:b/>
                <w:noProof/>
                <w:color w:val="000000" w:themeColor="text1"/>
              </w:rPr>
            </w:pPr>
            <w:r>
              <w:rPr>
                <w:b/>
                <w:noProof/>
                <w:color w:val="000000" w:themeColor="text1"/>
              </w:rPr>
              <w:t>Based on the answer to the questions below, can the objectives of the proposed action be better achieved at Union level by reason of scale or effects of that action (EU added value)?</w:t>
            </w:r>
          </w:p>
        </w:tc>
      </w:tr>
      <w:tr>
        <w:tc>
          <w:tcPr>
            <w:tcW w:w="9288" w:type="dxa"/>
          </w:tcPr>
          <w:p>
            <w:pPr>
              <w:spacing w:before="100" w:beforeAutospacing="1" w:after="100" w:afterAutospacing="1"/>
              <w:rPr>
                <w:noProof/>
                <w:color w:val="000000" w:themeColor="text1"/>
              </w:rPr>
            </w:pPr>
            <w:r>
              <w:rPr>
                <w:noProof/>
                <w:color w:val="000000" w:themeColor="text1"/>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tcPr>
          <w:p>
            <w:pPr>
              <w:numPr>
                <w:ilvl w:val="0"/>
                <w:numId w:val="24"/>
              </w:numPr>
              <w:spacing w:before="100" w:beforeAutospacing="1" w:after="100" w:afterAutospacing="1"/>
              <w:rPr>
                <w:noProof/>
                <w:color w:val="000000" w:themeColor="text1"/>
              </w:rPr>
            </w:pPr>
            <w:r>
              <w:rPr>
                <w:noProof/>
                <w:color w:val="000000" w:themeColor="text1"/>
              </w:rPr>
              <w:t xml:space="preserve">Are there clear benefits from EU level action? </w:t>
            </w:r>
          </w:p>
        </w:tc>
      </w:tr>
      <w:tr>
        <w:tc>
          <w:tcPr>
            <w:tcW w:w="9288" w:type="dxa"/>
          </w:tcPr>
          <w:p>
            <w:pPr>
              <w:spacing w:before="100" w:beforeAutospacing="1" w:after="100" w:afterAutospacing="1"/>
              <w:rPr>
                <w:noProof/>
                <w:color w:val="000000" w:themeColor="text1"/>
              </w:rPr>
            </w:pPr>
            <w:r>
              <w:rPr>
                <w:noProof/>
                <w:color w:val="000000" w:themeColor="text1"/>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tc>
      </w:tr>
      <w:tr>
        <w:tc>
          <w:tcPr>
            <w:tcW w:w="9288" w:type="dxa"/>
          </w:tcPr>
          <w:p>
            <w:pPr>
              <w:numPr>
                <w:ilvl w:val="0"/>
                <w:numId w:val="24"/>
              </w:numPr>
              <w:spacing w:before="100" w:beforeAutospacing="1" w:after="100" w:afterAutospacing="1"/>
              <w:rPr>
                <w:noProof/>
                <w:color w:val="000000" w:themeColor="text1"/>
              </w:rPr>
            </w:pPr>
            <w:r>
              <w:rPr>
                <w:noProof/>
                <w:color w:val="000000" w:themeColor="text1"/>
              </w:rPr>
              <w:t>Are there economies of scale? Can the objectives be met more efficiently at EU level (larger benefits per unit cost)? Will the functioning of the internal market be improved?</w:t>
            </w:r>
          </w:p>
        </w:tc>
      </w:tr>
      <w:tr>
        <w:tc>
          <w:tcPr>
            <w:tcW w:w="9288" w:type="dxa"/>
          </w:tcPr>
          <w:p>
            <w:pPr>
              <w:spacing w:before="100" w:beforeAutospacing="1" w:after="100" w:afterAutospacing="1"/>
              <w:rPr>
                <w:noProof/>
                <w:color w:val="000000" w:themeColor="text1"/>
              </w:rPr>
            </w:pPr>
            <w:r>
              <w:rPr>
                <w:noProof/>
                <w:color w:val="000000" w:themeColor="text1"/>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24"/>
              </w:numPr>
              <w:spacing w:before="100" w:beforeAutospacing="1" w:after="100" w:afterAutospacing="1"/>
              <w:rPr>
                <w:noProof/>
                <w:color w:val="000000" w:themeColor="text1"/>
              </w:rPr>
            </w:pPr>
            <w:r>
              <w:rPr>
                <w:noProof/>
                <w:color w:val="000000" w:themeColor="text1"/>
              </w:rPr>
              <w:t>What are the benefits in replacing different national policies and rules with a more homogenous policy approach?</w:t>
            </w:r>
          </w:p>
        </w:tc>
      </w:tr>
      <w:tr>
        <w:tc>
          <w:tcPr>
            <w:tcW w:w="9288" w:type="dxa"/>
          </w:tcPr>
          <w:p>
            <w:pPr>
              <w:spacing w:before="100" w:beforeAutospacing="1" w:after="100" w:afterAutospacing="1"/>
              <w:rPr>
                <w:noProof/>
                <w:color w:val="000000" w:themeColor="text1"/>
              </w:rPr>
            </w:pPr>
            <w:r>
              <w:rPr>
                <w:noProof/>
                <w:color w:val="000000" w:themeColor="text1"/>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24"/>
              </w:numPr>
              <w:spacing w:before="100" w:beforeAutospacing="1" w:after="100" w:afterAutospacing="1"/>
              <w:rPr>
                <w:noProof/>
                <w:color w:val="000000" w:themeColor="text1"/>
              </w:rPr>
            </w:pPr>
            <w:r>
              <w:rPr>
                <w:noProof/>
                <w:color w:val="000000" w:themeColor="text1"/>
              </w:rPr>
              <w:t>Do the benefits of EU-level action outweigh the loss of competence of the Member States and the local and regional authorities (beyond the costs and benefits of acting at national, regional and local levels)?</w:t>
            </w:r>
          </w:p>
        </w:tc>
      </w:tr>
      <w:tr>
        <w:tc>
          <w:tcPr>
            <w:tcW w:w="9288" w:type="dxa"/>
          </w:tcPr>
          <w:p>
            <w:pPr>
              <w:spacing w:before="100" w:beforeAutospacing="1" w:after="100" w:afterAutospacing="1"/>
              <w:rPr>
                <w:noProof/>
                <w:color w:val="000000" w:themeColor="text1"/>
              </w:rPr>
            </w:pPr>
            <w:r>
              <w:rPr>
                <w:noProof/>
                <w:color w:val="000000" w:themeColor="text1"/>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24"/>
              </w:numPr>
              <w:spacing w:before="100" w:beforeAutospacing="1" w:after="100" w:afterAutospacing="1"/>
              <w:rPr>
                <w:noProof/>
                <w:color w:val="000000" w:themeColor="text1"/>
              </w:rPr>
            </w:pPr>
            <w:r>
              <w:rPr>
                <w:noProof/>
                <w:color w:val="000000" w:themeColor="text1"/>
              </w:rPr>
              <w:t>Will there be improved legal clarity for those having to implement the legislation?</w:t>
            </w:r>
          </w:p>
        </w:tc>
      </w:tr>
      <w:tr>
        <w:tc>
          <w:tcPr>
            <w:tcW w:w="9288" w:type="dxa"/>
          </w:tcPr>
          <w:p>
            <w:pPr>
              <w:spacing w:before="100" w:beforeAutospacing="1" w:after="100" w:afterAutospacing="1"/>
              <w:rPr>
                <w:noProof/>
                <w:color w:val="000000" w:themeColor="text1"/>
              </w:rPr>
            </w:pPr>
            <w:r>
              <w:rPr>
                <w:noProof/>
                <w:color w:val="000000" w:themeColor="text1"/>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spacing w:before="100" w:beforeAutospacing="1" w:after="100" w:afterAutospacing="1"/>
              <w:rPr>
                <w:b/>
                <w:noProof/>
                <w:color w:val="000000" w:themeColor="text1"/>
              </w:rPr>
            </w:pPr>
            <w:r>
              <w:rPr>
                <w:b/>
                <w:noProof/>
                <w:color w:val="000000" w:themeColor="text1"/>
              </w:rPr>
              <w:t>3.  Proportionality: How the EU should act</w:t>
            </w:r>
          </w:p>
        </w:tc>
      </w:tr>
      <w:tr>
        <w:tc>
          <w:tcPr>
            <w:tcW w:w="9288" w:type="dxa"/>
          </w:tcPr>
          <w:p>
            <w:pPr>
              <w:numPr>
                <w:ilvl w:val="1"/>
                <w:numId w:val="25"/>
              </w:numPr>
              <w:spacing w:before="100" w:beforeAutospacing="1" w:after="100" w:afterAutospacing="1"/>
              <w:rPr>
                <w:b/>
                <w:noProof/>
                <w:color w:val="000000" w:themeColor="text1"/>
              </w:rPr>
            </w:pPr>
            <w:r>
              <w:rPr>
                <w:b/>
                <w:noProof/>
                <w:color w:val="000000" w:themeColor="text1"/>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spacing w:before="100" w:beforeAutospacing="1" w:after="100" w:afterAutospacing="1"/>
              <w:rPr>
                <w:noProof/>
                <w:color w:val="000000" w:themeColor="text1"/>
              </w:rPr>
            </w:pPr>
            <w:r>
              <w:rPr>
                <w:noProof/>
                <w:color w:val="000000" w:themeColor="text1"/>
              </w:rPr>
              <w:t>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This will also be reflected in the explanatory memorandum.</w:t>
            </w:r>
          </w:p>
        </w:tc>
      </w:tr>
      <w:tr>
        <w:tc>
          <w:tcPr>
            <w:tcW w:w="9288" w:type="dxa"/>
          </w:tcPr>
          <w:p>
            <w:pPr>
              <w:numPr>
                <w:ilvl w:val="1"/>
                <w:numId w:val="25"/>
              </w:numPr>
              <w:spacing w:before="100" w:beforeAutospacing="1" w:after="100" w:afterAutospacing="1"/>
              <w:rPr>
                <w:b/>
                <w:noProof/>
                <w:color w:val="000000" w:themeColor="text1"/>
              </w:rPr>
            </w:pPr>
            <w:r>
              <w:rPr>
                <w:b/>
                <w:noProof/>
                <w:color w:val="000000" w:themeColor="text1"/>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spacing w:before="100" w:beforeAutospacing="1" w:after="100" w:afterAutospacing="1"/>
              <w:rPr>
                <w:noProof/>
                <w:color w:val="000000" w:themeColor="text1"/>
              </w:rPr>
            </w:pPr>
            <w:r>
              <w:rPr>
                <w:noProof/>
                <w:color w:val="000000" w:themeColor="text1"/>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This will also be reflected in the explanatory memorandum.</w:t>
            </w:r>
          </w:p>
        </w:tc>
      </w:tr>
      <w:tr>
        <w:tc>
          <w:tcPr>
            <w:tcW w:w="9288" w:type="dxa"/>
          </w:tcPr>
          <w:p>
            <w:pPr>
              <w:numPr>
                <w:ilvl w:val="0"/>
                <w:numId w:val="26"/>
              </w:numPr>
              <w:spacing w:before="100" w:beforeAutospacing="1" w:after="100" w:afterAutospacing="1"/>
              <w:rPr>
                <w:noProof/>
                <w:color w:val="000000" w:themeColor="text1"/>
              </w:rPr>
            </w:pPr>
            <w:r>
              <w:rPr>
                <w:noProof/>
                <w:color w:val="000000" w:themeColor="text1"/>
              </w:rPr>
              <w:t>Is the initiative limited to those aspects that Member States cannot achieve satisfactorily on their own, and where the Union can do better?</w:t>
            </w:r>
          </w:p>
        </w:tc>
      </w:tr>
      <w:tr>
        <w:tc>
          <w:tcPr>
            <w:tcW w:w="9288" w:type="dxa"/>
          </w:tcPr>
          <w:p>
            <w:pPr>
              <w:spacing w:before="100" w:beforeAutospacing="1" w:after="100" w:afterAutospacing="1"/>
              <w:rPr>
                <w:noProof/>
                <w:color w:val="000000" w:themeColor="text1"/>
              </w:rPr>
            </w:pPr>
            <w:r>
              <w:rPr>
                <w:noProof/>
                <w:color w:val="000000" w:themeColor="text1"/>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26"/>
              </w:numPr>
              <w:spacing w:before="100" w:beforeAutospacing="1" w:after="100" w:afterAutospacing="1"/>
              <w:rPr>
                <w:noProof/>
                <w:color w:val="000000" w:themeColor="text1"/>
              </w:rPr>
            </w:pPr>
            <w:r>
              <w:rPr>
                <w:noProof/>
                <w:color w:val="000000" w:themeColor="text1"/>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spacing w:before="100" w:beforeAutospacing="1" w:after="100" w:afterAutospacing="1"/>
              <w:rPr>
                <w:noProof/>
                <w:color w:val="000000" w:themeColor="text1"/>
              </w:rPr>
            </w:pPr>
            <w:r>
              <w:rPr>
                <w:noProof/>
                <w:color w:val="000000" w:themeColor="text1"/>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26"/>
              </w:numPr>
              <w:spacing w:before="100" w:beforeAutospacing="1" w:after="100" w:afterAutospacing="1"/>
              <w:rPr>
                <w:noProof/>
                <w:color w:val="000000" w:themeColor="text1"/>
              </w:rPr>
            </w:pPr>
            <w:r>
              <w:rPr>
                <w:noProof/>
                <w:color w:val="000000" w:themeColor="text1"/>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spacing w:before="100" w:beforeAutospacing="1" w:after="100" w:afterAutospacing="1"/>
              <w:rPr>
                <w:noProof/>
                <w:color w:val="000000" w:themeColor="text1"/>
              </w:rPr>
            </w:pPr>
            <w:r>
              <w:rPr>
                <w:noProof/>
                <w:color w:val="000000" w:themeColor="text1"/>
              </w:rPr>
              <w:t>The proposed approach leaves full freedom to the Member States to pursue their own actions in the policy areas covered by the present proposal.</w:t>
            </w:r>
          </w:p>
        </w:tc>
      </w:tr>
      <w:tr>
        <w:tc>
          <w:tcPr>
            <w:tcW w:w="9288" w:type="dxa"/>
          </w:tcPr>
          <w:p>
            <w:pPr>
              <w:numPr>
                <w:ilvl w:val="0"/>
                <w:numId w:val="26"/>
              </w:numPr>
              <w:spacing w:before="100" w:beforeAutospacing="1" w:after="100" w:afterAutospacing="1"/>
              <w:rPr>
                <w:noProof/>
                <w:color w:val="000000" w:themeColor="text1"/>
              </w:rPr>
            </w:pPr>
            <w:r>
              <w:rPr>
                <w:noProof/>
                <w:color w:val="000000" w:themeColor="text1"/>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spacing w:before="100" w:beforeAutospacing="1" w:after="100" w:afterAutospacing="1"/>
              <w:rPr>
                <w:noProof/>
                <w:color w:val="000000" w:themeColor="text1"/>
              </w:rPr>
            </w:pPr>
            <w:r>
              <w:rPr>
                <w:noProof/>
                <w:color w:val="000000" w:themeColor="text1"/>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26"/>
              </w:numPr>
              <w:spacing w:before="100" w:beforeAutospacing="1" w:after="100" w:afterAutospacing="1"/>
              <w:rPr>
                <w:noProof/>
                <w:color w:val="000000" w:themeColor="text1"/>
              </w:rPr>
            </w:pPr>
            <w:r>
              <w:rPr>
                <w:noProof/>
                <w:color w:val="000000" w:themeColor="text1"/>
              </w:rPr>
              <w:t>While respecting the Union law, have special circumstances applying in individual Member States been taken into account?</w:t>
            </w:r>
          </w:p>
        </w:tc>
      </w:tr>
      <w:tr>
        <w:tc>
          <w:tcPr>
            <w:tcW w:w="9288" w:type="dxa"/>
          </w:tcPr>
          <w:p>
            <w:pPr>
              <w:spacing w:before="100" w:beforeAutospacing="1" w:after="100" w:afterAutospacing="1"/>
              <w:rPr>
                <w:noProof/>
                <w:color w:val="000000" w:themeColor="text1"/>
              </w:rPr>
            </w:pPr>
            <w:r>
              <w:rPr>
                <w:noProof/>
                <w:color w:val="000000" w:themeColor="text1"/>
              </w:rPr>
              <w:t>Where relevant, differences between Member States in capacity and stage of advancement of R&amp;I in specific thematic areas have been taken into account in the individual impact assessments.</w:t>
            </w:r>
          </w:p>
        </w:tc>
      </w:tr>
    </w:tbl>
    <w:p>
      <w:pPr>
        <w:spacing w:before="100" w:beforeAutospacing="1" w:after="100" w:afterAutospacing="1"/>
        <w:rPr>
          <w:noProof/>
        </w:rPr>
      </w:pPr>
    </w:p>
    <w:p>
      <w:pPr>
        <w:spacing w:before="100" w:beforeAutospacing="1" w:after="100" w:afterAutospacing="1"/>
        <w:rPr>
          <w:noProof/>
        </w:rPr>
      </w:pPr>
    </w:p>
    <w:sectPr>
      <w:headerReference w:type="even" r:id="rId46"/>
      <w:headerReference w:type="default" r:id="rId47"/>
      <w:footerReference w:type="even" r:id="rId48"/>
      <w:footerReference w:type="default" r:id="rId49"/>
      <w:headerReference w:type="first" r:id="rId50"/>
      <w:footerReference w:type="first" r:id="rId51"/>
      <w:pgSz w:w="11906" w:h="16838"/>
      <w:pgMar w:top="1134" w:right="1558"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eciliaLTSt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9008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Technopolis Group, 2020, forthcoming.</w:t>
      </w:r>
    </w:p>
  </w:footnote>
  <w:footnote w:id="2">
    <w:p>
      <w:pPr>
        <w:pStyle w:val="FootnoteText"/>
        <w:spacing w:after="0"/>
        <w:rPr>
          <w:lang w:val="hr-HR"/>
        </w:rPr>
      </w:pPr>
      <w:r>
        <w:rPr>
          <w:rStyle w:val="FootnoteReference"/>
          <w:sz w:val="16"/>
          <w:szCs w:val="16"/>
        </w:rPr>
        <w:footnoteRef/>
      </w:r>
      <w:r>
        <w:rPr>
          <w:sz w:val="16"/>
          <w:szCs w:val="16"/>
          <w:lang w:val="hr-HR"/>
        </w:rPr>
        <w:t xml:space="preserve"> </w:t>
      </w:r>
      <w:hyperlink r:id="rId1" w:history="1">
        <w:r>
          <w:rPr>
            <w:rStyle w:val="Hyperlink"/>
            <w:lang w:val="hr-HR"/>
          </w:rPr>
          <w:t>https://ec.europa.eu/info/files/better-regulation-guidelines-stakeholder-consultation_en</w:t>
        </w:r>
      </w:hyperlink>
    </w:p>
  </w:footnote>
  <w:footnote w:id="3">
    <w:p>
      <w:pPr>
        <w:spacing w:after="0"/>
        <w:rPr>
          <w:sz w:val="20"/>
          <w:lang w:val="hr-HR"/>
        </w:rPr>
      </w:pPr>
      <w:r>
        <w:rPr>
          <w:rStyle w:val="FootnoteReference"/>
          <w:sz w:val="20"/>
        </w:rPr>
        <w:footnoteRef/>
      </w:r>
      <w:r>
        <w:rPr>
          <w:sz w:val="20"/>
          <w:lang w:val="hr-HR"/>
        </w:rPr>
        <w:t xml:space="preserve"> </w:t>
      </w:r>
      <w:hyperlink r:id="rId2" w:history="1">
        <w:r>
          <w:rPr>
            <w:rStyle w:val="Hyperlink"/>
            <w:sz w:val="20"/>
            <w:lang w:val="hr-HR"/>
          </w:rPr>
          <w:t>https://ec.europa.eu/eusurvey/runner/ConsultationPartnershipsHorizonEurope</w:t>
        </w:r>
      </w:hyperlink>
      <w:r>
        <w:rPr>
          <w:rStyle w:val="Hyperlink"/>
          <w:sz w:val="20"/>
          <w:lang w:val="hr-HR"/>
        </w:rPr>
        <w:t xml:space="preserve"> </w:t>
      </w:r>
    </w:p>
  </w:footnote>
  <w:footnote w:id="4">
    <w:p>
      <w:pPr>
        <w:pStyle w:val="FootnoteText"/>
        <w:ind w:left="0" w:firstLine="0"/>
        <w:rPr>
          <w:lang w:val="en-IE"/>
        </w:rPr>
      </w:pP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5">
    <w:p>
      <w:pPr>
        <w:pStyle w:val="ListDash1"/>
        <w:numPr>
          <w:ilvl w:val="0"/>
          <w:numId w:val="0"/>
        </w:numPr>
        <w:spacing w:before="240"/>
        <w:rPr>
          <w:sz w:val="20"/>
          <w:szCs w:val="28"/>
          <w:lang w:val="en-IE"/>
        </w:rPr>
      </w:pPr>
      <w:r>
        <w:rPr>
          <w:rStyle w:val="FootnoteReference"/>
          <w:sz w:val="20"/>
        </w:rPr>
        <w:footnoteRef/>
      </w:r>
      <w:r>
        <w:rPr>
          <w:sz w:val="20"/>
        </w:rPr>
        <w:t xml:space="preserve"> T</w:t>
      </w:r>
      <w:r>
        <w:rPr>
          <w:sz w:val="20"/>
          <w:szCs w:val="28"/>
          <w:lang w:val="en-IE"/>
        </w:rPr>
        <w:t>his chapter provides information on various measures and solutions that could be proposed to address the feedback received. It should be noted that these ideas need validation in the legislative act or any other legal documents laying down the functioning of the partnership (e.g. statutes or rules of procedure of individual governance bodies).</w:t>
      </w:r>
    </w:p>
  </w:footnote>
  <w:footnote w:id="6">
    <w:p>
      <w:pPr>
        <w:pStyle w:val="FootnoteText"/>
        <w:spacing w:after="0"/>
        <w:ind w:left="0" w:firstLine="0"/>
      </w:pPr>
      <w:r>
        <w:rPr>
          <w:rStyle w:val="FootnoteReference"/>
        </w:rPr>
        <w:footnoteRef/>
      </w:r>
      <w:r>
        <w:t xml:space="preserve"> Chakravarthy R et al (2016) Public- and private-sector contributions to the research and development of the most transformational drugs in the past 25 years. Therapeutic Innovation and Regulatory Science, 50(6) 759-768. </w:t>
      </w:r>
      <w:hyperlink r:id="rId3" w:history="1">
        <w:r>
          <w:rPr>
            <w:rStyle w:val="Hyperlink"/>
          </w:rPr>
          <w:t>http://dx.doi.org/10.1177/2168479016648730</w:t>
        </w:r>
      </w:hyperlink>
      <w:r>
        <w:rPr>
          <w:color w:val="2B3ECE"/>
        </w:rPr>
        <w:t xml:space="preserve"> </w:t>
      </w:r>
    </w:p>
  </w:footnote>
  <w:footnote w:id="7">
    <w:p>
      <w:pPr>
        <w:pStyle w:val="FootnoteText"/>
        <w:spacing w:after="0"/>
        <w:ind w:left="0" w:firstLine="0"/>
      </w:pPr>
      <w:r>
        <w:rPr>
          <w:rStyle w:val="FootnoteReference"/>
        </w:rPr>
        <w:footnoteRef/>
      </w:r>
      <w:r>
        <w:t xml:space="preserve"> Wong CH, Siah KW and Lo AW (2018) Estimation of clinical trial success rates and related parameters. Biostatistics (February) 1-14. </w:t>
      </w:r>
      <w:hyperlink r:id="rId4" w:history="1">
        <w:r>
          <w:rPr>
            <w:rStyle w:val="Hyperlink"/>
          </w:rPr>
          <w:t>http://dx.doi.org/10.1093/biostatistics/kxx069</w:t>
        </w:r>
      </w:hyperlink>
      <w:r>
        <w:rPr>
          <w:color w:val="000000"/>
        </w:rPr>
        <w:t xml:space="preserve"> </w:t>
      </w:r>
    </w:p>
  </w:footnote>
  <w:footnote w:id="8">
    <w:p>
      <w:pPr>
        <w:autoSpaceDE w:val="0"/>
        <w:autoSpaceDN w:val="0"/>
        <w:adjustRightInd w:val="0"/>
        <w:spacing w:after="0"/>
        <w:rPr>
          <w:sz w:val="20"/>
        </w:rPr>
      </w:pPr>
      <w:r>
        <w:rPr>
          <w:rStyle w:val="FootnoteReference"/>
          <w:sz w:val="20"/>
        </w:rPr>
        <w:footnoteRef/>
      </w:r>
      <w:r>
        <w:rPr>
          <w:sz w:val="20"/>
        </w:rPr>
        <w:t xml:space="preserve"> OECD (2018), </w:t>
      </w:r>
      <w:r>
        <w:rPr>
          <w:iCs/>
          <w:sz w:val="20"/>
        </w:rPr>
        <w:t>Pharmaceutical Innovation and Access to Medicines</w:t>
      </w:r>
      <w:r>
        <w:rPr>
          <w:sz w:val="20"/>
        </w:rPr>
        <w:t xml:space="preserve">, OECD Health Policy Studies, OECD Publishing, Paris. </w:t>
      </w:r>
      <w:hyperlink r:id="rId5" w:history="1">
        <w:r>
          <w:rPr>
            <w:rStyle w:val="Hyperlink"/>
            <w:iCs/>
            <w:sz w:val="20"/>
          </w:rPr>
          <w:t>https://doi.org/10.1787/9789264307391-en</w:t>
        </w:r>
      </w:hyperlink>
      <w:r>
        <w:rPr>
          <w:rFonts w:ascii="CaeciliaLTStd-Italic" w:hAnsi="CaeciliaLTStd-Italic" w:cs="CaeciliaLTStd-Italic"/>
          <w:iCs/>
          <w:sz w:val="20"/>
        </w:rPr>
        <w:t xml:space="preserve"> </w:t>
      </w:r>
    </w:p>
  </w:footnote>
  <w:footnote w:id="9">
    <w:p>
      <w:pPr>
        <w:spacing w:after="0"/>
      </w:pPr>
      <w:r>
        <w:rPr>
          <w:rStyle w:val="FootnoteReference"/>
          <w:sz w:val="20"/>
        </w:rPr>
        <w:footnoteRef/>
      </w:r>
      <w:r>
        <w:rPr>
          <w:sz w:val="20"/>
        </w:rPr>
        <w:t xml:space="preserve"> Wouters OJ, McKee M, Luyten J (2020): Estimated R&amp;D investment needed to bring a new medicine to market, 2009-2018. </w:t>
      </w:r>
      <w:r>
        <w:rPr>
          <w:sz w:val="20"/>
          <w:lang w:eastAsia="en-GB"/>
        </w:rPr>
        <w:t xml:space="preserve">JAMA. 323(9) 844-853. doi:10.1001/jama.2020.1166  </w:t>
      </w:r>
      <w:hyperlink r:id="rId6" w:history="1">
        <w:r>
          <w:rPr>
            <w:rStyle w:val="Hyperlink"/>
            <w:sz w:val="20"/>
            <w:lang w:eastAsia="en-GB"/>
          </w:rPr>
          <w:t>https://jamanetwork.com/journals/jama/fullarticle/2762311</w:t>
        </w:r>
      </w:hyperlink>
      <w:r>
        <w:rPr>
          <w:sz w:val="20"/>
          <w:lang w:eastAsia="en-GB"/>
        </w:rPr>
        <w:t xml:space="preserve"> </w:t>
      </w:r>
    </w:p>
  </w:footnote>
  <w:footnote w:id="10">
    <w:p>
      <w:pPr>
        <w:pStyle w:val="FootnoteText"/>
        <w:spacing w:after="0"/>
        <w:ind w:left="0" w:firstLine="0"/>
        <w:rPr>
          <w:lang w:val="en-IE"/>
        </w:rPr>
      </w:pPr>
      <w:r>
        <w:rPr>
          <w:rStyle w:val="FootnoteReference"/>
        </w:rPr>
        <w:footnoteRef/>
      </w:r>
      <w:r>
        <w:t xml:space="preserve"> DiMasi JA et al (2016): </w:t>
      </w:r>
      <w:r>
        <w:rPr>
          <w:lang w:val="en-IE"/>
        </w:rPr>
        <w:t>Innovation in the pharmaceutical industry: New estimates of R&amp;D costs, Journal of Health Economics 47, pp. 20-23.</w:t>
      </w:r>
    </w:p>
  </w:footnote>
  <w:footnote w:id="11">
    <w:p>
      <w:pPr>
        <w:pStyle w:val="FootnoteText"/>
        <w:spacing w:after="0"/>
      </w:pPr>
      <w:r>
        <w:rPr>
          <w:rStyle w:val="FootnoteReference"/>
        </w:rPr>
        <w:footnoteRef/>
      </w:r>
      <w:r>
        <w:t xml:space="preserve"> </w:t>
      </w:r>
      <w:hyperlink r:id="rId7" w:history="1">
        <w:r>
          <w:rPr>
            <w:rStyle w:val="Hyperlink"/>
          </w:rPr>
          <w:t>https://www.who.int/hia/evidence/doh/en/</w:t>
        </w:r>
      </w:hyperlink>
    </w:p>
  </w:footnote>
  <w:footnote w:id="12">
    <w:p>
      <w:pPr>
        <w:pStyle w:val="FootnoteText"/>
        <w:spacing w:after="0"/>
        <w:ind w:left="0" w:firstLine="0"/>
        <w:jc w:val="left"/>
      </w:pPr>
      <w:r>
        <w:rPr>
          <w:rStyle w:val="FootnoteReference"/>
        </w:rPr>
        <w:footnoteRef/>
      </w:r>
      <w:r>
        <w:t xml:space="preserve"> The </w:t>
      </w:r>
      <w:r>
        <w:rPr>
          <w:rStyle w:val="highlight"/>
        </w:rPr>
        <w:t>citation</w:t>
      </w:r>
      <w:r>
        <w:t xml:space="preserve"> impact (which measures how many times a paper is cited in subsequent papers) for all IMI papers is 2.03 (compared to 1.14 for the EU and the baseline of 1 for the world). </w:t>
      </w:r>
      <w:hyperlink r:id="rId8" w:history="1">
        <w:r>
          <w:rPr>
            <w:rStyle w:val="Hyperlink"/>
          </w:rPr>
          <w:t>https://www.imi.europa.eu/sites/default/files/news/Brochure_ResultsImpact.pdf</w:t>
        </w:r>
      </w:hyperlink>
      <w:r>
        <w:t xml:space="preserve"> </w:t>
      </w:r>
    </w:p>
  </w:footnote>
  <w:footnote w:id="13">
    <w:p>
      <w:pPr>
        <w:pStyle w:val="FootnoteText"/>
        <w:spacing w:after="0"/>
        <w:ind w:left="0" w:firstLine="0"/>
      </w:pPr>
      <w:r>
        <w:rPr>
          <w:rStyle w:val="FootnoteReference"/>
        </w:rPr>
        <w:footnoteRef/>
      </w:r>
      <w:r>
        <w:t xml:space="preserve"> Figure for IMI2 JU in 2019, based on IMI2 JU Annual Activity Report 2019, Title 2 expenditure. Under IMI2 JU, this amount is covered jointly by the EU and by the private JU Member. This value is given as illustration only since the administrative/personnel costs of IHI will depend several factors, including the total budget of the initiative, organisation of the programme office and the number of staff.</w:t>
      </w:r>
    </w:p>
  </w:footnote>
  <w:footnote w:id="14">
    <w:p>
      <w:pPr>
        <w:pStyle w:val="FootnoteText"/>
        <w:spacing w:after="0"/>
        <w:ind w:left="0" w:firstLine="0"/>
      </w:pPr>
      <w:r>
        <w:rPr>
          <w:rStyle w:val="FootnoteReference"/>
        </w:rPr>
        <w:footnoteRef/>
      </w:r>
      <w:r>
        <w:t xml:space="preserve"> Figure for IMI2 JU in 2019, based on IMI2 JU Annual Activity Report 2019, Title 1 expenditure. Under IMI2 JU, this amount is covered jointly by the EU and by the private JU Member. This value is given as illustration only since the administrative/personnel costs of IHI will depend several factors, including the total budget of the initiative, organisation of the programme office and the number of staff.</w:t>
      </w:r>
    </w:p>
  </w:footnote>
  <w:footnote w:id="15">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16">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17">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8">
    <w:p>
      <w:pPr>
        <w:pStyle w:val="FootnoteText"/>
        <w:tabs>
          <w:tab w:val="left" w:pos="0"/>
        </w:tabs>
        <w:spacing w:after="0"/>
        <w:ind w:left="0" w:firstLine="0"/>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19">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20">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1">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2">
    <w:p>
      <w:pPr>
        <w:pStyle w:val="FootnoteText"/>
        <w:spacing w:after="0"/>
        <w:ind w:left="0" w:firstLine="0"/>
      </w:pPr>
      <w:r>
        <w:rPr>
          <w:rStyle w:val="FootnoteReference"/>
        </w:rPr>
        <w:footnoteRef/>
      </w:r>
      <w: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footnote>
  <w:footnote w:id="23">
    <w:p>
      <w:pPr>
        <w:pStyle w:val="FootnoteText"/>
        <w:tabs>
          <w:tab w:val="left" w:pos="0"/>
        </w:tabs>
        <w:spacing w:after="0"/>
        <w:ind w:left="0" w:firstLine="0"/>
        <w:contextualSpacing/>
        <w:rPr>
          <w:lang w:val="en-IE"/>
        </w:rPr>
      </w:pPr>
      <w:r>
        <w:rPr>
          <w:rStyle w:val="FootnoteReference"/>
        </w:rPr>
        <w:footnoteRef/>
      </w:r>
      <w:r>
        <w:rPr>
          <w:lang w:val="en-IE"/>
        </w:rPr>
        <w:t xml:space="preserve"> Minimum contributions from partners equal to the Union contribution.</w:t>
      </w:r>
    </w:p>
  </w:footnote>
  <w:footnote w:id="24">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25">
    <w:p>
      <w:pPr>
        <w:pStyle w:val="FootnoteText"/>
        <w:tabs>
          <w:tab w:val="left" w:pos="0"/>
        </w:tabs>
        <w:spacing w:after="0"/>
        <w:ind w:left="0" w:firstLine="0"/>
      </w:pPr>
      <w:r>
        <w:rPr>
          <w:rStyle w:val="FootnoteReference"/>
        </w:rPr>
        <w:footnoteRef/>
      </w:r>
      <w:r>
        <w:t xml:space="preserve"> These costs reflect set-up costs and additional running costs for partners, and the Commission, of the distributed, multi-agency implementation model.</w:t>
      </w:r>
    </w:p>
  </w:footnote>
  <w:footnote w:id="26">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7">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8">
    <w:p>
      <w:pPr>
        <w:pStyle w:val="FootnoteText"/>
      </w:pPr>
      <w:r>
        <w:rPr>
          <w:rStyle w:val="FootnoteReference"/>
        </w:rPr>
        <w:footnoteRef/>
      </w:r>
      <w:r>
        <w:t xml:space="preserve"> The baseline (traditional calls) is scored 0, as explained above.</w:t>
      </w:r>
    </w:p>
  </w:footnote>
  <w:footnote w:id="29">
    <w:p>
      <w:pPr>
        <w:pStyle w:val="FootnoteText"/>
        <w:spacing w:after="0"/>
        <w:rPr>
          <w:lang w:val="en-IE"/>
        </w:rPr>
      </w:pPr>
      <w:r>
        <w:rPr>
          <w:rStyle w:val="FootnoteReference"/>
        </w:rPr>
        <w:footnoteRef/>
      </w:r>
      <w:r>
        <w:t xml:space="preserve"> </w:t>
      </w:r>
      <w:hyperlink r:id="rId9" w:history="1">
        <w:r>
          <w:rPr>
            <w:rStyle w:val="Hyperlink"/>
          </w:rPr>
          <w:t>https://eur-lex.europa.eu/legal-content/EN/TXT/HTML/?uri=CELEX:12008E003&amp;from=EN</w:t>
        </w:r>
      </w:hyperlink>
      <w:r>
        <w:t xml:space="preserve"> </w:t>
      </w:r>
    </w:p>
  </w:footnote>
  <w:footnote w:id="30">
    <w:p>
      <w:pPr>
        <w:pStyle w:val="FootnoteText"/>
        <w:spacing w:after="0"/>
        <w:rPr>
          <w:lang w:val="en-IE"/>
        </w:rPr>
      </w:pPr>
      <w:r>
        <w:rPr>
          <w:rStyle w:val="FootnoteReference"/>
        </w:rPr>
        <w:footnoteRef/>
      </w:r>
      <w:r>
        <w:t xml:space="preserve"> </w:t>
      </w:r>
      <w:hyperlink r:id="rId10" w:history="1">
        <w:r>
          <w:rPr>
            <w:rStyle w:val="Hyperlink"/>
          </w:rPr>
          <w:t>https://eur-lex.europa.eu/legal-content/EN/TXT/HTML/?uri=CELEX:12008E004&amp;from=EN</w:t>
        </w:r>
      </w:hyperlink>
      <w:r>
        <w:t xml:space="preserve"> </w:t>
      </w:r>
    </w:p>
  </w:footnote>
  <w:footnote w:id="31">
    <w:p>
      <w:pPr>
        <w:pStyle w:val="FootnoteText"/>
        <w:spacing w:after="0"/>
        <w:rPr>
          <w:lang w:val="en-IE"/>
        </w:rPr>
      </w:pPr>
      <w:r>
        <w:rPr>
          <w:rStyle w:val="FootnoteReference"/>
        </w:rPr>
        <w:footnoteRef/>
      </w:r>
      <w:r>
        <w:t xml:space="preserve"> </w:t>
      </w:r>
      <w:hyperlink r:id="rId11" w:history="1">
        <w:r>
          <w:rPr>
            <w:rStyle w:val="Hyperlink"/>
          </w:rPr>
          <w:t>https://eur-lex.europa.eu/LexUriServ/LexUriServ.do?uri=CELEX:12008E006:EN:HTML</w:t>
        </w:r>
      </w:hyperlink>
      <w:r>
        <w:t xml:space="preserve"> </w:t>
      </w:r>
    </w:p>
  </w:footnote>
  <w:footnote w:id="32">
    <w:p>
      <w:pPr>
        <w:pStyle w:val="FootnoteText"/>
        <w:spacing w:after="0"/>
        <w:rPr>
          <w:lang w:val="en-IE"/>
        </w:rPr>
      </w:pPr>
      <w:r>
        <w:rPr>
          <w:rStyle w:val="FootnoteReference"/>
        </w:rPr>
        <w:footnoteRef/>
      </w:r>
      <w:r>
        <w:t xml:space="preserve"> </w:t>
      </w:r>
      <w:hyperlink r:id="rId12" w:history="1">
        <w:r>
          <w:rPr>
            <w:rStyle w:val="Hyperlink"/>
          </w:rPr>
          <w:t>https://eur-lex.europa.eu/legal-content/EN/TXT/HTML/?uri=CELEX:12016E/PRO/02&amp;from=EN</w:t>
        </w:r>
      </w:hyperlink>
      <w:r>
        <w:t xml:space="preserve"> </w:t>
      </w:r>
    </w:p>
  </w:footnote>
  <w:footnote w:id="33">
    <w:p>
      <w:pPr>
        <w:pStyle w:val="FootnoteText"/>
        <w:spacing w:after="0"/>
        <w:rPr>
          <w:lang w:val="en-IE"/>
        </w:rPr>
      </w:pPr>
      <w:r>
        <w:rPr>
          <w:rStyle w:val="FootnoteReference"/>
        </w:rPr>
        <w:footnoteRef/>
      </w:r>
      <w:r>
        <w:t xml:space="preserve"> </w:t>
      </w:r>
      <w:hyperlink r:id="rId13" w:history="1">
        <w:r>
          <w:rPr>
            <w:rStyle w:val="Hyperlink"/>
          </w:rPr>
          <w:t>https://europa.eu/european-union/about-eu/eu-in-brief_en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237B"/>
    <w:multiLevelType w:val="hybridMultilevel"/>
    <w:tmpl w:val="AF70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0E77F5"/>
    <w:multiLevelType w:val="hybridMultilevel"/>
    <w:tmpl w:val="CBFE53BC"/>
    <w:lvl w:ilvl="0" w:tplc="4838F18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EFB7115"/>
    <w:multiLevelType w:val="multilevel"/>
    <w:tmpl w:val="AF584F5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0F4907E7"/>
    <w:multiLevelType w:val="hybridMultilevel"/>
    <w:tmpl w:val="8CE6FA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20B7201"/>
    <w:multiLevelType w:val="multilevel"/>
    <w:tmpl w:val="B634957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262685D"/>
    <w:multiLevelType w:val="multilevel"/>
    <w:tmpl w:val="8D4C1AF6"/>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43D0A16"/>
    <w:multiLevelType w:val="multilevel"/>
    <w:tmpl w:val="8F9A9D5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C244E4B"/>
    <w:multiLevelType w:val="hybridMultilevel"/>
    <w:tmpl w:val="BFAA7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8B96E6C"/>
    <w:multiLevelType w:val="hybridMultilevel"/>
    <w:tmpl w:val="CD747B1C"/>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C8DFDF8"/>
    <w:multiLevelType w:val="multilevel"/>
    <w:tmpl w:val="6214155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2D293CE3"/>
    <w:multiLevelType w:val="multilevel"/>
    <w:tmpl w:val="59A0C0A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1041BA4"/>
    <w:multiLevelType w:val="hybridMultilevel"/>
    <w:tmpl w:val="0E006D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5497A4F"/>
    <w:multiLevelType w:val="multilevel"/>
    <w:tmpl w:val="948E8768"/>
    <w:lvl w:ilvl="0">
      <w:start w:val="1"/>
      <w:numFmt w:val="bullet"/>
      <w:pStyle w:val="Bullet1"/>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36324F1E"/>
    <w:multiLevelType w:val="multilevel"/>
    <w:tmpl w:val="28D6EA3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384156E7"/>
    <w:multiLevelType w:val="hybridMultilevel"/>
    <w:tmpl w:val="1122B728"/>
    <w:lvl w:ilvl="0" w:tplc="2B3C1E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A7730C4"/>
    <w:multiLevelType w:val="multilevel"/>
    <w:tmpl w:val="2A0EA20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3B0E52FB"/>
    <w:multiLevelType w:val="hybridMultilevel"/>
    <w:tmpl w:val="41A6F6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49A87027"/>
    <w:multiLevelType w:val="hybridMultilevel"/>
    <w:tmpl w:val="9996BA3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4D7E1346"/>
    <w:multiLevelType w:val="hybridMultilevel"/>
    <w:tmpl w:val="0FDCA8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4E1A982C"/>
    <w:multiLevelType w:val="multilevel"/>
    <w:tmpl w:val="9A903132"/>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nsid w:val="505506D6"/>
    <w:multiLevelType w:val="hybridMultilevel"/>
    <w:tmpl w:val="E340D134"/>
    <w:lvl w:ilvl="0" w:tplc="EDDCD34E">
      <w:numFmt w:val="bullet"/>
      <w:lvlText w:val="-"/>
      <w:lvlJc w:val="left"/>
      <w:pPr>
        <w:ind w:left="842" w:hanging="360"/>
      </w:pPr>
      <w:rPr>
        <w:rFonts w:ascii="Times New Roman" w:eastAsia="Times New Roman" w:hAnsi="Times New Roman" w:cs="Times New Roman" w:hint="default"/>
      </w:rPr>
    </w:lvl>
    <w:lvl w:ilvl="1" w:tplc="080C0003" w:tentative="1">
      <w:start w:val="1"/>
      <w:numFmt w:val="bullet"/>
      <w:lvlText w:val="o"/>
      <w:lvlJc w:val="left"/>
      <w:pPr>
        <w:ind w:left="1562" w:hanging="360"/>
      </w:pPr>
      <w:rPr>
        <w:rFonts w:ascii="Courier New" w:hAnsi="Courier New" w:cs="Courier New" w:hint="default"/>
      </w:rPr>
    </w:lvl>
    <w:lvl w:ilvl="2" w:tplc="080C0005" w:tentative="1">
      <w:start w:val="1"/>
      <w:numFmt w:val="bullet"/>
      <w:lvlText w:val=""/>
      <w:lvlJc w:val="left"/>
      <w:pPr>
        <w:ind w:left="2282" w:hanging="360"/>
      </w:pPr>
      <w:rPr>
        <w:rFonts w:ascii="Wingdings" w:hAnsi="Wingdings" w:hint="default"/>
      </w:rPr>
    </w:lvl>
    <w:lvl w:ilvl="3" w:tplc="080C0001" w:tentative="1">
      <w:start w:val="1"/>
      <w:numFmt w:val="bullet"/>
      <w:lvlText w:val=""/>
      <w:lvlJc w:val="left"/>
      <w:pPr>
        <w:ind w:left="3002" w:hanging="360"/>
      </w:pPr>
      <w:rPr>
        <w:rFonts w:ascii="Symbol" w:hAnsi="Symbol" w:hint="default"/>
      </w:rPr>
    </w:lvl>
    <w:lvl w:ilvl="4" w:tplc="080C0003" w:tentative="1">
      <w:start w:val="1"/>
      <w:numFmt w:val="bullet"/>
      <w:lvlText w:val="o"/>
      <w:lvlJc w:val="left"/>
      <w:pPr>
        <w:ind w:left="3722" w:hanging="360"/>
      </w:pPr>
      <w:rPr>
        <w:rFonts w:ascii="Courier New" w:hAnsi="Courier New" w:cs="Courier New" w:hint="default"/>
      </w:rPr>
    </w:lvl>
    <w:lvl w:ilvl="5" w:tplc="080C0005" w:tentative="1">
      <w:start w:val="1"/>
      <w:numFmt w:val="bullet"/>
      <w:lvlText w:val=""/>
      <w:lvlJc w:val="left"/>
      <w:pPr>
        <w:ind w:left="4442" w:hanging="360"/>
      </w:pPr>
      <w:rPr>
        <w:rFonts w:ascii="Wingdings" w:hAnsi="Wingdings" w:hint="default"/>
      </w:rPr>
    </w:lvl>
    <w:lvl w:ilvl="6" w:tplc="080C0001" w:tentative="1">
      <w:start w:val="1"/>
      <w:numFmt w:val="bullet"/>
      <w:lvlText w:val=""/>
      <w:lvlJc w:val="left"/>
      <w:pPr>
        <w:ind w:left="5162" w:hanging="360"/>
      </w:pPr>
      <w:rPr>
        <w:rFonts w:ascii="Symbol" w:hAnsi="Symbol" w:hint="default"/>
      </w:rPr>
    </w:lvl>
    <w:lvl w:ilvl="7" w:tplc="080C0003" w:tentative="1">
      <w:start w:val="1"/>
      <w:numFmt w:val="bullet"/>
      <w:lvlText w:val="o"/>
      <w:lvlJc w:val="left"/>
      <w:pPr>
        <w:ind w:left="5882" w:hanging="360"/>
      </w:pPr>
      <w:rPr>
        <w:rFonts w:ascii="Courier New" w:hAnsi="Courier New" w:cs="Courier New" w:hint="default"/>
      </w:rPr>
    </w:lvl>
    <w:lvl w:ilvl="8" w:tplc="080C0005" w:tentative="1">
      <w:start w:val="1"/>
      <w:numFmt w:val="bullet"/>
      <w:lvlText w:val=""/>
      <w:lvlJc w:val="left"/>
      <w:pPr>
        <w:ind w:left="6602" w:hanging="360"/>
      </w:pPr>
      <w:rPr>
        <w:rFonts w:ascii="Wingdings" w:hAnsi="Wingdings" w:hint="default"/>
      </w:rPr>
    </w:lvl>
  </w:abstractNum>
  <w:abstractNum w:abstractNumId="36">
    <w:nsid w:val="5058785C"/>
    <w:multiLevelType w:val="hybridMultilevel"/>
    <w:tmpl w:val="44D02F02"/>
    <w:name w:val="EurolookHeading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06737AB"/>
    <w:multiLevelType w:val="hybridMultilevel"/>
    <w:tmpl w:val="D8BC42B2"/>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5072619B"/>
    <w:multiLevelType w:val="multilevel"/>
    <w:tmpl w:val="0B809CB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9">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87D7A7F"/>
    <w:multiLevelType w:val="hybridMultilevel"/>
    <w:tmpl w:val="45CAD2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592B0FA7"/>
    <w:multiLevelType w:val="hybridMultilevel"/>
    <w:tmpl w:val="79B0F3E0"/>
    <w:lvl w:ilvl="0" w:tplc="71A40958">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DCF0B70"/>
    <w:multiLevelType w:val="hybridMultilevel"/>
    <w:tmpl w:val="03262A36"/>
    <w:lvl w:ilvl="0" w:tplc="71A4095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E1506F1"/>
    <w:multiLevelType w:val="hybridMultilevel"/>
    <w:tmpl w:val="D96A7A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5E582B20"/>
    <w:multiLevelType w:val="hybridMultilevel"/>
    <w:tmpl w:val="50CCF4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E79234E"/>
    <w:multiLevelType w:val="hybridMultilevel"/>
    <w:tmpl w:val="3530BCEE"/>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62080CDE"/>
    <w:multiLevelType w:val="hybridMultilevel"/>
    <w:tmpl w:val="2F289A38"/>
    <w:lvl w:ilvl="0" w:tplc="69FAF722">
      <w:start w:val="1"/>
      <w:numFmt w:val="lowerLetter"/>
      <w:lvlText w:val="(%1)"/>
      <w:lvlJc w:val="left"/>
      <w:pPr>
        <w:ind w:left="720" w:hanging="360"/>
      </w:pPr>
      <w:rPr>
        <w:rFonts w:hint="default"/>
      </w:rPr>
    </w:lvl>
    <w:lvl w:ilvl="1" w:tplc="BBE006FA">
      <w:start w:val="1"/>
      <w:numFmt w:val="decimal"/>
      <w:lvlText w:val="(%2)"/>
      <w:lvlJc w:val="left"/>
      <w:pPr>
        <w:ind w:left="1500" w:hanging="4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5BB006F"/>
    <w:multiLevelType w:val="hybridMultilevel"/>
    <w:tmpl w:val="BD866AB8"/>
    <w:lvl w:ilvl="0" w:tplc="71A40958">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0">
    <w:nsid w:val="6B211678"/>
    <w:multiLevelType w:val="hybridMultilevel"/>
    <w:tmpl w:val="650294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728948E2"/>
    <w:multiLevelType w:val="hybridMultilevel"/>
    <w:tmpl w:val="8D2E8EE6"/>
    <w:lvl w:ilvl="0" w:tplc="7316B6E8">
      <w:start w:val="1"/>
      <w:numFmt w:val="decimal"/>
      <w:lvlText w:val="(%1)"/>
      <w:lvlJc w:val="left"/>
      <w:pPr>
        <w:ind w:left="-216" w:hanging="360"/>
      </w:pPr>
      <w:rPr>
        <w:rFonts w:hint="default"/>
      </w:rPr>
    </w:lvl>
    <w:lvl w:ilvl="1" w:tplc="08090019" w:tentative="1">
      <w:start w:val="1"/>
      <w:numFmt w:val="lowerLetter"/>
      <w:lvlText w:val="%2."/>
      <w:lvlJc w:val="left"/>
      <w:pPr>
        <w:ind w:left="504" w:hanging="360"/>
      </w:pPr>
    </w:lvl>
    <w:lvl w:ilvl="2" w:tplc="0809001B" w:tentative="1">
      <w:start w:val="1"/>
      <w:numFmt w:val="lowerRoman"/>
      <w:lvlText w:val="%3."/>
      <w:lvlJc w:val="right"/>
      <w:pPr>
        <w:ind w:left="1224" w:hanging="180"/>
      </w:pPr>
    </w:lvl>
    <w:lvl w:ilvl="3" w:tplc="0809000F" w:tentative="1">
      <w:start w:val="1"/>
      <w:numFmt w:val="decimal"/>
      <w:lvlText w:val="%4."/>
      <w:lvlJc w:val="left"/>
      <w:pPr>
        <w:ind w:left="1944" w:hanging="360"/>
      </w:pPr>
    </w:lvl>
    <w:lvl w:ilvl="4" w:tplc="08090019" w:tentative="1">
      <w:start w:val="1"/>
      <w:numFmt w:val="lowerLetter"/>
      <w:lvlText w:val="%5."/>
      <w:lvlJc w:val="left"/>
      <w:pPr>
        <w:ind w:left="2664" w:hanging="360"/>
      </w:pPr>
    </w:lvl>
    <w:lvl w:ilvl="5" w:tplc="0809001B" w:tentative="1">
      <w:start w:val="1"/>
      <w:numFmt w:val="lowerRoman"/>
      <w:lvlText w:val="%6."/>
      <w:lvlJc w:val="right"/>
      <w:pPr>
        <w:ind w:left="3384" w:hanging="180"/>
      </w:pPr>
    </w:lvl>
    <w:lvl w:ilvl="6" w:tplc="0809000F" w:tentative="1">
      <w:start w:val="1"/>
      <w:numFmt w:val="decimal"/>
      <w:lvlText w:val="%7."/>
      <w:lvlJc w:val="left"/>
      <w:pPr>
        <w:ind w:left="4104" w:hanging="360"/>
      </w:pPr>
    </w:lvl>
    <w:lvl w:ilvl="7" w:tplc="08090019" w:tentative="1">
      <w:start w:val="1"/>
      <w:numFmt w:val="lowerLetter"/>
      <w:lvlText w:val="%8."/>
      <w:lvlJc w:val="left"/>
      <w:pPr>
        <w:ind w:left="4824" w:hanging="360"/>
      </w:pPr>
    </w:lvl>
    <w:lvl w:ilvl="8" w:tplc="0809001B" w:tentative="1">
      <w:start w:val="1"/>
      <w:numFmt w:val="lowerRoman"/>
      <w:lvlText w:val="%9."/>
      <w:lvlJc w:val="right"/>
      <w:pPr>
        <w:ind w:left="5544" w:hanging="180"/>
      </w:pPr>
    </w:lvl>
  </w:abstractNum>
  <w:abstractNum w:abstractNumId="53">
    <w:nsid w:val="72981012"/>
    <w:multiLevelType w:val="hybridMultilevel"/>
    <w:tmpl w:val="6B669BB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C65145E"/>
    <w:multiLevelType w:val="multilevel"/>
    <w:tmpl w:val="467214A6"/>
    <w:name w:val="EurolookHeading"/>
    <w:lvl w:ilvl="0">
      <w:start w:val="1"/>
      <w:numFmt w:val="decimal"/>
      <w:pStyle w:val="Heading1"/>
      <w:lvlText w:val="%1."/>
      <w:lvlJc w:val="left"/>
      <w:pPr>
        <w:tabs>
          <w:tab w:val="num" w:pos="482"/>
        </w:tabs>
        <w:ind w:left="482" w:hanging="482"/>
      </w:pPr>
      <w:rPr>
        <w:rFonts w:hint="default"/>
      </w:rPr>
    </w:lvl>
    <w:lvl w:ilvl="1">
      <w:start w:val="1"/>
      <w:numFmt w:val="decimal"/>
      <w:pStyle w:val="Heading2"/>
      <w:lvlText w:val="%1.%2."/>
      <w:lvlJc w:val="left"/>
      <w:pPr>
        <w:tabs>
          <w:tab w:val="num" w:pos="1202"/>
        </w:tabs>
        <w:ind w:left="1202" w:hanging="720"/>
      </w:pPr>
      <w:rPr>
        <w:rFonts w:hint="default"/>
      </w:rPr>
    </w:lvl>
    <w:lvl w:ilvl="2">
      <w:start w:val="1"/>
      <w:numFmt w:val="decimal"/>
      <w:pStyle w:val="Heading3"/>
      <w:lvlText w:val="%1.%2.%3."/>
      <w:lvlJc w:val="left"/>
      <w:pPr>
        <w:tabs>
          <w:tab w:val="num" w:pos="2139"/>
        </w:tabs>
        <w:ind w:left="2139" w:hanging="720"/>
      </w:pPr>
      <w:rPr>
        <w:rFonts w:hint="default"/>
      </w:rPr>
    </w:lvl>
    <w:lvl w:ilvl="3">
      <w:start w:val="1"/>
      <w:numFmt w:val="decimal"/>
      <w:pStyle w:val="Heading4"/>
      <w:lvlText w:val="%1.%2.%3.%4."/>
      <w:lvlJc w:val="left"/>
      <w:pPr>
        <w:tabs>
          <w:tab w:val="num" w:pos="1922"/>
        </w:tabs>
        <w:ind w:left="1922" w:hanging="720"/>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5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
  </w:num>
  <w:num w:numId="2">
    <w:abstractNumId w:val="21"/>
  </w:num>
  <w:num w:numId="3">
    <w:abstractNumId w:val="13"/>
  </w:num>
  <w:num w:numId="4">
    <w:abstractNumId w:val="22"/>
  </w:num>
  <w:num w:numId="5">
    <w:abstractNumId w:val="38"/>
  </w:num>
  <w:num w:numId="6">
    <w:abstractNumId w:val="49"/>
  </w:num>
  <w:num w:numId="7">
    <w:abstractNumId w:val="4"/>
  </w:num>
  <w:num w:numId="8">
    <w:abstractNumId w:val="11"/>
  </w:num>
  <w:num w:numId="9">
    <w:abstractNumId w:val="29"/>
  </w:num>
  <w:num w:numId="10">
    <w:abstractNumId w:val="6"/>
  </w:num>
  <w:num w:numId="11">
    <w:abstractNumId w:val="7"/>
  </w:num>
  <w:num w:numId="12">
    <w:abstractNumId w:val="8"/>
  </w:num>
  <w:num w:numId="13">
    <w:abstractNumId w:val="17"/>
  </w:num>
  <w:num w:numId="14">
    <w:abstractNumId w:val="25"/>
  </w:num>
  <w:num w:numId="15">
    <w:abstractNumId w:val="34"/>
  </w:num>
  <w:num w:numId="16">
    <w:abstractNumId w:val="54"/>
  </w:num>
  <w:num w:numId="17">
    <w:abstractNumId w:val="18"/>
  </w:num>
  <w:num w:numId="18">
    <w:abstractNumId w:val="55"/>
  </w:num>
  <w:num w:numId="19">
    <w:abstractNumId w:val="30"/>
  </w:num>
  <w:num w:numId="20">
    <w:abstractNumId w:val="14"/>
  </w:num>
  <w:num w:numId="21">
    <w:abstractNumId w:val="31"/>
  </w:num>
  <w:num w:numId="22">
    <w:abstractNumId w:val="28"/>
  </w:num>
  <w:num w:numId="23">
    <w:abstractNumId w:val="47"/>
  </w:num>
  <w:num w:numId="24">
    <w:abstractNumId w:val="10"/>
  </w:num>
  <w:num w:numId="25">
    <w:abstractNumId w:val="27"/>
  </w:num>
  <w:num w:numId="26">
    <w:abstractNumId w:val="4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3"/>
  </w:num>
  <w:num w:numId="35">
    <w:abstractNumId w:val="26"/>
  </w:num>
  <w:num w:numId="36">
    <w:abstractNumId w:val="20"/>
  </w:num>
  <w:num w:numId="37">
    <w:abstractNumId w:val="52"/>
  </w:num>
  <w:num w:numId="38">
    <w:abstractNumId w:val="35"/>
  </w:num>
  <w:num w:numId="39">
    <w:abstractNumId w:val="2"/>
  </w:num>
  <w:num w:numId="40">
    <w:abstractNumId w:val="32"/>
  </w:num>
  <w:num w:numId="41">
    <w:abstractNumId w:val="41"/>
  </w:num>
  <w:num w:numId="42">
    <w:abstractNumId w:val="50"/>
  </w:num>
  <w:num w:numId="43">
    <w:abstractNumId w:val="19"/>
  </w:num>
  <w:num w:numId="44">
    <w:abstractNumId w:val="45"/>
  </w:num>
  <w:num w:numId="45">
    <w:abstractNumId w:val="44"/>
  </w:num>
  <w:num w:numId="46">
    <w:abstractNumId w:val="5"/>
  </w:num>
  <w:num w:numId="47">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46"/>
  </w:num>
  <w:num w:numId="50">
    <w:abstractNumId w:val="37"/>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48"/>
  </w:num>
  <w:num w:numId="54">
    <w:abstractNumId w:val="42"/>
  </w:num>
  <w:num w:numId="55">
    <w:abstractNumId w:val="12"/>
  </w:num>
  <w:num w:numId="56">
    <w:abstractNumId w:val="39"/>
  </w:num>
  <w:num w:numId="57">
    <w:abstractNumId w:val="1"/>
  </w:num>
  <w:num w:numId="58">
    <w:abstractNumId w:val="53"/>
  </w:num>
  <w:num w:numId="59">
    <w:abstractNumId w:val="16"/>
  </w:num>
  <w:num w:numId="60">
    <w:abstractNumId w:val="23"/>
  </w:num>
  <w:num w:numId="61">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7305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79B6E3E-A718-4390-9BFB-5438B3DA0875"/>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on Innovative Health "/>
    <w:docVar w:name="LW_PART_NBR" w:val="4"/>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3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qFormat="1"/>
    <w:lsdException w:name="footnote reference" w:uiPriority="99" w:qFormat="1"/>
    <w:lsdException w:name="annotation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6"/>
      </w:numPr>
      <w:spacing w:before="240"/>
      <w:outlineLvl w:val="0"/>
    </w:pPr>
    <w:rPr>
      <w:b/>
      <w:smallCaps/>
    </w:rPr>
  </w:style>
  <w:style w:type="paragraph" w:styleId="Heading2">
    <w:name w:val="heading 2"/>
    <w:basedOn w:val="Normal"/>
    <w:next w:val="Text2"/>
    <w:qFormat/>
    <w:pPr>
      <w:keepNext/>
      <w:numPr>
        <w:ilvl w:val="1"/>
        <w:numId w:val="16"/>
      </w:numPr>
      <w:outlineLvl w:val="1"/>
    </w:pPr>
    <w:rPr>
      <w:b/>
    </w:rPr>
  </w:style>
  <w:style w:type="paragraph" w:styleId="Heading3">
    <w:name w:val="heading 3"/>
    <w:basedOn w:val="Normal"/>
    <w:next w:val="Text3"/>
    <w:link w:val="Heading3Char"/>
    <w:qFormat/>
    <w:pPr>
      <w:keepNext/>
      <w:numPr>
        <w:ilvl w:val="2"/>
        <w:numId w:val="16"/>
      </w:numPr>
      <w:outlineLvl w:val="2"/>
    </w:pPr>
    <w:rPr>
      <w:i/>
    </w:rPr>
  </w:style>
  <w:style w:type="paragraph" w:styleId="Heading4">
    <w:name w:val="heading 4"/>
    <w:basedOn w:val="Normal"/>
    <w:next w:val="Text4"/>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vertAlign w:val="superscript"/>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qFormat/>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 w:type="paragraph" w:customStyle="1" w:styleId="Bullet1">
    <w:name w:val="Bullet 1"/>
    <w:basedOn w:val="Normal"/>
    <w:link w:val="Bullet1Char"/>
    <w:uiPriority w:val="19"/>
    <w:qFormat/>
    <w:pPr>
      <w:numPr>
        <w:numId w:val="36"/>
      </w:numPr>
      <w:spacing w:after="80" w:line="259" w:lineRule="auto"/>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customStyle="1" w:styleId="EUR">
    <w:name w:val="EUR"/>
    <w:basedOn w:val="Normal"/>
    <w:pPr>
      <w:tabs>
        <w:tab w:val="num" w:pos="425"/>
      </w:tabs>
    </w:pPr>
    <w:rPr>
      <w:sz w:val="20"/>
      <w:lang w:eastAsia="en-GB"/>
    </w:rPr>
  </w:style>
  <w:style w:type="paragraph" w:customStyle="1" w:styleId="Default">
    <w:name w:val="Default"/>
    <w:pPr>
      <w:autoSpaceDE w:val="0"/>
      <w:autoSpaceDN w:val="0"/>
      <w:adjustRightInd w:val="0"/>
    </w:pPr>
    <w:rPr>
      <w:color w:val="000000"/>
      <w:szCs w:val="24"/>
      <w:lang w:val="fr-BE"/>
    </w:rPr>
  </w:style>
  <w:style w:type="character" w:customStyle="1" w:styleId="Heading3Char">
    <w:name w:val="Heading 3 Char"/>
    <w:basedOn w:val="DefaultParagraphFont"/>
    <w:link w:val="Heading3"/>
    <w:rPr>
      <w:i/>
    </w:rPr>
  </w:style>
  <w:style w:type="character" w:customStyle="1" w:styleId="Title01Char">
    <w:name w:val="Title 01 Char"/>
    <w:basedOn w:val="DefaultParagraphFont"/>
    <w:link w:val="Title01"/>
    <w:locked/>
    <w:rPr>
      <w:rFonts w:cs="Arial"/>
      <w:b/>
      <w:color w:val="164194"/>
      <w:szCs w:val="38"/>
    </w:rPr>
  </w:style>
  <w:style w:type="paragraph" w:customStyle="1" w:styleId="Title01">
    <w:name w:val="Title 01"/>
    <w:basedOn w:val="Normal"/>
    <w:link w:val="Title01Char"/>
    <w:qFormat/>
    <w:pPr>
      <w:keepNext/>
      <w:spacing w:after="200" w:line="276" w:lineRule="auto"/>
      <w:jc w:val="left"/>
    </w:pPr>
    <w:rPr>
      <w:rFonts w:cs="Arial"/>
      <w:b/>
      <w:color w:val="164194"/>
      <w:szCs w:val="38"/>
    </w:rPr>
  </w:style>
  <w:style w:type="character" w:customStyle="1" w:styleId="hiddenspan">
    <w:name w:val="hiddenspan"/>
    <w:basedOn w:val="DefaultParagraphFont"/>
  </w:style>
  <w:style w:type="character" w:customStyle="1" w:styleId="highlight">
    <w:name w:val="highlight"/>
    <w:basedOn w:val="DefaultParagraphFont"/>
  </w:style>
  <w:style w:type="character" w:styleId="FollowedHyperlink">
    <w:name w:val="FollowedHyperlink"/>
    <w:basedOn w:val="DefaultParagraphFont"/>
    <w:semiHidden/>
    <w:lock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qFormat="1"/>
    <w:lsdException w:name="footnote reference" w:uiPriority="99" w:qFormat="1"/>
    <w:lsdException w:name="annotation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6"/>
      </w:numPr>
      <w:spacing w:before="240"/>
      <w:outlineLvl w:val="0"/>
    </w:pPr>
    <w:rPr>
      <w:b/>
      <w:smallCaps/>
    </w:rPr>
  </w:style>
  <w:style w:type="paragraph" w:styleId="Heading2">
    <w:name w:val="heading 2"/>
    <w:basedOn w:val="Normal"/>
    <w:next w:val="Text2"/>
    <w:qFormat/>
    <w:pPr>
      <w:keepNext/>
      <w:numPr>
        <w:ilvl w:val="1"/>
        <w:numId w:val="16"/>
      </w:numPr>
      <w:outlineLvl w:val="1"/>
    </w:pPr>
    <w:rPr>
      <w:b/>
    </w:rPr>
  </w:style>
  <w:style w:type="paragraph" w:styleId="Heading3">
    <w:name w:val="heading 3"/>
    <w:basedOn w:val="Normal"/>
    <w:next w:val="Text3"/>
    <w:link w:val="Heading3Char"/>
    <w:qFormat/>
    <w:pPr>
      <w:keepNext/>
      <w:numPr>
        <w:ilvl w:val="2"/>
        <w:numId w:val="16"/>
      </w:numPr>
      <w:outlineLvl w:val="2"/>
    </w:pPr>
    <w:rPr>
      <w:i/>
    </w:rPr>
  </w:style>
  <w:style w:type="paragraph" w:styleId="Heading4">
    <w:name w:val="heading 4"/>
    <w:basedOn w:val="Normal"/>
    <w:next w:val="Text4"/>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vertAlign w:val="superscript"/>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qFormat/>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 w:type="paragraph" w:customStyle="1" w:styleId="Bullet1">
    <w:name w:val="Bullet 1"/>
    <w:basedOn w:val="Normal"/>
    <w:link w:val="Bullet1Char"/>
    <w:uiPriority w:val="19"/>
    <w:qFormat/>
    <w:pPr>
      <w:numPr>
        <w:numId w:val="36"/>
      </w:numPr>
      <w:spacing w:after="80" w:line="259" w:lineRule="auto"/>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customStyle="1" w:styleId="EUR">
    <w:name w:val="EUR"/>
    <w:basedOn w:val="Normal"/>
    <w:pPr>
      <w:tabs>
        <w:tab w:val="num" w:pos="425"/>
      </w:tabs>
    </w:pPr>
    <w:rPr>
      <w:sz w:val="20"/>
      <w:lang w:eastAsia="en-GB"/>
    </w:rPr>
  </w:style>
  <w:style w:type="paragraph" w:customStyle="1" w:styleId="Default">
    <w:name w:val="Default"/>
    <w:pPr>
      <w:autoSpaceDE w:val="0"/>
      <w:autoSpaceDN w:val="0"/>
      <w:adjustRightInd w:val="0"/>
    </w:pPr>
    <w:rPr>
      <w:color w:val="000000"/>
      <w:szCs w:val="24"/>
      <w:lang w:val="fr-BE"/>
    </w:rPr>
  </w:style>
  <w:style w:type="character" w:customStyle="1" w:styleId="Heading3Char">
    <w:name w:val="Heading 3 Char"/>
    <w:basedOn w:val="DefaultParagraphFont"/>
    <w:link w:val="Heading3"/>
    <w:rPr>
      <w:i/>
    </w:rPr>
  </w:style>
  <w:style w:type="character" w:customStyle="1" w:styleId="Title01Char">
    <w:name w:val="Title 01 Char"/>
    <w:basedOn w:val="DefaultParagraphFont"/>
    <w:link w:val="Title01"/>
    <w:locked/>
    <w:rPr>
      <w:rFonts w:cs="Arial"/>
      <w:b/>
      <w:color w:val="164194"/>
      <w:szCs w:val="38"/>
    </w:rPr>
  </w:style>
  <w:style w:type="paragraph" w:customStyle="1" w:styleId="Title01">
    <w:name w:val="Title 01"/>
    <w:basedOn w:val="Normal"/>
    <w:link w:val="Title01Char"/>
    <w:qFormat/>
    <w:pPr>
      <w:keepNext/>
      <w:spacing w:after="200" w:line="276" w:lineRule="auto"/>
      <w:jc w:val="left"/>
    </w:pPr>
    <w:rPr>
      <w:rFonts w:cs="Arial"/>
      <w:b/>
      <w:color w:val="164194"/>
      <w:szCs w:val="38"/>
    </w:rPr>
  </w:style>
  <w:style w:type="character" w:customStyle="1" w:styleId="hiddenspan">
    <w:name w:val="hiddenspan"/>
    <w:basedOn w:val="DefaultParagraphFont"/>
  </w:style>
  <w:style w:type="character" w:customStyle="1" w:styleId="highlight">
    <w:name w:val="highlight"/>
    <w:basedOn w:val="DefaultParagraphFont"/>
  </w:style>
  <w:style w:type="character" w:styleId="FollowedHyperlink">
    <w:name w:val="FollowedHyperlink"/>
    <w:basedOn w:val="DefaultParagraphFont"/>
    <w:semiHidden/>
    <w:lock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441485083">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chart" Target="charts/chart2.xml"/><Relationship Id="rId42" Type="http://schemas.openxmlformats.org/officeDocument/2006/relationships/image" Target="media/image20.pn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chart" Target="charts/chart1.xml"/><Relationship Id="rId38" Type="http://schemas.openxmlformats.org/officeDocument/2006/relationships/image" Target="media/image16.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tiff"/><Relationship Id="rId49" Type="http://schemas.openxmlformats.org/officeDocument/2006/relationships/footer" Target="foot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tif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footer" Target="footer4.xml"/><Relationship Id="rId8" Type="http://schemas.openxmlformats.org/officeDocument/2006/relationships/numbering" Target="numbering.xml"/><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imi.europa.eu/sites/default/files/news/Brochure_ResultsImpact.pdf" TargetMode="External"/><Relationship Id="rId13" Type="http://schemas.openxmlformats.org/officeDocument/2006/relationships/hyperlink" Target="https://europa.eu/european-union/about-eu/eu-in-brief_en" TargetMode="External"/><Relationship Id="rId3" Type="http://schemas.openxmlformats.org/officeDocument/2006/relationships/hyperlink" Target="http://dx.doi.org/10.1177/2168479016648730" TargetMode="External"/><Relationship Id="rId7" Type="http://schemas.openxmlformats.org/officeDocument/2006/relationships/hyperlink" Target="https://www.who.int/hia/evidence/doh/en/" TargetMode="External"/><Relationship Id="rId12" Type="http://schemas.openxmlformats.org/officeDocument/2006/relationships/hyperlink" Target="https://eur-lex.europa.eu/legal-content/EN/TXT/HTML/?uri=CELEX:12016E/PRO/02&amp;from=EN" TargetMode="External"/><Relationship Id="rId2" Type="http://schemas.openxmlformats.org/officeDocument/2006/relationships/hyperlink" Target="https://ec.europa.eu/eusurvey/runner/ConsultationPartnershipsHorizonEurope"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jamanetwork.com/journals/jama/fullarticle/2762311" TargetMode="External"/><Relationship Id="rId11" Type="http://schemas.openxmlformats.org/officeDocument/2006/relationships/hyperlink" Target="https://eur-lex.europa.eu/LexUriServ/LexUriServ.do?uri=CELEX:12008E006:EN:HTML" TargetMode="External"/><Relationship Id="rId5" Type="http://schemas.openxmlformats.org/officeDocument/2006/relationships/hyperlink" Target="https://doi.org/10.1787/9789264307391-en" TargetMode="External"/><Relationship Id="rId10" Type="http://schemas.openxmlformats.org/officeDocument/2006/relationships/hyperlink" Target="https://eur-lex.europa.eu/legal-content/EN/TXT/HTML/?uri=CELEX:12008E004&amp;from=EN" TargetMode="External"/><Relationship Id="rId4" Type="http://schemas.openxmlformats.org/officeDocument/2006/relationships/hyperlink" Target="http://dx.doi.org/10.1093/biostatistics/kxx069" TargetMode="External"/><Relationship Id="rId9" Type="http://schemas.openxmlformats.org/officeDocument/2006/relationships/hyperlink" Target="https://eur-lex.europa.eu/legal-content/EN/TXT/HTML/?uri=CELEX:12008E003&amp;from=EN"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net1.cec.eu.int\RTD\E\E3\06%20Initiatives%20and%20Partnerships\IHI\Fiche%20and%20MS%20comments%20June%202019\02_Results_InnovativeHealth%20(provided%205%20June).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net1.cec.eu.int\RTD\E\E3\06%20Initiatives%20and%20Partnerships\IHI\Fiche%20and%20MS%20comments%20June%202019\02_Results_InnovativeHealth%20(provided%205%20Ju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Relevance of the European Partnership for:</a:t>
            </a:r>
          </a:p>
        </c:rich>
      </c:tx>
      <c:overlay val="0"/>
      <c:spPr>
        <a:noFill/>
        <a:ln>
          <a:noFill/>
        </a:ln>
        <a:effectLst/>
      </c:spPr>
    </c:title>
    <c:autoTitleDeleted val="0"/>
    <c:plotArea>
      <c:layout/>
      <c:barChart>
        <c:barDir val="col"/>
        <c:grouping val="percentStacked"/>
        <c:varyColors val="0"/>
        <c:ser>
          <c:idx val="0"/>
          <c:order val="0"/>
          <c:tx>
            <c:strRef>
              <c:f>Analysis!$B$16</c:f>
              <c:strCache>
                <c:ptCount val="1"/>
                <c:pt idx="0">
                  <c:v>Very relevant</c:v>
                </c:pt>
              </c:strCache>
            </c:strRef>
          </c:tx>
          <c:spPr>
            <a:solidFill>
              <a:srgbClr val="00B050"/>
            </a:solidFill>
            <a:ln>
              <a:noFill/>
            </a:ln>
            <a:effectLst/>
          </c:spPr>
          <c:invertIfNegative val="0"/>
          <c:dLbls>
            <c:delete val="1"/>
          </c:dLbls>
          <c:cat>
            <c:strRef>
              <c:f>Analysis!$A$17:$A$19</c:f>
              <c:strCache>
                <c:ptCount val="3"/>
                <c:pt idx="0">
                  <c:v>National policies/priorities</c:v>
                </c:pt>
                <c:pt idx="1">
                  <c:v>Research organisations including universities</c:v>
                </c:pt>
                <c:pt idx="2">
                  <c:v>Industry</c:v>
                </c:pt>
              </c:strCache>
            </c:strRef>
          </c:cat>
          <c:val>
            <c:numRef>
              <c:f>Analysis!$B$17:$B$19</c:f>
              <c:numCache>
                <c:formatCode>0%</c:formatCode>
                <c:ptCount val="3"/>
                <c:pt idx="0">
                  <c:v>0.8928571428571429</c:v>
                </c:pt>
                <c:pt idx="1">
                  <c:v>0.8928571428571429</c:v>
                </c:pt>
                <c:pt idx="2">
                  <c:v>0.6785714285714286</c:v>
                </c:pt>
              </c:numCache>
            </c:numRef>
          </c:val>
          <c:extLst xmlns:c16r2="http://schemas.microsoft.com/office/drawing/2015/06/chart">
            <c:ext xmlns:c16="http://schemas.microsoft.com/office/drawing/2014/chart" uri="{C3380CC4-5D6E-409C-BE32-E72D297353CC}">
              <c16:uniqueId val="{00000000-0FB5-4CD2-8162-109D573F4366}"/>
            </c:ext>
          </c:extLst>
        </c:ser>
        <c:ser>
          <c:idx val="1"/>
          <c:order val="1"/>
          <c:tx>
            <c:strRef>
              <c:f>Analysis!$C$16</c:f>
              <c:strCache>
                <c:ptCount val="1"/>
                <c:pt idx="0">
                  <c:v>Somewhat relevant </c:v>
                </c:pt>
              </c:strCache>
            </c:strRef>
          </c:tx>
          <c:spPr>
            <a:solidFill>
              <a:srgbClr val="92D050"/>
            </a:solidFill>
            <a:ln>
              <a:noFill/>
            </a:ln>
            <a:effectLst/>
          </c:spPr>
          <c:invertIfNegative val="0"/>
          <c:dLbls>
            <c:delete val="1"/>
          </c:dLbls>
          <c:cat>
            <c:strRef>
              <c:f>Analysis!$A$17:$A$19</c:f>
              <c:strCache>
                <c:ptCount val="3"/>
                <c:pt idx="0">
                  <c:v>National policies/priorities</c:v>
                </c:pt>
                <c:pt idx="1">
                  <c:v>Research organisations including universities</c:v>
                </c:pt>
                <c:pt idx="2">
                  <c:v>Industry</c:v>
                </c:pt>
              </c:strCache>
            </c:strRef>
          </c:cat>
          <c:val>
            <c:numRef>
              <c:f>Analysis!$C$17:$C$19</c:f>
              <c:numCache>
                <c:formatCode>0%</c:formatCode>
                <c:ptCount val="3"/>
                <c:pt idx="0">
                  <c:v>7.1428571428571425E-2</c:v>
                </c:pt>
                <c:pt idx="1">
                  <c:v>3.5714285714285712E-2</c:v>
                </c:pt>
                <c:pt idx="2">
                  <c:v>0.25</c:v>
                </c:pt>
              </c:numCache>
            </c:numRef>
          </c:val>
          <c:extLst xmlns:c16r2="http://schemas.microsoft.com/office/drawing/2015/06/chart">
            <c:ext xmlns:c16="http://schemas.microsoft.com/office/drawing/2014/chart" uri="{C3380CC4-5D6E-409C-BE32-E72D297353CC}">
              <c16:uniqueId val="{00000001-0FB5-4CD2-8162-109D573F4366}"/>
            </c:ext>
          </c:extLst>
        </c:ser>
        <c:ser>
          <c:idx val="2"/>
          <c:order val="2"/>
          <c:tx>
            <c:strRef>
              <c:f>Analysis!$D$16</c:f>
              <c:strCache>
                <c:ptCount val="1"/>
                <c:pt idx="0">
                  <c:v>Neutral</c:v>
                </c:pt>
              </c:strCache>
            </c:strRef>
          </c:tx>
          <c:spPr>
            <a:solidFill>
              <a:schemeClr val="accent3"/>
            </a:solidFill>
            <a:ln>
              <a:noFill/>
            </a:ln>
            <a:effectLst/>
          </c:spPr>
          <c:invertIfNegative val="0"/>
          <c:dLbls>
            <c:delete val="1"/>
          </c:dLbls>
          <c:cat>
            <c:strRef>
              <c:f>Analysis!$A$17:$A$19</c:f>
              <c:strCache>
                <c:ptCount val="3"/>
                <c:pt idx="0">
                  <c:v>National policies/priorities</c:v>
                </c:pt>
                <c:pt idx="1">
                  <c:v>Research organisations including universities</c:v>
                </c:pt>
                <c:pt idx="2">
                  <c:v>Industry</c:v>
                </c:pt>
              </c:strCache>
            </c:strRef>
          </c:cat>
          <c:val>
            <c:numRef>
              <c:f>Analysis!$D$17:$D$19</c:f>
              <c:numCache>
                <c:formatCode>0%</c:formatCode>
                <c:ptCount val="3"/>
                <c:pt idx="0">
                  <c:v>3.5714285714285712E-2</c:v>
                </c:pt>
                <c:pt idx="1">
                  <c:v>7.1428571428571425E-2</c:v>
                </c:pt>
                <c:pt idx="2">
                  <c:v>7.1428571428571425E-2</c:v>
                </c:pt>
              </c:numCache>
            </c:numRef>
          </c:val>
          <c:extLst xmlns:c16r2="http://schemas.microsoft.com/office/drawing/2015/06/chart">
            <c:ext xmlns:c16="http://schemas.microsoft.com/office/drawing/2014/chart" uri="{C3380CC4-5D6E-409C-BE32-E72D297353CC}">
              <c16:uniqueId val="{00000002-0FB5-4CD2-8162-109D573F4366}"/>
            </c:ext>
          </c:extLst>
        </c:ser>
        <c:ser>
          <c:idx val="3"/>
          <c:order val="3"/>
          <c:tx>
            <c:strRef>
              <c:f>Analysis!$E$16</c:f>
              <c:strCache>
                <c:ptCount val="1"/>
                <c:pt idx="0">
                  <c:v>Not very relevant</c:v>
                </c:pt>
              </c:strCache>
            </c:strRef>
          </c:tx>
          <c:spPr>
            <a:solidFill>
              <a:schemeClr val="accent4"/>
            </a:solidFill>
            <a:ln>
              <a:noFill/>
            </a:ln>
            <a:effectLst/>
          </c:spPr>
          <c:invertIfNegative val="0"/>
          <c:dLbls>
            <c:delete val="1"/>
          </c:dLbls>
          <c:cat>
            <c:strRef>
              <c:f>Analysis!$A$17:$A$19</c:f>
              <c:strCache>
                <c:ptCount val="3"/>
                <c:pt idx="0">
                  <c:v>National policies/priorities</c:v>
                </c:pt>
                <c:pt idx="1">
                  <c:v>Research organisations including universities</c:v>
                </c:pt>
                <c:pt idx="2">
                  <c:v>Industry</c:v>
                </c:pt>
              </c:strCache>
            </c:strRef>
          </c:cat>
          <c:val>
            <c:numRef>
              <c:f>Analysis!$E$17:$E$19</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3-0FB5-4CD2-8162-109D573F4366}"/>
            </c:ext>
          </c:extLst>
        </c:ser>
        <c:ser>
          <c:idx val="4"/>
          <c:order val="4"/>
          <c:tx>
            <c:strRef>
              <c:f>Analysis!$F$16</c:f>
              <c:strCache>
                <c:ptCount val="1"/>
                <c:pt idx="0">
                  <c:v>Not relevant at all</c:v>
                </c:pt>
              </c:strCache>
            </c:strRef>
          </c:tx>
          <c:spPr>
            <a:solidFill>
              <a:srgbClr val="C00000"/>
            </a:solidFill>
            <a:ln>
              <a:noFill/>
            </a:ln>
            <a:effectLst/>
          </c:spPr>
          <c:invertIfNegative val="0"/>
          <c:dLbls>
            <c:delete val="1"/>
          </c:dLbls>
          <c:cat>
            <c:strRef>
              <c:f>Analysis!$A$17:$A$19</c:f>
              <c:strCache>
                <c:ptCount val="3"/>
                <c:pt idx="0">
                  <c:v>National policies/priorities</c:v>
                </c:pt>
                <c:pt idx="1">
                  <c:v>Research organisations including universities</c:v>
                </c:pt>
                <c:pt idx="2">
                  <c:v>Industry</c:v>
                </c:pt>
              </c:strCache>
            </c:strRef>
          </c:cat>
          <c:val>
            <c:numRef>
              <c:f>Analysis!$F$17:$F$19</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4-0FB5-4CD2-8162-109D573F4366}"/>
            </c:ext>
          </c:extLst>
        </c:ser>
        <c:dLbls>
          <c:dLblPos val="ctr"/>
          <c:showLegendKey val="0"/>
          <c:showVal val="1"/>
          <c:showCatName val="0"/>
          <c:showSerName val="0"/>
          <c:showPercent val="0"/>
          <c:showBubbleSize val="0"/>
        </c:dLbls>
        <c:gapWidth val="150"/>
        <c:overlap val="100"/>
        <c:axId val="100009088"/>
        <c:axId val="100010624"/>
      </c:barChart>
      <c:catAx>
        <c:axId val="10000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10624"/>
        <c:crosses val="autoZero"/>
        <c:auto val="1"/>
        <c:lblAlgn val="ctr"/>
        <c:lblOffset val="100"/>
        <c:noMultiLvlLbl val="0"/>
      </c:catAx>
      <c:valAx>
        <c:axId val="1000106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09088"/>
        <c:crosses val="autoZero"/>
        <c:crossBetween val="between"/>
        <c:majorUnit val="0.2"/>
      </c:valAx>
      <c:spPr>
        <a:solidFill>
          <a:sysClr val="window" lastClr="FFFFFF"/>
        </a:solidFill>
        <a:ln>
          <a:noFill/>
        </a:ln>
        <a:effectLst/>
      </c:spPr>
    </c:plotArea>
    <c:legend>
      <c:legendPos val="b"/>
      <c:overlay val="0"/>
      <c:spPr>
        <a:noFill/>
        <a:ln>
          <a:solidFill>
            <a:schemeClr val="accent1">
              <a:lumMod val="40000"/>
              <a:lumOff val="6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lumMod val="40000"/>
          <a:lumOff val="60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Existing</a:t>
            </a:r>
            <a:r>
              <a:rPr lang="en-GB" sz="1050" baseline="0"/>
              <a:t> n</a:t>
            </a:r>
            <a:r>
              <a:rPr lang="en-GB" sz="1050"/>
              <a:t>ational/regional R&amp;I strategies, plans and/ or programmes in support of the given area</a:t>
            </a:r>
          </a:p>
        </c:rich>
      </c:tx>
      <c:overlay val="0"/>
      <c:spPr>
        <a:noFill/>
        <a:ln>
          <a:noFill/>
        </a:ln>
        <a:effectLst/>
      </c:spPr>
    </c:title>
    <c:autoTitleDeleted val="0"/>
    <c:plotArea>
      <c:layout>
        <c:manualLayout>
          <c:layoutTarget val="inner"/>
          <c:xMode val="edge"/>
          <c:yMode val="edge"/>
          <c:x val="0.49909399597905801"/>
          <c:y val="0.25546365372505453"/>
          <c:w val="0.4587470992883243"/>
          <c:h val="0.61416443780989594"/>
        </c:manualLayout>
      </c:layout>
      <c:barChart>
        <c:barDir val="bar"/>
        <c:grouping val="percentStacked"/>
        <c:varyColors val="0"/>
        <c:ser>
          <c:idx val="0"/>
          <c:order val="0"/>
          <c:tx>
            <c:strRef>
              <c:f>Analysis!$B$20</c:f>
              <c:strCache>
                <c:ptCount val="1"/>
                <c:pt idx="0">
                  <c:v>Yes</c:v>
                </c:pt>
              </c:strCache>
            </c:strRef>
          </c:tx>
          <c:spPr>
            <a:solidFill>
              <a:srgbClr val="00B050"/>
            </a:solidFill>
            <a:ln>
              <a:noFill/>
            </a:ln>
            <a:effectLst/>
          </c:spPr>
          <c:invertIfNegative val="0"/>
          <c:dLbls>
            <c:delete val="1"/>
          </c:dLbls>
          <c:cat>
            <c:strRef>
              <c:f>Analysis!$A$21:$A$25</c:f>
              <c:strCache>
                <c:ptCount val="5"/>
                <c:pt idx="0">
                  <c:v>National R&amp;I strategy and/or plan </c:v>
                </c:pt>
                <c:pt idx="1">
                  <c:v>National economic / sectoral strategy and/or plan with a strong emphasis on research and/or innovation </c:v>
                </c:pt>
                <c:pt idx="2">
                  <c:v>Dedicated R&amp;I funding programme or instrument</c:v>
                </c:pt>
                <c:pt idx="3">
                  <c:v>Regional R&amp;I and/or smart specialisation strategies</c:v>
                </c:pt>
                <c:pt idx="4">
                  <c:v>Other</c:v>
                </c:pt>
              </c:strCache>
            </c:strRef>
          </c:cat>
          <c:val>
            <c:numRef>
              <c:f>Analysis!$B$21:$B$25</c:f>
              <c:numCache>
                <c:formatCode>0%</c:formatCode>
                <c:ptCount val="5"/>
                <c:pt idx="0">
                  <c:v>0.8928571428571429</c:v>
                </c:pt>
                <c:pt idx="1">
                  <c:v>0.7857142857142857</c:v>
                </c:pt>
                <c:pt idx="2">
                  <c:v>0.5714285714285714</c:v>
                </c:pt>
                <c:pt idx="3">
                  <c:v>0.75</c:v>
                </c:pt>
                <c:pt idx="4">
                  <c:v>0.21428571428571427</c:v>
                </c:pt>
              </c:numCache>
            </c:numRef>
          </c:val>
          <c:extLst xmlns:c16r2="http://schemas.microsoft.com/office/drawing/2015/06/chart">
            <c:ext xmlns:c16="http://schemas.microsoft.com/office/drawing/2014/chart" uri="{C3380CC4-5D6E-409C-BE32-E72D297353CC}">
              <c16:uniqueId val="{00000000-FC91-45D3-A3EE-71FB43893A2A}"/>
            </c:ext>
          </c:extLst>
        </c:ser>
        <c:ser>
          <c:idx val="1"/>
          <c:order val="1"/>
          <c:tx>
            <c:strRef>
              <c:f>Analysis!$C$20</c:f>
              <c:strCache>
                <c:ptCount val="1"/>
                <c:pt idx="0">
                  <c:v>No</c:v>
                </c:pt>
              </c:strCache>
            </c:strRef>
          </c:tx>
          <c:spPr>
            <a:solidFill>
              <a:srgbClr val="C00000"/>
            </a:solidFill>
            <a:ln>
              <a:noFill/>
            </a:ln>
            <a:effectLst/>
          </c:spPr>
          <c:invertIfNegative val="0"/>
          <c:dLbls>
            <c:delete val="1"/>
          </c:dLbls>
          <c:cat>
            <c:strRef>
              <c:f>Analysis!$A$21:$A$25</c:f>
              <c:strCache>
                <c:ptCount val="5"/>
                <c:pt idx="0">
                  <c:v>National R&amp;I strategy and/or plan </c:v>
                </c:pt>
                <c:pt idx="1">
                  <c:v>National economic / sectoral strategy and/or plan with a strong emphasis on research and/or innovation </c:v>
                </c:pt>
                <c:pt idx="2">
                  <c:v>Dedicated R&amp;I funding programme or instrument</c:v>
                </c:pt>
                <c:pt idx="3">
                  <c:v>Regional R&amp;I and/or smart specialisation strategies</c:v>
                </c:pt>
                <c:pt idx="4">
                  <c:v>Other</c:v>
                </c:pt>
              </c:strCache>
            </c:strRef>
          </c:cat>
          <c:val>
            <c:numRef>
              <c:f>Analysis!$C$21:$C$25</c:f>
              <c:numCache>
                <c:formatCode>0%</c:formatCode>
                <c:ptCount val="5"/>
                <c:pt idx="0">
                  <c:v>0.10714285714285714</c:v>
                </c:pt>
                <c:pt idx="1">
                  <c:v>0.21428571428571427</c:v>
                </c:pt>
                <c:pt idx="2">
                  <c:v>0.42857142857142855</c:v>
                </c:pt>
                <c:pt idx="3">
                  <c:v>0.25</c:v>
                </c:pt>
                <c:pt idx="4">
                  <c:v>0.6785714285714286</c:v>
                </c:pt>
              </c:numCache>
            </c:numRef>
          </c:val>
          <c:extLst xmlns:c16r2="http://schemas.microsoft.com/office/drawing/2015/06/chart">
            <c:ext xmlns:c16="http://schemas.microsoft.com/office/drawing/2014/chart" uri="{C3380CC4-5D6E-409C-BE32-E72D297353CC}">
              <c16:uniqueId val="{00000001-FC91-45D3-A3EE-71FB43893A2A}"/>
            </c:ext>
          </c:extLst>
        </c:ser>
        <c:dLbls>
          <c:showLegendKey val="0"/>
          <c:showVal val="1"/>
          <c:showCatName val="0"/>
          <c:showSerName val="0"/>
          <c:showPercent val="0"/>
          <c:showBubbleSize val="0"/>
        </c:dLbls>
        <c:gapWidth val="150"/>
        <c:overlap val="100"/>
        <c:axId val="100045184"/>
        <c:axId val="100046720"/>
      </c:barChart>
      <c:catAx>
        <c:axId val="100045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46720"/>
        <c:crosses val="autoZero"/>
        <c:auto val="1"/>
        <c:lblAlgn val="ctr"/>
        <c:lblOffset val="100"/>
        <c:noMultiLvlLbl val="0"/>
      </c:catAx>
      <c:valAx>
        <c:axId val="100046720"/>
        <c:scaling>
          <c:orientation val="minMax"/>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451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lumMod val="40000"/>
          <a:lumOff val="60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Reference xmlns="71e45aad-9437-414b-9e22-3472f48ca47e" xsi:nil="true"/>
    <EC_Collab_DocumentLanguage xmlns="71e45aad-9437-414b-9e22-3472f48ca47e">EN</EC_Collab_DocumentLanguage>
    <EC_Collab_Status xmlns="71e45aad-9437-414b-9e22-3472f48ca47e">Not Started</EC_Collab_Status>
  </documentManagement>
</p:properties>
</file>

<file path=customXml/item2.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B9A7079FB77C1C4E988EE1C6A31CAA1E" ma:contentTypeVersion="0" ma:contentTypeDescription="Create a new document in this library." ma:contentTypeScope="" ma:versionID="41d124adcdb0b98f02ce4f58fdd0652b">
  <xsd:schema xmlns:xsd="http://www.w3.org/2001/XMLSchema" xmlns:xs="http://www.w3.org/2001/XMLSchema" xmlns:p="http://schemas.microsoft.com/office/2006/metadata/properties" xmlns:ns2="http://schemas.microsoft.com/sharepoint/v3/fields" xmlns:ns3="71e45aad-9437-414b-9e22-3472f48ca47e" targetNamespace="http://schemas.microsoft.com/office/2006/metadata/properties" ma:root="true" ma:fieldsID="8b0ab2dc82d06ab1381631565f8c7b7f" ns2:_="" ns3:_="">
    <xsd:import namespace="http://schemas.microsoft.com/sharepoint/v3/fields"/>
    <xsd:import namespace="71e45aad-9437-414b-9e22-3472f48ca47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1e45aad-9437-414b-9e22-3472f48ca47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6.xml><?xml version="1.0" encoding="utf-8"?>
<EurolookProperties>
  <ProductCustomizationId>EC</ProductCustomizationId>
  <Created>
    <Version>10.0.40183.0</Version>
    <Date>2020-02-21T11:37:11</Date>
    <Language>EN</Language>
    <Note/>
  </Created>
  <Edited>
    <Version>10.0.41789.0</Version>
    <Date>2021-02-18T14:46:25</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ED1DD-99E4-4418-84FC-6517BFB8AD32}">
  <ds:schemaRefs>
    <ds:schemaRef ds:uri="http://purl.org/dc/elements/1.1/"/>
    <ds:schemaRef ds:uri="71e45aad-9437-414b-9e22-3472f48ca47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B6CBDC8B-F664-4999-81A7-17352A7DC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1e45aad-9437-414b-9e22-3472f48ca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5EE0B2-4130-4C25-931B-1F9338858B9F}">
  <ds:schemaRefs>
    <ds:schemaRef ds:uri="http://schemas.microsoft.com/sharepoint/v3/contenttype/forms"/>
  </ds:schemaRefs>
</ds:datastoreItem>
</file>

<file path=customXml/itemProps5.xml><?xml version="1.0" encoding="utf-8"?>
<ds:datastoreItem xmlns:ds="http://schemas.openxmlformats.org/officeDocument/2006/customXml" ds:itemID="{953F53F1-3324-4F8A-B168-A4E6D800BEEB}">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D33672D9-F4CD-49D4-8C47-3C0E4F33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65</Pages>
  <Words>20849</Words>
  <Characters>122593</Characters>
  <Application>Microsoft Office Word</Application>
  <DocSecurity>0</DocSecurity>
  <PresentationFormat>Microsoft Word 14.0</PresentationFormat>
  <Lines>2724</Lines>
  <Paragraphs>1094</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19</cp:revision>
  <cp:lastPrinted>2020-10-05T08:00:00Z</cp:lastPrinted>
  <dcterms:created xsi:type="dcterms:W3CDTF">2021-01-22T08:17:00Z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4</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_LW_INVALIDATED_ELDocType">
    <vt:lpwstr>rep.dot</vt:lpwstr>
  </property>
  <property fmtid="{D5CDD505-2E9C-101B-9397-08002B2CF9AE}" pid="11" name="_LW_INVALIDATED__LW_INVALIDATED_ContentTypeId">
    <vt:lpwstr>0x010100258AA79CEB83498886A3A0868112325000B9A7079FB77C1C4E988EE1C6A31CAA1E</vt:lpwstr>
  </property>
</Properties>
</file>