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FAE1C7BE-973D-471B-A2FD-BCB65EF8645E" style="width:450.4pt;height:420.3pt">
            <v:imagedata r:id="rId15" o:title=""/>
          </v:shape>
        </w:pict>
      </w:r>
    </w:p>
    <w:bookmarkEnd w:id="0"/>
    <w:p>
      <w:pPr>
        <w:pStyle w:val="Pagedecouvertur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jc w:val="center"/>
        <w:rPr>
          <w:b/>
          <w:noProof/>
        </w:rPr>
      </w:pPr>
      <w:bookmarkStart w:id="1" w:name="_GoBack"/>
      <w:bookmarkEnd w:id="1"/>
      <w:r>
        <w:rPr>
          <w:b/>
          <w:noProof/>
        </w:rPr>
        <w:lastRenderedPageBreak/>
        <w:t>ANNEXES</w:t>
      </w:r>
    </w:p>
    <w:p>
      <w:pPr>
        <w:rPr>
          <w:b/>
          <w:noProof/>
        </w:rPr>
      </w:pPr>
    </w:p>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val="es-ES" w:eastAsia="ko-KR"/>
        </w:rPr>
      </w:pPr>
      <w:r>
        <w:rPr>
          <w:noProof/>
        </w:rPr>
        <w:t>Annex 1</w:t>
      </w:r>
      <w:r>
        <w:rPr>
          <w:rFonts w:asciiTheme="minorHAnsi" w:eastAsiaTheme="minorEastAsia" w:hAnsiTheme="minorHAnsi" w:cstheme="minorBidi"/>
          <w:caps w:val="0"/>
          <w:noProof/>
          <w:sz w:val="22"/>
          <w:szCs w:val="22"/>
          <w:lang w:val="es-ES" w:eastAsia="ko-KR"/>
        </w:rPr>
        <w:tab/>
      </w:r>
      <w:r>
        <w:rPr>
          <w:noProof/>
        </w:rPr>
        <w:t>Procedural Information</w:t>
      </w:r>
      <w:r>
        <w:rPr>
          <w:noProof/>
          <w:webHidden/>
        </w:rPr>
        <w:tab/>
        <w:t>3</w:t>
      </w:r>
    </w:p>
    <w:p>
      <w:pPr>
        <w:pStyle w:val="TOC1"/>
        <w:tabs>
          <w:tab w:val="left" w:pos="1916"/>
        </w:tabs>
        <w:rPr>
          <w:rFonts w:asciiTheme="minorHAnsi" w:eastAsiaTheme="minorEastAsia" w:hAnsiTheme="minorHAnsi" w:cstheme="minorBidi"/>
          <w:caps w:val="0"/>
          <w:noProof/>
          <w:sz w:val="22"/>
          <w:szCs w:val="22"/>
          <w:lang w:val="es-ES" w:eastAsia="ko-KR"/>
        </w:rPr>
      </w:pPr>
      <w:r>
        <w:rPr>
          <w:noProof/>
        </w:rPr>
        <w:t>Annex 2</w:t>
      </w:r>
      <w:r>
        <w:rPr>
          <w:rFonts w:asciiTheme="minorHAnsi" w:eastAsiaTheme="minorEastAsia" w:hAnsiTheme="minorHAnsi" w:cstheme="minorBidi"/>
          <w:caps w:val="0"/>
          <w:noProof/>
          <w:sz w:val="22"/>
          <w:szCs w:val="22"/>
          <w:lang w:val="es-ES" w:eastAsia="ko-KR"/>
        </w:rPr>
        <w:tab/>
      </w:r>
      <w:r>
        <w:rPr>
          <w:noProof/>
        </w:rPr>
        <w:t>Stakeholder Consultation</w:t>
      </w:r>
      <w:r>
        <w:rPr>
          <w:noProof/>
          <w:webHidden/>
        </w:rPr>
        <w:tab/>
        <w:t>7</w:t>
      </w:r>
    </w:p>
    <w:p>
      <w:pPr>
        <w:pStyle w:val="TOC1"/>
        <w:rPr>
          <w:rFonts w:asciiTheme="minorHAnsi" w:eastAsiaTheme="minorEastAsia" w:hAnsiTheme="minorHAnsi" w:cstheme="minorBidi"/>
          <w:caps w:val="0"/>
          <w:noProof/>
          <w:sz w:val="22"/>
          <w:szCs w:val="22"/>
          <w:lang w:val="es-ES" w:eastAsia="ko-KR"/>
        </w:rPr>
      </w:pPr>
      <w:r>
        <w:rPr>
          <w:noProof/>
          <w:lang w:val="en-IE"/>
        </w:rPr>
        <w:t>1.</w:t>
      </w:r>
      <w:r>
        <w:rPr>
          <w:rFonts w:asciiTheme="minorHAnsi" w:eastAsiaTheme="minorEastAsia" w:hAnsiTheme="minorHAnsi" w:cstheme="minorBidi"/>
          <w:caps w:val="0"/>
          <w:noProof/>
          <w:sz w:val="22"/>
          <w:szCs w:val="22"/>
          <w:lang w:val="es-ES" w:eastAsia="ko-KR"/>
        </w:rPr>
        <w:tab/>
      </w:r>
      <w:r>
        <w:rPr>
          <w:noProof/>
          <w:lang w:val="en-IE"/>
        </w:rPr>
        <w:t>Overview for all candidate institutionalised European Partnerships</w:t>
      </w:r>
      <w:r>
        <w:rPr>
          <w:noProof/>
          <w:webHidden/>
        </w:rPr>
        <w:tab/>
        <w:t>7</w:t>
      </w:r>
    </w:p>
    <w:p>
      <w:pPr>
        <w:pStyle w:val="TOC2"/>
        <w:tabs>
          <w:tab w:val="left" w:pos="1077"/>
        </w:tabs>
        <w:rPr>
          <w:rFonts w:asciiTheme="minorHAnsi" w:eastAsiaTheme="minorEastAsia" w:hAnsiTheme="minorHAnsi" w:cstheme="minorBidi"/>
          <w:sz w:val="22"/>
          <w:szCs w:val="22"/>
          <w:lang w:val="es-ES" w:eastAsia="ko-KR"/>
        </w:rPr>
      </w:pPr>
      <w:r>
        <w:rPr>
          <w:lang w:val="en-IE"/>
        </w:rPr>
        <w:t>1.1.</w:t>
      </w:r>
      <w:r>
        <w:rPr>
          <w:rFonts w:asciiTheme="minorHAnsi" w:eastAsiaTheme="minorEastAsia" w:hAnsiTheme="minorHAnsi" w:cstheme="minorBidi"/>
          <w:sz w:val="22"/>
          <w:szCs w:val="22"/>
          <w:lang w:val="es-ES" w:eastAsia="ko-KR"/>
        </w:rPr>
        <w:tab/>
      </w:r>
      <w:r>
        <w:rPr>
          <w:lang w:val="en-IE"/>
        </w:rPr>
        <w:t>Introduction</w:t>
      </w:r>
      <w:r>
        <w:rPr>
          <w:webHidden/>
        </w:rPr>
        <w:tab/>
        <w:t>7</w:t>
      </w:r>
    </w:p>
    <w:p>
      <w:pPr>
        <w:pStyle w:val="TOC2"/>
        <w:tabs>
          <w:tab w:val="left" w:pos="1077"/>
        </w:tabs>
        <w:rPr>
          <w:rFonts w:asciiTheme="minorHAnsi" w:eastAsiaTheme="minorEastAsia" w:hAnsiTheme="minorHAnsi" w:cstheme="minorBidi"/>
          <w:sz w:val="22"/>
          <w:szCs w:val="22"/>
          <w:lang w:val="es-ES" w:eastAsia="ko-KR"/>
        </w:rPr>
      </w:pPr>
      <w:r>
        <w:rPr>
          <w:lang w:val="en-IE"/>
        </w:rPr>
        <w:t>1.2.</w:t>
      </w:r>
      <w:r>
        <w:rPr>
          <w:rFonts w:asciiTheme="minorHAnsi" w:eastAsiaTheme="minorEastAsia" w:hAnsiTheme="minorHAnsi" w:cstheme="minorBidi"/>
          <w:sz w:val="22"/>
          <w:szCs w:val="22"/>
          <w:lang w:val="es-ES" w:eastAsia="ko-KR"/>
        </w:rPr>
        <w:tab/>
      </w:r>
      <w:r>
        <w:rPr>
          <w:lang w:val="en-IE"/>
        </w:rPr>
        <w:t>Horizontal results of the Open Public Consultation</w:t>
      </w:r>
      <w:r>
        <w:rPr>
          <w:webHidden/>
        </w:rPr>
        <w:tab/>
        <w:t>7</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1.2.1.</w:t>
      </w:r>
      <w:r>
        <w:rPr>
          <w:rFonts w:asciiTheme="minorHAnsi" w:eastAsiaTheme="minorEastAsia" w:hAnsiTheme="minorHAnsi" w:cstheme="minorBidi"/>
          <w:noProof/>
          <w:sz w:val="22"/>
          <w:szCs w:val="22"/>
          <w:lang w:val="es-ES" w:eastAsia="ko-KR"/>
        </w:rPr>
        <w:tab/>
      </w:r>
      <w:r>
        <w:rPr>
          <w:noProof/>
          <w:lang w:val="en-IE"/>
        </w:rPr>
        <w:t>Profile of respondents</w:t>
      </w:r>
      <w:r>
        <w:rPr>
          <w:noProof/>
          <w:webHidden/>
        </w:rPr>
        <w:tab/>
        <w:t>7</w:t>
      </w:r>
    </w:p>
    <w:p>
      <w:pPr>
        <w:pStyle w:val="TOC3"/>
        <w:tabs>
          <w:tab w:val="left" w:pos="1916"/>
        </w:tabs>
        <w:rPr>
          <w:rFonts w:asciiTheme="minorHAnsi" w:eastAsiaTheme="minorEastAsia" w:hAnsiTheme="minorHAnsi" w:cstheme="minorBidi"/>
          <w:noProof/>
          <w:sz w:val="22"/>
          <w:szCs w:val="22"/>
          <w:lang w:val="es-ES" w:eastAsia="ko-KR"/>
        </w:rPr>
      </w:pPr>
      <w:r>
        <w:rPr>
          <w:bCs/>
          <w:noProof/>
        </w:rPr>
        <w:t>1.2.2.</w:t>
      </w:r>
      <w:r>
        <w:rPr>
          <w:rFonts w:asciiTheme="minorHAnsi" w:eastAsiaTheme="minorEastAsia" w:hAnsiTheme="minorHAnsi" w:cstheme="minorBidi"/>
          <w:noProof/>
          <w:sz w:val="22"/>
          <w:szCs w:val="22"/>
          <w:lang w:val="es-ES" w:eastAsia="ko-KR"/>
        </w:rPr>
        <w:tab/>
      </w:r>
      <w:r>
        <w:rPr>
          <w:bCs/>
          <w:noProof/>
        </w:rPr>
        <w:t>Characteristics of future candidate European Partnerships</w:t>
      </w:r>
      <w:r>
        <w:rPr>
          <w:noProof/>
          <w:webHidden/>
        </w:rPr>
        <w:tab/>
        <w:t>11</w:t>
      </w:r>
    </w:p>
    <w:p>
      <w:pPr>
        <w:pStyle w:val="TOC3"/>
        <w:tabs>
          <w:tab w:val="left" w:pos="1916"/>
        </w:tabs>
        <w:rPr>
          <w:rFonts w:asciiTheme="minorHAnsi" w:eastAsiaTheme="minorEastAsia" w:hAnsiTheme="minorHAnsi" w:cstheme="minorBidi"/>
          <w:noProof/>
          <w:sz w:val="22"/>
          <w:szCs w:val="22"/>
          <w:lang w:val="es-ES" w:eastAsia="ko-KR"/>
        </w:rPr>
      </w:pPr>
      <w:r>
        <w:rPr>
          <w:bCs/>
          <w:noProof/>
        </w:rPr>
        <w:t>1.2.3.</w:t>
      </w:r>
      <w:r>
        <w:rPr>
          <w:rFonts w:asciiTheme="minorHAnsi" w:eastAsiaTheme="minorEastAsia" w:hAnsiTheme="minorHAnsi" w:cstheme="minorBidi"/>
          <w:noProof/>
          <w:sz w:val="22"/>
          <w:szCs w:val="22"/>
          <w:lang w:val="es-ES" w:eastAsia="ko-KR"/>
        </w:rPr>
        <w:tab/>
      </w:r>
      <w:r>
        <w:rPr>
          <w:bCs/>
          <w:noProof/>
        </w:rPr>
        <w:t>Main advantages and disadvantages of Institutionalised European Partnerships</w:t>
      </w:r>
      <w:r>
        <w:rPr>
          <w:noProof/>
          <w:webHidden/>
        </w:rPr>
        <w:tab/>
        <w:t>12</w:t>
      </w:r>
    </w:p>
    <w:p>
      <w:pPr>
        <w:pStyle w:val="TOC3"/>
        <w:tabs>
          <w:tab w:val="left" w:pos="1916"/>
        </w:tabs>
        <w:rPr>
          <w:rFonts w:asciiTheme="minorHAnsi" w:eastAsiaTheme="minorEastAsia" w:hAnsiTheme="minorHAnsi" w:cstheme="minorBidi"/>
          <w:noProof/>
          <w:sz w:val="22"/>
          <w:szCs w:val="22"/>
          <w:lang w:val="es-ES" w:eastAsia="ko-KR"/>
        </w:rPr>
      </w:pPr>
      <w:r>
        <w:rPr>
          <w:bCs/>
          <w:noProof/>
        </w:rPr>
        <w:t>1.2.4.</w:t>
      </w:r>
      <w:r>
        <w:rPr>
          <w:rFonts w:asciiTheme="minorHAnsi" w:eastAsiaTheme="minorEastAsia" w:hAnsiTheme="minorHAnsi" w:cstheme="minorBidi"/>
          <w:noProof/>
          <w:sz w:val="22"/>
          <w:szCs w:val="22"/>
          <w:lang w:val="es-ES" w:eastAsia="ko-KR"/>
        </w:rPr>
        <w:tab/>
      </w:r>
      <w:r>
        <w:rPr>
          <w:bCs/>
          <w:noProof/>
        </w:rPr>
        <w:t>Relevance of EU level to address problems in Partnerships’ areas</w:t>
      </w:r>
      <w:r>
        <w:rPr>
          <w:noProof/>
          <w:webHidden/>
        </w:rPr>
        <w:tab/>
        <w:t>13</w:t>
      </w:r>
    </w:p>
    <w:p>
      <w:pPr>
        <w:pStyle w:val="TOC3"/>
        <w:tabs>
          <w:tab w:val="left" w:pos="1916"/>
        </w:tabs>
        <w:rPr>
          <w:rFonts w:asciiTheme="minorHAnsi" w:eastAsiaTheme="minorEastAsia" w:hAnsiTheme="minorHAnsi" w:cstheme="minorBidi"/>
          <w:noProof/>
          <w:sz w:val="22"/>
          <w:szCs w:val="22"/>
          <w:lang w:val="es-ES" w:eastAsia="ko-KR"/>
        </w:rPr>
      </w:pPr>
      <w:r>
        <w:rPr>
          <w:bCs/>
          <w:noProof/>
        </w:rPr>
        <w:t>1.2.5.</w:t>
      </w:r>
      <w:r>
        <w:rPr>
          <w:rFonts w:asciiTheme="minorHAnsi" w:eastAsiaTheme="minorEastAsia" w:hAnsiTheme="minorHAnsi" w:cstheme="minorBidi"/>
          <w:noProof/>
          <w:sz w:val="22"/>
          <w:szCs w:val="22"/>
          <w:lang w:val="es-ES" w:eastAsia="ko-KR"/>
        </w:rPr>
        <w:tab/>
      </w:r>
      <w:r>
        <w:rPr>
          <w:bCs/>
          <w:noProof/>
        </w:rPr>
        <w:t>Horizon Europe mode of intervention to address problems</w:t>
      </w:r>
      <w:r>
        <w:rPr>
          <w:noProof/>
          <w:webHidden/>
        </w:rPr>
        <w:tab/>
        <w:t>14</w:t>
      </w:r>
    </w:p>
    <w:p>
      <w:pPr>
        <w:pStyle w:val="TOC3"/>
        <w:tabs>
          <w:tab w:val="left" w:pos="1916"/>
        </w:tabs>
        <w:rPr>
          <w:rFonts w:asciiTheme="minorHAnsi" w:eastAsiaTheme="minorEastAsia" w:hAnsiTheme="minorHAnsi" w:cstheme="minorBidi"/>
          <w:noProof/>
          <w:sz w:val="22"/>
          <w:szCs w:val="22"/>
          <w:lang w:val="es-ES" w:eastAsia="ko-KR"/>
        </w:rPr>
      </w:pPr>
      <w:r>
        <w:rPr>
          <w:bCs/>
          <w:noProof/>
        </w:rPr>
        <w:t>1.2.6.</w:t>
      </w:r>
      <w:r>
        <w:rPr>
          <w:rFonts w:asciiTheme="minorHAnsi" w:eastAsiaTheme="minorEastAsia" w:hAnsiTheme="minorHAnsi" w:cstheme="minorBidi"/>
          <w:noProof/>
          <w:sz w:val="22"/>
          <w:szCs w:val="22"/>
          <w:lang w:val="es-ES" w:eastAsia="ko-KR"/>
        </w:rPr>
        <w:tab/>
      </w:r>
      <w:r>
        <w:rPr>
          <w:bCs/>
          <w:noProof/>
        </w:rPr>
        <w:t>Relevance of a set of elements and activities to ensure that the proposed European Partnership would meet its objectives</w:t>
      </w:r>
      <w:r>
        <w:rPr>
          <w:noProof/>
          <w:webHidden/>
        </w:rPr>
        <w:tab/>
        <w:t>14</w:t>
      </w:r>
    </w:p>
    <w:p>
      <w:pPr>
        <w:pStyle w:val="TOC3"/>
        <w:tabs>
          <w:tab w:val="left" w:pos="1916"/>
        </w:tabs>
        <w:rPr>
          <w:rFonts w:asciiTheme="minorHAnsi" w:eastAsiaTheme="minorEastAsia" w:hAnsiTheme="minorHAnsi" w:cstheme="minorBidi"/>
          <w:noProof/>
          <w:sz w:val="22"/>
          <w:szCs w:val="22"/>
          <w:lang w:val="es-ES" w:eastAsia="ko-KR"/>
        </w:rPr>
      </w:pPr>
      <w:r>
        <w:rPr>
          <w:bCs/>
          <w:noProof/>
        </w:rPr>
        <w:t>1.2.7.</w:t>
      </w:r>
      <w:r>
        <w:rPr>
          <w:rFonts w:asciiTheme="minorHAnsi" w:eastAsiaTheme="minorEastAsia" w:hAnsiTheme="minorHAnsi" w:cstheme="minorBidi"/>
          <w:noProof/>
          <w:sz w:val="22"/>
          <w:szCs w:val="22"/>
          <w:lang w:val="es-ES" w:eastAsia="ko-KR"/>
        </w:rPr>
        <w:tab/>
      </w:r>
      <w:r>
        <w:rPr>
          <w:bCs/>
          <w:noProof/>
        </w:rPr>
        <w:t>Relevance of setting up a legal structure (funding body) for the candidate European Partnerships to achieve improvements</w:t>
      </w:r>
      <w:r>
        <w:rPr>
          <w:noProof/>
          <w:webHidden/>
        </w:rPr>
        <w:tab/>
        <w:t>17</w:t>
      </w:r>
    </w:p>
    <w:p>
      <w:pPr>
        <w:pStyle w:val="TOC3"/>
        <w:tabs>
          <w:tab w:val="left" w:pos="1916"/>
        </w:tabs>
        <w:rPr>
          <w:rFonts w:asciiTheme="minorHAnsi" w:eastAsiaTheme="minorEastAsia" w:hAnsiTheme="minorHAnsi" w:cstheme="minorBidi"/>
          <w:noProof/>
          <w:sz w:val="22"/>
          <w:szCs w:val="22"/>
          <w:lang w:val="es-ES" w:eastAsia="ko-KR"/>
        </w:rPr>
      </w:pPr>
      <w:r>
        <w:rPr>
          <w:bCs/>
          <w:noProof/>
        </w:rPr>
        <w:t>1.2.8.</w:t>
      </w:r>
      <w:r>
        <w:rPr>
          <w:rFonts w:asciiTheme="minorHAnsi" w:eastAsiaTheme="minorEastAsia" w:hAnsiTheme="minorHAnsi" w:cstheme="minorBidi"/>
          <w:noProof/>
          <w:sz w:val="22"/>
          <w:szCs w:val="22"/>
          <w:lang w:val="es-ES" w:eastAsia="ko-KR"/>
        </w:rPr>
        <w:tab/>
      </w:r>
      <w:r>
        <w:rPr>
          <w:bCs/>
          <w:noProof/>
        </w:rPr>
        <w:t>Scope and coverage of the candidate European Partnerships based on their inception impact assessments</w:t>
      </w:r>
      <w:r>
        <w:rPr>
          <w:noProof/>
          <w:webHidden/>
        </w:rPr>
        <w:tab/>
        <w:t>18</w:t>
      </w:r>
    </w:p>
    <w:p>
      <w:pPr>
        <w:pStyle w:val="TOC3"/>
        <w:tabs>
          <w:tab w:val="left" w:pos="1916"/>
        </w:tabs>
        <w:rPr>
          <w:rFonts w:asciiTheme="minorHAnsi" w:eastAsiaTheme="minorEastAsia" w:hAnsiTheme="minorHAnsi" w:cstheme="minorBidi"/>
          <w:noProof/>
          <w:sz w:val="22"/>
          <w:szCs w:val="22"/>
          <w:lang w:val="es-ES" w:eastAsia="ko-KR"/>
        </w:rPr>
      </w:pPr>
      <w:r>
        <w:rPr>
          <w:bCs/>
          <w:noProof/>
        </w:rPr>
        <w:t>1.2.9.</w:t>
      </w:r>
      <w:r>
        <w:rPr>
          <w:rFonts w:asciiTheme="minorHAnsi" w:eastAsiaTheme="minorEastAsia" w:hAnsiTheme="minorHAnsi" w:cstheme="minorBidi"/>
          <w:noProof/>
          <w:sz w:val="22"/>
          <w:szCs w:val="22"/>
          <w:lang w:val="es-ES" w:eastAsia="ko-KR"/>
        </w:rPr>
        <w:tab/>
      </w:r>
      <w:r>
        <w:rPr>
          <w:bCs/>
          <w:noProof/>
        </w:rPr>
        <w:t>Scope for rationalisation and alignment of candidate European Partnerships with other initiatives</w:t>
      </w:r>
      <w:r>
        <w:rPr>
          <w:noProof/>
          <w:webHidden/>
        </w:rPr>
        <w:tab/>
        <w:t>19</w:t>
      </w:r>
    </w:p>
    <w:p>
      <w:pPr>
        <w:pStyle w:val="TOC3"/>
        <w:tabs>
          <w:tab w:val="left" w:pos="2880"/>
        </w:tabs>
        <w:rPr>
          <w:rFonts w:asciiTheme="minorHAnsi" w:eastAsiaTheme="minorEastAsia" w:hAnsiTheme="minorHAnsi" w:cstheme="minorBidi"/>
          <w:noProof/>
          <w:sz w:val="22"/>
          <w:szCs w:val="22"/>
          <w:lang w:val="es-ES" w:eastAsia="ko-KR"/>
        </w:rPr>
      </w:pPr>
      <w:r>
        <w:rPr>
          <w:bCs/>
          <w:noProof/>
        </w:rPr>
        <w:t>1.2.10.</w:t>
      </w:r>
      <w:r>
        <w:rPr>
          <w:rFonts w:asciiTheme="minorHAnsi" w:eastAsiaTheme="minorEastAsia" w:hAnsiTheme="minorHAnsi" w:cstheme="minorBidi"/>
          <w:noProof/>
          <w:sz w:val="22"/>
          <w:szCs w:val="22"/>
          <w:lang w:val="es-ES" w:eastAsia="ko-KR"/>
        </w:rPr>
        <w:tab/>
      </w:r>
      <w:r>
        <w:rPr>
          <w:bCs/>
          <w:noProof/>
        </w:rPr>
        <w:t>Relevance of European Partnerships to deliver targeted scientific, economic/technological and societal impacts</w:t>
      </w:r>
      <w:r>
        <w:rPr>
          <w:noProof/>
          <w:webHidden/>
        </w:rPr>
        <w:tab/>
        <w:t>19</w:t>
      </w:r>
    </w:p>
    <w:p>
      <w:pPr>
        <w:pStyle w:val="TOC2"/>
        <w:tabs>
          <w:tab w:val="left" w:pos="1077"/>
        </w:tabs>
        <w:rPr>
          <w:rFonts w:asciiTheme="minorHAnsi" w:eastAsiaTheme="minorEastAsia" w:hAnsiTheme="minorHAnsi" w:cstheme="minorBidi"/>
          <w:sz w:val="22"/>
          <w:szCs w:val="22"/>
          <w:lang w:val="es-ES" w:eastAsia="ko-KR"/>
        </w:rPr>
      </w:pPr>
      <w:r>
        <w:rPr>
          <w:lang w:val="en-IE"/>
        </w:rPr>
        <w:t>1.3.</w:t>
      </w:r>
      <w:r>
        <w:rPr>
          <w:rFonts w:asciiTheme="minorHAnsi" w:eastAsiaTheme="minorEastAsia" w:hAnsiTheme="minorHAnsi" w:cstheme="minorBidi"/>
          <w:sz w:val="22"/>
          <w:szCs w:val="22"/>
          <w:lang w:val="es-ES" w:eastAsia="ko-KR"/>
        </w:rPr>
        <w:tab/>
      </w:r>
      <w:r>
        <w:rPr>
          <w:lang w:val="en-IE"/>
        </w:rPr>
        <w:t>Stakeholder consultation results for this specific initiative</w:t>
      </w:r>
      <w:r>
        <w:rPr>
          <w:webHidden/>
        </w:rPr>
        <w:tab/>
        <w:t>20</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1.3.1.</w:t>
      </w:r>
      <w:r>
        <w:rPr>
          <w:rFonts w:asciiTheme="minorHAnsi" w:eastAsiaTheme="minorEastAsia" w:hAnsiTheme="minorHAnsi" w:cstheme="minorBidi"/>
          <w:noProof/>
          <w:sz w:val="22"/>
          <w:szCs w:val="22"/>
          <w:lang w:val="es-ES" w:eastAsia="ko-KR"/>
        </w:rPr>
        <w:tab/>
      </w:r>
      <w:r>
        <w:rPr>
          <w:noProof/>
          <w:lang w:val="en-IE"/>
        </w:rPr>
        <w:t>Scope of the consultation</w:t>
      </w:r>
      <w:r>
        <w:rPr>
          <w:noProof/>
          <w:webHidden/>
        </w:rPr>
        <w:tab/>
        <w:t>20</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1.3.2.</w:t>
      </w:r>
      <w:r>
        <w:rPr>
          <w:rFonts w:asciiTheme="minorHAnsi" w:eastAsiaTheme="minorEastAsia" w:hAnsiTheme="minorHAnsi" w:cstheme="minorBidi"/>
          <w:noProof/>
          <w:sz w:val="22"/>
          <w:szCs w:val="22"/>
          <w:lang w:val="es-ES" w:eastAsia="ko-KR"/>
        </w:rPr>
        <w:tab/>
      </w:r>
      <w:r>
        <w:rPr>
          <w:noProof/>
          <w:lang w:val="en-IE"/>
        </w:rPr>
        <w:t>Whom has the Commission consulted</w:t>
      </w:r>
      <w:r>
        <w:rPr>
          <w:noProof/>
          <w:webHidden/>
        </w:rPr>
        <w:tab/>
        <w:t>20</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1.3.3.</w:t>
      </w:r>
      <w:r>
        <w:rPr>
          <w:rFonts w:asciiTheme="minorHAnsi" w:eastAsiaTheme="minorEastAsia" w:hAnsiTheme="minorHAnsi" w:cstheme="minorBidi"/>
          <w:noProof/>
          <w:sz w:val="22"/>
          <w:szCs w:val="22"/>
          <w:lang w:val="es-ES" w:eastAsia="ko-KR"/>
        </w:rPr>
        <w:tab/>
      </w:r>
      <w:r>
        <w:rPr>
          <w:noProof/>
          <w:lang w:val="en-IE"/>
        </w:rPr>
        <w:t>How has the Commission consulted?</w:t>
      </w:r>
      <w:r>
        <w:rPr>
          <w:noProof/>
          <w:webHidden/>
        </w:rPr>
        <w:tab/>
        <w:t>20</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1.3.4.</w:t>
      </w:r>
      <w:r>
        <w:rPr>
          <w:rFonts w:asciiTheme="minorHAnsi" w:eastAsiaTheme="minorEastAsia" w:hAnsiTheme="minorHAnsi" w:cstheme="minorBidi"/>
          <w:noProof/>
          <w:sz w:val="22"/>
          <w:szCs w:val="22"/>
          <w:lang w:val="es-ES" w:eastAsia="ko-KR"/>
        </w:rPr>
        <w:tab/>
      </w:r>
      <w:r>
        <w:rPr>
          <w:noProof/>
          <w:lang w:val="en-IE"/>
        </w:rPr>
        <w:t>Feedback received on the Inception Impact Assessment</w:t>
      </w:r>
      <w:r>
        <w:rPr>
          <w:noProof/>
          <w:webHidden/>
        </w:rPr>
        <w:tab/>
        <w:t>21</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1.3.5.</w:t>
      </w:r>
      <w:r>
        <w:rPr>
          <w:rFonts w:asciiTheme="minorHAnsi" w:eastAsiaTheme="minorEastAsia" w:hAnsiTheme="minorHAnsi" w:cstheme="minorBidi"/>
          <w:noProof/>
          <w:sz w:val="22"/>
          <w:szCs w:val="22"/>
          <w:lang w:val="es-ES" w:eastAsia="ko-KR"/>
        </w:rPr>
        <w:tab/>
      </w:r>
      <w:r>
        <w:rPr>
          <w:noProof/>
          <w:lang w:val="en-IE"/>
        </w:rPr>
        <w:t>Meetings &amp; Workshops with Stakeholders</w:t>
      </w:r>
      <w:r>
        <w:rPr>
          <w:noProof/>
          <w:webHidden/>
        </w:rPr>
        <w:tab/>
        <w:t>21</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1.3.6.</w:t>
      </w:r>
      <w:r>
        <w:rPr>
          <w:rFonts w:asciiTheme="minorHAnsi" w:eastAsiaTheme="minorEastAsia" w:hAnsiTheme="minorHAnsi" w:cstheme="minorBidi"/>
          <w:noProof/>
          <w:sz w:val="22"/>
          <w:szCs w:val="22"/>
          <w:lang w:val="es-ES" w:eastAsia="ko-KR"/>
        </w:rPr>
        <w:tab/>
      </w:r>
      <w:r>
        <w:rPr>
          <w:noProof/>
          <w:lang w:val="en-IE"/>
        </w:rPr>
        <w:t>Open Public Consultation</w:t>
      </w:r>
      <w:r>
        <w:rPr>
          <w:noProof/>
          <w:webHidden/>
        </w:rPr>
        <w:tab/>
        <w:t>23</w:t>
      </w:r>
    </w:p>
    <w:p>
      <w:pPr>
        <w:pStyle w:val="TOC3"/>
        <w:tabs>
          <w:tab w:val="left" w:pos="1916"/>
        </w:tabs>
        <w:rPr>
          <w:rFonts w:asciiTheme="minorHAnsi" w:eastAsiaTheme="minorEastAsia" w:hAnsiTheme="minorHAnsi" w:cstheme="minorBidi"/>
          <w:noProof/>
          <w:sz w:val="22"/>
          <w:szCs w:val="22"/>
          <w:lang w:val="es-ES" w:eastAsia="ko-KR"/>
        </w:rPr>
      </w:pPr>
      <w:r>
        <w:rPr>
          <w:noProof/>
          <w:lang w:val="en-IE"/>
        </w:rPr>
        <w:t>1.3.7.</w:t>
      </w:r>
      <w:r>
        <w:rPr>
          <w:rFonts w:asciiTheme="minorHAnsi" w:eastAsiaTheme="minorEastAsia" w:hAnsiTheme="minorHAnsi" w:cstheme="minorBidi"/>
          <w:noProof/>
          <w:sz w:val="22"/>
          <w:szCs w:val="22"/>
          <w:lang w:val="es-ES" w:eastAsia="ko-KR"/>
        </w:rPr>
        <w:tab/>
      </w:r>
      <w:r>
        <w:rPr>
          <w:noProof/>
          <w:lang w:val="en-IE"/>
        </w:rPr>
        <w:t>Interviews (IA Study)</w:t>
      </w:r>
      <w:r>
        <w:rPr>
          <w:noProof/>
          <w:webHidden/>
        </w:rPr>
        <w:tab/>
        <w:t>29</w:t>
      </w:r>
    </w:p>
    <w:p>
      <w:pPr>
        <w:pStyle w:val="TOC1"/>
        <w:tabs>
          <w:tab w:val="left" w:pos="1916"/>
        </w:tabs>
        <w:rPr>
          <w:rFonts w:asciiTheme="minorHAnsi" w:eastAsiaTheme="minorEastAsia" w:hAnsiTheme="minorHAnsi" w:cstheme="minorBidi"/>
          <w:caps w:val="0"/>
          <w:noProof/>
          <w:sz w:val="22"/>
          <w:szCs w:val="22"/>
          <w:lang w:val="es-ES" w:eastAsia="ko-KR"/>
        </w:rPr>
      </w:pPr>
      <w:r>
        <w:rPr>
          <w:noProof/>
        </w:rPr>
        <w:t>Annex 3</w:t>
      </w:r>
      <w:r>
        <w:rPr>
          <w:rFonts w:asciiTheme="minorHAnsi" w:eastAsiaTheme="minorEastAsia" w:hAnsiTheme="minorHAnsi" w:cstheme="minorBidi"/>
          <w:caps w:val="0"/>
          <w:noProof/>
          <w:sz w:val="22"/>
          <w:szCs w:val="22"/>
          <w:lang w:val="es-ES" w:eastAsia="ko-KR"/>
        </w:rPr>
        <w:tab/>
      </w:r>
      <w:r>
        <w:rPr>
          <w:noProof/>
        </w:rPr>
        <w:t>Who is affected and how?</w:t>
      </w:r>
      <w:r>
        <w:rPr>
          <w:noProof/>
          <w:webHidden/>
        </w:rPr>
        <w:tab/>
        <w:t>32</w:t>
      </w:r>
    </w:p>
    <w:p>
      <w:pPr>
        <w:pStyle w:val="TOC1"/>
        <w:rPr>
          <w:rFonts w:asciiTheme="minorHAnsi" w:eastAsiaTheme="minorEastAsia" w:hAnsiTheme="minorHAnsi" w:cstheme="minorBidi"/>
          <w:caps w:val="0"/>
          <w:noProof/>
          <w:sz w:val="22"/>
          <w:szCs w:val="22"/>
          <w:lang w:val="es-ES" w:eastAsia="ko-KR"/>
        </w:rPr>
      </w:pPr>
      <w:r>
        <w:rPr>
          <w:noProof/>
        </w:rPr>
        <w:lastRenderedPageBreak/>
        <w:t>1.</w:t>
      </w:r>
      <w:r>
        <w:rPr>
          <w:rFonts w:asciiTheme="minorHAnsi" w:eastAsiaTheme="minorEastAsia" w:hAnsiTheme="minorHAnsi" w:cstheme="minorBidi"/>
          <w:caps w:val="0"/>
          <w:noProof/>
          <w:sz w:val="22"/>
          <w:szCs w:val="22"/>
          <w:lang w:val="es-ES" w:eastAsia="ko-KR"/>
        </w:rPr>
        <w:tab/>
      </w:r>
      <w:r>
        <w:rPr>
          <w:noProof/>
        </w:rPr>
        <w:t>Practical implications of the initiative</w:t>
      </w:r>
      <w:r>
        <w:rPr>
          <w:noProof/>
          <w:webHidden/>
        </w:rPr>
        <w:tab/>
        <w:t>32</w:t>
      </w:r>
    </w:p>
    <w:p>
      <w:pPr>
        <w:pStyle w:val="TOC1"/>
        <w:rPr>
          <w:rFonts w:asciiTheme="minorHAnsi" w:eastAsiaTheme="minorEastAsia" w:hAnsiTheme="minorHAnsi" w:cstheme="minorBidi"/>
          <w:caps w:val="0"/>
          <w:noProof/>
          <w:sz w:val="22"/>
          <w:szCs w:val="22"/>
          <w:lang w:val="es-ES" w:eastAsia="ko-KR"/>
        </w:rPr>
      </w:pPr>
      <w:r>
        <w:rPr>
          <w:noProof/>
        </w:rPr>
        <w:t>2.</w:t>
      </w:r>
      <w:r>
        <w:rPr>
          <w:rFonts w:asciiTheme="minorHAnsi" w:eastAsiaTheme="minorEastAsia" w:hAnsiTheme="minorHAnsi" w:cstheme="minorBidi"/>
          <w:caps w:val="0"/>
          <w:noProof/>
          <w:sz w:val="22"/>
          <w:szCs w:val="22"/>
          <w:lang w:val="es-ES" w:eastAsia="ko-KR"/>
        </w:rPr>
        <w:tab/>
      </w:r>
      <w:r>
        <w:rPr>
          <w:noProof/>
        </w:rPr>
        <w:t>Summary of costs and benefits</w:t>
      </w:r>
      <w:r>
        <w:rPr>
          <w:noProof/>
          <w:webHidden/>
        </w:rPr>
        <w:tab/>
        <w:t>32</w:t>
      </w:r>
    </w:p>
    <w:p>
      <w:pPr>
        <w:pStyle w:val="TOC1"/>
        <w:tabs>
          <w:tab w:val="left" w:pos="1916"/>
        </w:tabs>
        <w:rPr>
          <w:rFonts w:asciiTheme="minorHAnsi" w:eastAsiaTheme="minorEastAsia" w:hAnsiTheme="minorHAnsi" w:cstheme="minorBidi"/>
          <w:caps w:val="0"/>
          <w:noProof/>
          <w:sz w:val="22"/>
          <w:szCs w:val="22"/>
          <w:lang w:val="es-ES" w:eastAsia="ko-KR"/>
        </w:rPr>
      </w:pPr>
      <w:r>
        <w:rPr>
          <w:noProof/>
        </w:rPr>
        <w:t>Annex 4</w:t>
      </w:r>
      <w:r>
        <w:rPr>
          <w:rFonts w:asciiTheme="minorHAnsi" w:eastAsiaTheme="minorEastAsia" w:hAnsiTheme="minorHAnsi" w:cstheme="minorBidi"/>
          <w:caps w:val="0"/>
          <w:noProof/>
          <w:sz w:val="22"/>
          <w:szCs w:val="22"/>
          <w:lang w:val="es-ES" w:eastAsia="ko-KR"/>
        </w:rPr>
        <w:tab/>
      </w:r>
      <w:r>
        <w:rPr>
          <w:noProof/>
        </w:rPr>
        <w:t>Analytical Methods</w:t>
      </w:r>
      <w:r>
        <w:rPr>
          <w:noProof/>
          <w:webHidden/>
        </w:rPr>
        <w:tab/>
        <w:t>37</w:t>
      </w:r>
    </w:p>
    <w:p>
      <w:pPr>
        <w:pStyle w:val="TOC1"/>
        <w:rPr>
          <w:rFonts w:asciiTheme="minorHAnsi" w:eastAsiaTheme="minorEastAsia" w:hAnsiTheme="minorHAnsi" w:cstheme="minorBidi"/>
          <w:caps w:val="0"/>
          <w:noProof/>
          <w:sz w:val="22"/>
          <w:szCs w:val="22"/>
          <w:lang w:val="es-ES" w:eastAsia="ko-KR"/>
        </w:rPr>
      </w:pPr>
      <w:r>
        <w:rPr>
          <w:noProof/>
        </w:rPr>
        <w:t>1.</w:t>
      </w:r>
      <w:r>
        <w:rPr>
          <w:rFonts w:asciiTheme="minorHAnsi" w:eastAsiaTheme="minorEastAsia" w:hAnsiTheme="minorHAnsi" w:cstheme="minorBidi"/>
          <w:caps w:val="0"/>
          <w:noProof/>
          <w:sz w:val="22"/>
          <w:szCs w:val="22"/>
          <w:lang w:val="es-ES" w:eastAsia="ko-KR"/>
        </w:rPr>
        <w:tab/>
      </w:r>
      <w:r>
        <w:rPr>
          <w:noProof/>
        </w:rPr>
        <w:t>Overview of the methodologies employed</w:t>
      </w:r>
      <w:r>
        <w:rPr>
          <w:noProof/>
          <w:webHidden/>
        </w:rPr>
        <w:tab/>
        <w:t>37</w:t>
      </w:r>
    </w:p>
    <w:p>
      <w:pPr>
        <w:pStyle w:val="TOC1"/>
        <w:rPr>
          <w:rFonts w:asciiTheme="minorHAnsi" w:eastAsiaTheme="minorEastAsia" w:hAnsiTheme="minorHAnsi" w:cstheme="minorBidi"/>
          <w:caps w:val="0"/>
          <w:noProof/>
          <w:sz w:val="22"/>
          <w:szCs w:val="22"/>
          <w:lang w:val="es-ES" w:eastAsia="ko-KR"/>
        </w:rPr>
      </w:pPr>
      <w:r>
        <w:rPr>
          <w:noProof/>
        </w:rPr>
        <w:t>2.</w:t>
      </w:r>
      <w:r>
        <w:rPr>
          <w:rFonts w:asciiTheme="minorHAnsi" w:eastAsiaTheme="minorEastAsia" w:hAnsiTheme="minorHAnsi" w:cstheme="minorBidi"/>
          <w:caps w:val="0"/>
          <w:noProof/>
          <w:sz w:val="22"/>
          <w:szCs w:val="22"/>
          <w:lang w:val="es-ES" w:eastAsia="ko-KR"/>
        </w:rPr>
        <w:tab/>
      </w:r>
      <w:r>
        <w:rPr>
          <w:noProof/>
        </w:rPr>
        <w:t>Method for assessing the effectiveness, efficiency and coherence of each option - The use of functionalities</w:t>
      </w:r>
      <w:r>
        <w:rPr>
          <w:noProof/>
          <w:webHidden/>
        </w:rPr>
        <w:tab/>
        <w:t>38</w:t>
      </w:r>
    </w:p>
    <w:p>
      <w:pPr>
        <w:pStyle w:val="TOC1"/>
        <w:rPr>
          <w:rFonts w:asciiTheme="minorHAnsi" w:eastAsiaTheme="minorEastAsia" w:hAnsiTheme="minorHAnsi" w:cstheme="minorBidi"/>
          <w:caps w:val="0"/>
          <w:noProof/>
          <w:sz w:val="22"/>
          <w:szCs w:val="22"/>
          <w:lang w:val="es-ES" w:eastAsia="ko-KR"/>
        </w:rPr>
      </w:pPr>
      <w:r>
        <w:rPr>
          <w:noProof/>
        </w:rPr>
        <w:t>3.</w:t>
      </w:r>
      <w:r>
        <w:rPr>
          <w:rFonts w:asciiTheme="minorHAnsi" w:eastAsiaTheme="minorEastAsia" w:hAnsiTheme="minorHAnsi" w:cstheme="minorBidi"/>
          <w:caps w:val="0"/>
          <w:noProof/>
          <w:sz w:val="22"/>
          <w:szCs w:val="22"/>
          <w:lang w:val="es-ES" w:eastAsia="ko-KR"/>
        </w:rPr>
        <w:tab/>
      </w:r>
      <w:r>
        <w:rPr>
          <w:noProof/>
        </w:rPr>
        <w:t>Method for identifying the preferred option – The scorecard analysis</w:t>
      </w:r>
      <w:r>
        <w:rPr>
          <w:noProof/>
          <w:webHidden/>
        </w:rPr>
        <w:tab/>
        <w:t>43</w:t>
      </w:r>
    </w:p>
    <w:p>
      <w:pPr>
        <w:pStyle w:val="TOC1"/>
        <w:tabs>
          <w:tab w:val="left" w:pos="1916"/>
        </w:tabs>
        <w:rPr>
          <w:rFonts w:asciiTheme="minorHAnsi" w:eastAsiaTheme="minorEastAsia" w:hAnsiTheme="minorHAnsi" w:cstheme="minorBidi"/>
          <w:caps w:val="0"/>
          <w:noProof/>
          <w:sz w:val="22"/>
          <w:szCs w:val="22"/>
          <w:lang w:val="es-ES" w:eastAsia="ko-KR"/>
        </w:rPr>
      </w:pPr>
      <w:r>
        <w:rPr>
          <w:noProof/>
        </w:rPr>
        <w:t>Annex 5</w:t>
      </w:r>
      <w:r>
        <w:rPr>
          <w:rFonts w:asciiTheme="minorHAnsi" w:eastAsiaTheme="minorEastAsia" w:hAnsiTheme="minorHAnsi" w:cstheme="minorBidi"/>
          <w:caps w:val="0"/>
          <w:noProof/>
          <w:sz w:val="22"/>
          <w:szCs w:val="22"/>
          <w:lang w:val="es-ES" w:eastAsia="ko-KR"/>
        </w:rPr>
        <w:tab/>
      </w:r>
      <w:r>
        <w:rPr>
          <w:noProof/>
        </w:rPr>
        <w:t>Subsidiarity Grid</w:t>
      </w:r>
      <w:r>
        <w:rPr>
          <w:noProof/>
          <w:webHidden/>
        </w:rPr>
        <w:tab/>
        <w:t>45</w:t>
      </w:r>
    </w:p>
    <w:p>
      <w:pPr>
        <w:pStyle w:val="TOC1"/>
        <w:tabs>
          <w:tab w:val="left" w:pos="1916"/>
        </w:tabs>
        <w:rPr>
          <w:rFonts w:asciiTheme="minorHAnsi" w:eastAsiaTheme="minorEastAsia" w:hAnsiTheme="minorHAnsi" w:cstheme="minorBidi"/>
          <w:caps w:val="0"/>
          <w:noProof/>
          <w:sz w:val="22"/>
          <w:szCs w:val="22"/>
          <w:lang w:val="es-ES" w:eastAsia="ko-KR"/>
        </w:rPr>
      </w:pPr>
      <w:r>
        <w:rPr>
          <w:noProof/>
        </w:rPr>
        <w:t>Annex 6</w:t>
      </w:r>
      <w:r>
        <w:rPr>
          <w:rFonts w:asciiTheme="minorHAnsi" w:eastAsiaTheme="minorEastAsia" w:hAnsiTheme="minorHAnsi" w:cstheme="minorBidi"/>
          <w:caps w:val="0"/>
          <w:noProof/>
          <w:sz w:val="22"/>
          <w:szCs w:val="22"/>
          <w:lang w:val="es-ES" w:eastAsia="ko-KR"/>
        </w:rPr>
        <w:tab/>
      </w:r>
      <w:r>
        <w:rPr>
          <w:noProof/>
        </w:rPr>
        <w:t>Additional background information</w:t>
      </w:r>
      <w:r>
        <w:rPr>
          <w:noProof/>
          <w:webHidden/>
        </w:rPr>
        <w:tab/>
        <w:t>53</w:t>
      </w:r>
    </w:p>
    <w:p>
      <w:pPr>
        <w:pStyle w:val="TOC1"/>
        <w:rPr>
          <w:rFonts w:asciiTheme="minorHAnsi" w:eastAsiaTheme="minorEastAsia" w:hAnsiTheme="minorHAnsi" w:cstheme="minorBidi"/>
          <w:caps w:val="0"/>
          <w:noProof/>
          <w:sz w:val="22"/>
          <w:szCs w:val="22"/>
          <w:lang w:val="es-ES" w:eastAsia="ko-KR"/>
        </w:rPr>
      </w:pPr>
      <w:r>
        <w:rPr>
          <w:noProof/>
        </w:rPr>
        <w:t>1.</w:t>
      </w:r>
      <w:r>
        <w:rPr>
          <w:rFonts w:asciiTheme="minorHAnsi" w:eastAsiaTheme="minorEastAsia" w:hAnsiTheme="minorHAnsi" w:cstheme="minorBidi"/>
          <w:caps w:val="0"/>
          <w:noProof/>
          <w:sz w:val="22"/>
          <w:szCs w:val="22"/>
          <w:lang w:val="es-ES" w:eastAsia="ko-KR"/>
        </w:rPr>
        <w:tab/>
      </w:r>
      <w:r>
        <w:rPr>
          <w:noProof/>
        </w:rPr>
        <w:t>Background information for all initiatives</w:t>
      </w:r>
      <w:r>
        <w:rPr>
          <w:noProof/>
          <w:webHidden/>
        </w:rPr>
        <w:tab/>
        <w:t>53</w:t>
      </w:r>
    </w:p>
    <w:p>
      <w:pPr>
        <w:pStyle w:val="TOC2"/>
        <w:tabs>
          <w:tab w:val="left" w:pos="1077"/>
        </w:tabs>
        <w:rPr>
          <w:rFonts w:asciiTheme="minorHAnsi" w:eastAsiaTheme="minorEastAsia" w:hAnsiTheme="minorHAnsi" w:cstheme="minorBidi"/>
          <w:sz w:val="22"/>
          <w:szCs w:val="22"/>
          <w:lang w:val="es-ES" w:eastAsia="ko-KR"/>
        </w:rPr>
      </w:pPr>
      <w:r>
        <w:t>1.1.</w:t>
      </w:r>
      <w:r>
        <w:rPr>
          <w:rFonts w:asciiTheme="minorHAnsi" w:eastAsiaTheme="minorEastAsia" w:hAnsiTheme="minorHAnsi" w:cstheme="minorBidi"/>
          <w:sz w:val="22"/>
          <w:szCs w:val="22"/>
          <w:lang w:val="es-ES" w:eastAsia="ko-KR"/>
        </w:rPr>
        <w:tab/>
      </w:r>
      <w:r>
        <w:t>Selection criteria of European Partnerships</w:t>
      </w:r>
      <w:r>
        <w:rPr>
          <w:webHidden/>
        </w:rPr>
        <w:tab/>
        <w:t>53</w:t>
      </w:r>
    </w:p>
    <w:p>
      <w:pPr>
        <w:pStyle w:val="TOC2"/>
        <w:tabs>
          <w:tab w:val="left" w:pos="1077"/>
        </w:tabs>
        <w:rPr>
          <w:rFonts w:asciiTheme="minorHAnsi" w:eastAsiaTheme="minorEastAsia" w:hAnsiTheme="minorHAnsi" w:cstheme="minorBidi"/>
          <w:sz w:val="22"/>
          <w:szCs w:val="22"/>
          <w:lang w:val="es-ES" w:eastAsia="ko-KR"/>
        </w:rPr>
      </w:pPr>
      <w:r>
        <w:t>1.2.</w:t>
      </w:r>
      <w:r>
        <w:rPr>
          <w:rFonts w:asciiTheme="minorHAnsi" w:eastAsiaTheme="minorEastAsia" w:hAnsiTheme="minorHAnsi" w:cstheme="minorBidi"/>
          <w:sz w:val="22"/>
          <w:szCs w:val="22"/>
          <w:lang w:val="es-ES" w:eastAsia="ko-KR"/>
        </w:rPr>
        <w:tab/>
      </w:r>
      <w:r>
        <w:t>Overview of potential functions for a common back office among Joint Undertakings</w:t>
      </w:r>
      <w:r>
        <w:rPr>
          <w:webHidden/>
        </w:rPr>
        <w:tab/>
        <w:t>54</w:t>
      </w:r>
    </w:p>
    <w:p>
      <w:pPr>
        <w:pStyle w:val="TOC1"/>
        <w:rPr>
          <w:rFonts w:asciiTheme="minorHAnsi" w:eastAsiaTheme="minorEastAsia" w:hAnsiTheme="minorHAnsi" w:cstheme="minorBidi"/>
          <w:caps w:val="0"/>
          <w:noProof/>
          <w:sz w:val="22"/>
          <w:szCs w:val="22"/>
          <w:lang w:val="es-ES" w:eastAsia="ko-KR"/>
        </w:rPr>
      </w:pPr>
      <w:r>
        <w:rPr>
          <w:noProof/>
        </w:rPr>
        <w:t>2.</w:t>
      </w:r>
      <w:r>
        <w:rPr>
          <w:rFonts w:asciiTheme="minorHAnsi" w:eastAsiaTheme="minorEastAsia" w:hAnsiTheme="minorHAnsi" w:cstheme="minorBidi"/>
          <w:caps w:val="0"/>
          <w:noProof/>
          <w:sz w:val="22"/>
          <w:szCs w:val="22"/>
          <w:lang w:val="es-ES" w:eastAsia="ko-KR"/>
        </w:rPr>
        <w:tab/>
      </w:r>
      <w:r>
        <w:rPr>
          <w:noProof/>
        </w:rPr>
        <w:t>Background information for this specific initiative</w:t>
      </w:r>
      <w:r>
        <w:rPr>
          <w:noProof/>
          <w:webHidden/>
        </w:rPr>
        <w:tab/>
        <w:t>56</w:t>
      </w:r>
    </w:p>
    <w:p>
      <w:pPr>
        <w:pStyle w:val="TOC3"/>
        <w:rPr>
          <w:rFonts w:asciiTheme="minorHAnsi" w:eastAsiaTheme="minorEastAsia" w:hAnsiTheme="minorHAnsi" w:cstheme="minorBidi"/>
          <w:noProof/>
          <w:sz w:val="22"/>
          <w:szCs w:val="22"/>
          <w:lang w:val="es-ES" w:eastAsia="ko-KR"/>
        </w:rPr>
      </w:pPr>
      <w:r>
        <w:rPr>
          <w:noProof/>
        </w:rPr>
        <w:t>Option 3a – Institutionalised European Partnership under Art 185 TFEU</w:t>
      </w:r>
      <w:r>
        <w:rPr>
          <w:noProof/>
          <w:webHidden/>
        </w:rPr>
        <w:tab/>
        <w:t>59</w:t>
      </w: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titlePg/>
        </w:sectPr>
      </w:pPr>
    </w:p>
    <w:p>
      <w:pPr>
        <w:pStyle w:val="AnnexTitle"/>
        <w:ind w:left="2268" w:hanging="2268"/>
        <w:rPr>
          <w:noProof/>
        </w:rPr>
      </w:pPr>
      <w:bookmarkStart w:id="2" w:name="_Toc43908628"/>
      <w:r>
        <w:rPr>
          <w:noProof/>
        </w:rPr>
        <w:t>Annex 1</w:t>
      </w:r>
      <w:r>
        <w:rPr>
          <w:noProof/>
        </w:rPr>
        <w:tab/>
        <w:t>Procedural Information</w:t>
      </w:r>
      <w:bookmarkEnd w:id="2"/>
    </w:p>
    <w:p>
      <w:pPr>
        <w:numPr>
          <w:ilvl w:val="0"/>
          <w:numId w:val="63"/>
        </w:numPr>
        <w:rPr>
          <w:b/>
          <w:noProof/>
        </w:rPr>
      </w:pPr>
      <w:r>
        <w:rPr>
          <w:b/>
          <w:noProof/>
        </w:rPr>
        <w:t>LEAD DG, DECIDE PLANNING REFERENCES</w:t>
      </w:r>
    </w:p>
    <w:p>
      <w:pPr>
        <w:rPr>
          <w:noProof/>
        </w:rPr>
      </w:pPr>
      <w:r>
        <w:rPr>
          <w:noProof/>
        </w:rPr>
        <w:t xml:space="preserve">Co-Lead DG: Directorate-General for Communications Networks, Content and Technology (CNECT), Directorate-General for Research and Innovation (RTD) </w:t>
      </w:r>
    </w:p>
    <w:p>
      <w:pPr>
        <w:rPr>
          <w:noProof/>
        </w:rPr>
      </w:pPr>
      <w:r>
        <w:rPr>
          <w:noProof/>
        </w:rPr>
        <w:t>Decide number: PLAN/2019/5389</w:t>
      </w:r>
    </w:p>
    <w:p>
      <w:pPr>
        <w:numPr>
          <w:ilvl w:val="0"/>
          <w:numId w:val="63"/>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63"/>
        </w:numPr>
        <w:rPr>
          <w:b/>
          <w:noProof/>
        </w:rPr>
      </w:pPr>
      <w:r>
        <w:rPr>
          <w:b/>
          <w:noProof/>
        </w:rPr>
        <w:t>CONSULTATION OF THE RSB</w:t>
      </w:r>
    </w:p>
    <w:p>
      <w:pPr>
        <w:rPr>
          <w:noProof/>
        </w:rPr>
      </w:pPr>
      <w:r>
        <w:rPr>
          <w:noProof/>
        </w:rPr>
        <w:t>Two upstream meetings with the Regulatory Scrutiny Board were held on 10 July 2019 and 30 September 2019.</w:t>
      </w:r>
    </w:p>
    <w:p>
      <w:pPr>
        <w:rPr>
          <w:noProof/>
        </w:rPr>
      </w:pPr>
      <w:r>
        <w:rPr>
          <w:noProof/>
        </w:rPr>
        <w:t xml:space="preserve">The Staff Working Document was submitted to the Regulatory Scrutiny Board for a hearing that took place on 13 May 2020. In accordance with the feedback received from the Regulatory Scrutiny Board on 15.05.2020 the Staff Working Document has been revised as presented in Figure 1. These revisions were endorsed by the Inter Service Steering Group on 10 June 2020. </w:t>
      </w:r>
    </w:p>
    <w:p>
      <w:pPr>
        <w:keepNext/>
        <w:numPr>
          <w:ilvl w:val="0"/>
          <w:numId w:val="63"/>
        </w:numPr>
        <w:ind w:left="357" w:hanging="357"/>
        <w:rPr>
          <w:b/>
          <w:noProof/>
        </w:rPr>
      </w:pPr>
      <w:r>
        <w:rPr>
          <w:b/>
          <w:noProof/>
        </w:rPr>
        <w:t xml:space="preserve">EVIDENCE, SOURCES AND QUALITY </w:t>
      </w:r>
    </w:p>
    <w:p>
      <w:pPr>
        <w:rPr>
          <w:noProof/>
        </w:rPr>
      </w:pPr>
      <w:r>
        <w:rPr>
          <w:noProof/>
        </w:rPr>
        <w:t>To ensure a high level of coherence and comparability of analysis for all candidate initiatives, an external study was procured to feed into the impact assessments of the 12 candidate institutionalised partnerships</w:t>
      </w:r>
      <w:r>
        <w:rPr>
          <w:rStyle w:val="FootnoteReference"/>
          <w:noProof/>
        </w:rPr>
        <w:footnoteReference w:id="1"/>
      </w:r>
      <w:r>
        <w:rPr>
          <w:noProof/>
        </w:rPr>
        <w:t>. It consisted of a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34"/>
        <w:gridCol w:w="4652"/>
      </w:tblGrid>
      <w:tr>
        <w:tc>
          <w:tcPr>
            <w:tcW w:w="4634" w:type="dxa"/>
          </w:tcPr>
          <w:p>
            <w:pPr>
              <w:spacing w:after="60"/>
              <w:rPr>
                <w:b/>
                <w:noProof/>
                <w:sz w:val="24"/>
                <w:szCs w:val="24"/>
              </w:rPr>
            </w:pPr>
            <w:r>
              <w:rPr>
                <w:b/>
                <w:noProof/>
                <w:sz w:val="24"/>
                <w:szCs w:val="24"/>
              </w:rPr>
              <w:t>Comments from the Regulatory Scrutiny Board</w:t>
            </w:r>
          </w:p>
        </w:tc>
        <w:tc>
          <w:tcPr>
            <w:tcW w:w="4652" w:type="dxa"/>
          </w:tcPr>
          <w:p>
            <w:pPr>
              <w:spacing w:after="60"/>
              <w:rPr>
                <w:b/>
                <w:noProof/>
                <w:sz w:val="24"/>
                <w:szCs w:val="24"/>
              </w:rPr>
            </w:pPr>
            <w:r>
              <w:rPr>
                <w:b/>
                <w:noProof/>
                <w:sz w:val="24"/>
                <w:szCs w:val="24"/>
              </w:rPr>
              <w:t>Actions taken for the Staff Working Document</w:t>
            </w:r>
          </w:p>
        </w:tc>
      </w:tr>
      <w:tr>
        <w:tc>
          <w:tcPr>
            <w:tcW w:w="4634" w:type="dxa"/>
          </w:tcPr>
          <w:p>
            <w:pPr>
              <w:rPr>
                <w:noProof/>
                <w:sz w:val="24"/>
                <w:szCs w:val="24"/>
              </w:rPr>
            </w:pPr>
            <w:r>
              <w:rPr>
                <w:noProof/>
                <w:sz w:val="24"/>
                <w:szCs w:val="24"/>
              </w:rPr>
              <w:t>The report pre-selects certain sectors and technologies for support, instead of setting out the best partnership approach for promoting a competitive innovation environment.</w:t>
            </w:r>
          </w:p>
        </w:tc>
        <w:tc>
          <w:tcPr>
            <w:tcW w:w="4652" w:type="dxa"/>
          </w:tcPr>
          <w:p>
            <w:pPr>
              <w:spacing w:after="60"/>
              <w:rPr>
                <w:noProof/>
                <w:sz w:val="24"/>
                <w:szCs w:val="24"/>
              </w:rPr>
            </w:pPr>
            <w:r>
              <w:rPr>
                <w:noProof/>
                <w:sz w:val="24"/>
                <w:szCs w:val="24"/>
              </w:rPr>
              <w:t xml:space="preserve">The revised text in section 4 (Objectives) makes clear that there are no preselected priorities, neither for specific technologies nor specific sectors. It describes the preparation of what would constitute the Strategic Research and Innovation Agenda (SRIA). This is where sectors, technologies and applications would be identified and updated annually based on technological trends and political priorities. The preparation itself would be done through an inclusive and multi-stakeholder participative process.  </w:t>
            </w:r>
          </w:p>
        </w:tc>
      </w:tr>
      <w:tr>
        <w:tc>
          <w:tcPr>
            <w:tcW w:w="4634" w:type="dxa"/>
          </w:tcPr>
          <w:p>
            <w:pPr>
              <w:rPr>
                <w:noProof/>
                <w:sz w:val="24"/>
                <w:szCs w:val="24"/>
              </w:rPr>
            </w:pPr>
            <w:r>
              <w:rPr>
                <w:noProof/>
                <w:sz w:val="24"/>
                <w:szCs w:val="24"/>
              </w:rPr>
              <w:t>The dividing lines between this partnership and other initiatives that support research and innovation in the ICT sector are not clear.</w:t>
            </w:r>
          </w:p>
        </w:tc>
        <w:tc>
          <w:tcPr>
            <w:tcW w:w="4652" w:type="dxa"/>
          </w:tcPr>
          <w:p>
            <w:pPr>
              <w:spacing w:after="60"/>
              <w:rPr>
                <w:noProof/>
                <w:sz w:val="24"/>
                <w:szCs w:val="24"/>
              </w:rPr>
            </w:pPr>
            <w:r>
              <w:rPr>
                <w:noProof/>
                <w:sz w:val="24"/>
                <w:szCs w:val="24"/>
              </w:rPr>
              <w:t>The differences in scope and the interactions foreseen with relevant partnerships and initiatives, both digital-centric and related applications, are now addressed in section 1.3. The strategic importance of building and maintaining these interactions under the current and future European policies and priorities is highlighted.</w:t>
            </w:r>
          </w:p>
        </w:tc>
      </w:tr>
      <w:tr>
        <w:tc>
          <w:tcPr>
            <w:tcW w:w="4634" w:type="dxa"/>
          </w:tcPr>
          <w:p>
            <w:pPr>
              <w:rPr>
                <w:noProof/>
                <w:sz w:val="24"/>
                <w:szCs w:val="24"/>
              </w:rPr>
            </w:pPr>
            <w:r>
              <w:rPr>
                <w:noProof/>
                <w:sz w:val="24"/>
                <w:szCs w:val="24"/>
              </w:rPr>
              <w:t>The report does not sufficiently integrate the mid-term evaluation findings of the existing Joint Undertaking into the problem description and the intervention logic.</w:t>
            </w:r>
          </w:p>
        </w:tc>
        <w:tc>
          <w:tcPr>
            <w:tcW w:w="4652" w:type="dxa"/>
          </w:tcPr>
          <w:p>
            <w:pPr>
              <w:spacing w:after="60"/>
              <w:rPr>
                <w:noProof/>
                <w:sz w:val="24"/>
                <w:szCs w:val="24"/>
              </w:rPr>
            </w:pPr>
            <w:r>
              <w:rPr>
                <w:noProof/>
                <w:sz w:val="24"/>
                <w:szCs w:val="24"/>
              </w:rPr>
              <w:t>Conclusions and recommendations from the mid-term evaluation of the existing JU are described in the box “Support to the field in the previous Framework Programme – Key strengths and weaknesses identified”. They have been taken into consideration, and integrated into the problem definition and intervention logic (sections 2.1, 4.3 and 4.4). Moreover, specific actions are identified addressing the main findings of the mid-term evaluation.</w:t>
            </w:r>
          </w:p>
        </w:tc>
      </w:tr>
      <w:tr>
        <w:tc>
          <w:tcPr>
            <w:tcW w:w="4634" w:type="dxa"/>
          </w:tcPr>
          <w:p>
            <w:pPr>
              <w:rPr>
                <w:noProof/>
                <w:sz w:val="24"/>
                <w:szCs w:val="24"/>
              </w:rPr>
            </w:pPr>
            <w:r>
              <w:rPr>
                <w:noProof/>
                <w:sz w:val="24"/>
                <w:szCs w:val="24"/>
              </w:rPr>
              <w:t>The report does not score the options in a consistent way. It does not justify how it weighs the different impacts when arriving at the preferred option.</w:t>
            </w:r>
          </w:p>
        </w:tc>
        <w:tc>
          <w:tcPr>
            <w:tcW w:w="4652" w:type="dxa"/>
          </w:tcPr>
          <w:p>
            <w:pPr>
              <w:spacing w:after="120"/>
              <w:rPr>
                <w:noProof/>
                <w:sz w:val="24"/>
                <w:szCs w:val="24"/>
              </w:rPr>
            </w:pPr>
            <w:r>
              <w:rPr>
                <w:noProof/>
                <w:sz w:val="24"/>
                <w:szCs w:val="24"/>
              </w:rPr>
              <w:t xml:space="preserve">The justifications and the accompanying scores corresponding to the various impacts in the analysis of options have been reviewed (in both the text and the tables section 6) and checked for consistency. The section includes an updated comprehensive comparative assessment of all options under consideration. </w:t>
            </w:r>
          </w:p>
        </w:tc>
      </w:tr>
      <w:tr>
        <w:tc>
          <w:tcPr>
            <w:tcW w:w="4634" w:type="dxa"/>
          </w:tcPr>
          <w:p>
            <w:pPr>
              <w:spacing w:after="0"/>
              <w:rPr>
                <w:b/>
                <w:noProof/>
                <w:sz w:val="22"/>
                <w:szCs w:val="24"/>
              </w:rPr>
            </w:pPr>
            <w:r>
              <w:rPr>
                <w:b/>
                <w:noProof/>
                <w:sz w:val="22"/>
                <w:szCs w:val="24"/>
              </w:rPr>
              <w:t>Additional comments</w:t>
            </w:r>
          </w:p>
        </w:tc>
        <w:tc>
          <w:tcPr>
            <w:tcW w:w="4652" w:type="dxa"/>
          </w:tcPr>
          <w:p>
            <w:pPr>
              <w:spacing w:after="0"/>
              <w:rPr>
                <w:b/>
                <w:noProof/>
                <w:sz w:val="22"/>
                <w:szCs w:val="24"/>
              </w:rPr>
            </w:pPr>
            <w:r>
              <w:rPr>
                <w:b/>
                <w:noProof/>
                <w:sz w:val="22"/>
                <w:szCs w:val="24"/>
              </w:rPr>
              <w:t>Actions taken for the Staff Working Document</w:t>
            </w:r>
          </w:p>
        </w:tc>
      </w:tr>
      <w:tr>
        <w:tc>
          <w:tcPr>
            <w:tcW w:w="4634" w:type="dxa"/>
          </w:tcPr>
          <w:p>
            <w:pPr>
              <w:rPr>
                <w:noProof/>
                <w:sz w:val="24"/>
                <w:szCs w:val="24"/>
              </w:rPr>
            </w:pPr>
            <w:r>
              <w:rPr>
                <w:noProof/>
                <w:sz w:val="24"/>
                <w:szCs w:val="24"/>
              </w:rPr>
              <w:t>How would the partnership differ from the existing Joint Undertaking?</w:t>
            </w:r>
          </w:p>
        </w:tc>
        <w:tc>
          <w:tcPr>
            <w:tcW w:w="4652" w:type="dxa"/>
          </w:tcPr>
          <w:p>
            <w:pPr>
              <w:spacing w:after="60"/>
              <w:rPr>
                <w:noProof/>
                <w:sz w:val="24"/>
                <w:szCs w:val="24"/>
              </w:rPr>
            </w:pPr>
            <w:r>
              <w:rPr>
                <w:noProof/>
                <w:sz w:val="24"/>
                <w:szCs w:val="24"/>
              </w:rPr>
              <w:t xml:space="preserve">The table in Section 6 describing the differences between the envisaged initiative and the existing JU (‘what continues’ and ‘what is different’ columns) have been updated.  In section 1 and throughout the report the differences between the candidate KDT and existing ECSEL are also highlighted.  </w:t>
            </w:r>
          </w:p>
        </w:tc>
      </w:tr>
      <w:tr>
        <w:tc>
          <w:tcPr>
            <w:tcW w:w="4634" w:type="dxa"/>
          </w:tcPr>
          <w:p>
            <w:pPr>
              <w:rPr>
                <w:noProof/>
                <w:sz w:val="24"/>
                <w:szCs w:val="24"/>
              </w:rPr>
            </w:pPr>
            <w:r>
              <w:rPr>
                <w:noProof/>
                <w:sz w:val="24"/>
                <w:szCs w:val="24"/>
              </w:rPr>
              <w:t>What ways are envisaged to help materialise a co-financing of 1:3, given the uncertainties surrounding the overall budget and design of the partnerships? How can these risks be mitigated?</w:t>
            </w:r>
          </w:p>
        </w:tc>
        <w:tc>
          <w:tcPr>
            <w:tcW w:w="4652" w:type="dxa"/>
          </w:tcPr>
          <w:p>
            <w:pPr>
              <w:spacing w:after="60"/>
              <w:rPr>
                <w:noProof/>
                <w:sz w:val="24"/>
                <w:szCs w:val="24"/>
              </w:rPr>
            </w:pPr>
            <w:r>
              <w:rPr>
                <w:noProof/>
                <w:sz w:val="24"/>
                <w:szCs w:val="24"/>
              </w:rPr>
              <w:t>The 1:3 leverage target is based on the ECSEL experience and feedback received in recent consultations with Member States and industry associations. The report now describes how the 1:3 leverage is achieved in ECSEL (section 1.2). The ambition is that the KDT initiative achieve a similar target (Sections 4.4 and 6.2). This depends ultimately on how this can be implemented under HE and is still pending internal discussion.</w:t>
            </w:r>
          </w:p>
        </w:tc>
      </w:tr>
      <w:tr>
        <w:tc>
          <w:tcPr>
            <w:tcW w:w="4634" w:type="dxa"/>
          </w:tcPr>
          <w:p>
            <w:pPr>
              <w:rPr>
                <w:noProof/>
                <w:sz w:val="24"/>
                <w:szCs w:val="24"/>
              </w:rPr>
            </w:pPr>
            <w:r>
              <w:rPr>
                <w:noProof/>
                <w:sz w:val="24"/>
                <w:szCs w:val="24"/>
              </w:rPr>
              <w:t>The IA should report stakeholders’ views, in particular those of relevant minorities. It should also appropriately treat the views of respondents considered as participating in a ‘campaign’.</w:t>
            </w:r>
          </w:p>
        </w:tc>
        <w:tc>
          <w:tcPr>
            <w:tcW w:w="4652" w:type="dxa"/>
          </w:tcPr>
          <w:p>
            <w:pPr>
              <w:spacing w:after="60"/>
              <w:rPr>
                <w:noProof/>
                <w:sz w:val="24"/>
                <w:szCs w:val="24"/>
              </w:rPr>
            </w:pPr>
            <w:r>
              <w:rPr>
                <w:noProof/>
                <w:sz w:val="24"/>
                <w:szCs w:val="24"/>
              </w:rPr>
              <w:t>A ‘campaign’ of 20 respondents has meanwhile been identified in the open public consultation (OPC).  These responses have been omitted in the OPC analysis. They have been treated and reported separately.</w:t>
            </w:r>
          </w:p>
          <w:p>
            <w:pPr>
              <w:spacing w:after="60"/>
              <w:rPr>
                <w:noProof/>
                <w:sz w:val="24"/>
                <w:szCs w:val="24"/>
              </w:rPr>
            </w:pPr>
            <w:r>
              <w:rPr>
                <w:noProof/>
                <w:sz w:val="24"/>
                <w:szCs w:val="24"/>
              </w:rPr>
              <w:t>Stakeholder opinions from OPC and interviews are included in relevant parts of the Impact Assessment, now including minority views with indication of type of supporting stakeholders.</w:t>
            </w:r>
          </w:p>
        </w:tc>
      </w:tr>
      <w:tr>
        <w:tc>
          <w:tcPr>
            <w:tcW w:w="4634" w:type="dxa"/>
          </w:tcPr>
          <w:p>
            <w:pPr>
              <w:spacing w:after="0"/>
              <w:rPr>
                <w:b/>
                <w:noProof/>
                <w:sz w:val="24"/>
                <w:szCs w:val="24"/>
              </w:rPr>
            </w:pPr>
            <w:r>
              <w:rPr>
                <w:b/>
                <w:noProof/>
                <w:sz w:val="24"/>
                <w:szCs w:val="24"/>
              </w:rPr>
              <w:t xml:space="preserve">Recommendations accompanying positive opinion </w:t>
            </w:r>
          </w:p>
        </w:tc>
        <w:tc>
          <w:tcPr>
            <w:tcW w:w="4652" w:type="dxa"/>
          </w:tcPr>
          <w:p>
            <w:pPr>
              <w:spacing w:after="0"/>
              <w:rPr>
                <w:noProof/>
                <w:szCs w:val="24"/>
              </w:rPr>
            </w:pPr>
            <w:r>
              <w:rPr>
                <w:b/>
                <w:noProof/>
                <w:sz w:val="24"/>
                <w:szCs w:val="24"/>
              </w:rPr>
              <w:t>Actions taken for the Staff Working Document</w:t>
            </w:r>
          </w:p>
        </w:tc>
      </w:tr>
      <w:tr>
        <w:tc>
          <w:tcPr>
            <w:tcW w:w="4634" w:type="dxa"/>
          </w:tcPr>
          <w:p>
            <w:pPr>
              <w:spacing w:after="0"/>
              <w:rPr>
                <w:noProof/>
                <w:sz w:val="24"/>
                <w:szCs w:val="24"/>
              </w:rPr>
            </w:pPr>
            <w:r>
              <w:rPr>
                <w:noProof/>
                <w:sz w:val="24"/>
                <w:szCs w:val="24"/>
              </w:rPr>
              <w:t>Substantiate further the societal impacts of the preferred option and its scoring</w:t>
            </w:r>
          </w:p>
        </w:tc>
        <w:tc>
          <w:tcPr>
            <w:tcW w:w="4652" w:type="dxa"/>
          </w:tcPr>
          <w:p>
            <w:pPr>
              <w:spacing w:after="0"/>
              <w:rPr>
                <w:noProof/>
                <w:sz w:val="24"/>
                <w:szCs w:val="24"/>
              </w:rPr>
            </w:pPr>
            <w:r>
              <w:rPr>
                <w:noProof/>
                <w:sz w:val="24"/>
                <w:szCs w:val="24"/>
              </w:rPr>
              <w:t>The societal impacts associated to the long-term planning, the portfolio approach and tri-partite model of the preferred option (institutionalised partnership based on Art. 187) have been elaborated further. They cover joint public-private societal priorities, a balanced set of projects that address societal challenges, and the contribution to the initiative of national societal impacts through the involvement of Participating States. The scoring associated to the preferred option (++ Option presenting a high potential compared to the baseline) has been further justified on the basis of the elements provided in the analysis of societal impacts for the various options.  See Pages 66-68.</w:t>
            </w:r>
          </w:p>
        </w:tc>
      </w:tr>
      <w:tr>
        <w:tc>
          <w:tcPr>
            <w:tcW w:w="4634" w:type="dxa"/>
          </w:tcPr>
          <w:p>
            <w:pPr>
              <w:spacing w:after="0"/>
              <w:rPr>
                <w:noProof/>
                <w:sz w:val="24"/>
                <w:szCs w:val="24"/>
              </w:rPr>
            </w:pPr>
            <w:r>
              <w:rPr>
                <w:noProof/>
                <w:sz w:val="24"/>
                <w:szCs w:val="24"/>
              </w:rPr>
              <w:t xml:space="preserve">Clarify interactions with projects and recently announced EU policies and priorities </w:t>
            </w:r>
          </w:p>
        </w:tc>
        <w:tc>
          <w:tcPr>
            <w:tcW w:w="4652" w:type="dxa"/>
          </w:tcPr>
          <w:p>
            <w:pPr>
              <w:spacing w:after="0"/>
              <w:rPr>
                <w:noProof/>
                <w:sz w:val="24"/>
                <w:szCs w:val="24"/>
              </w:rPr>
            </w:pPr>
            <w:r>
              <w:rPr>
                <w:noProof/>
                <w:sz w:val="24"/>
                <w:szCs w:val="24"/>
              </w:rPr>
              <w:t>Details have been included on interaction with specific policies announced recently (data strategy, industrial strategy) and initiatives (recovery plan for Europe).  Also the interactions with Horizon Europe have been elaborated further as well as with relevant partnerships (AI, data and robotics). See P. 33-34</w:t>
            </w:r>
          </w:p>
        </w:tc>
      </w:tr>
      <w:tr>
        <w:tc>
          <w:tcPr>
            <w:tcW w:w="4634" w:type="dxa"/>
          </w:tcPr>
          <w:p>
            <w:pPr>
              <w:spacing w:after="0"/>
              <w:rPr>
                <w:noProof/>
                <w:sz w:val="24"/>
                <w:szCs w:val="24"/>
              </w:rPr>
            </w:pPr>
            <w:r>
              <w:rPr>
                <w:noProof/>
                <w:sz w:val="24"/>
                <w:szCs w:val="24"/>
              </w:rPr>
              <w:t>Address uncertainties of funding level and ways to cope with potential lower financing</w:t>
            </w:r>
          </w:p>
        </w:tc>
        <w:tc>
          <w:tcPr>
            <w:tcW w:w="4652" w:type="dxa"/>
          </w:tcPr>
          <w:p>
            <w:pPr>
              <w:spacing w:after="0"/>
              <w:rPr>
                <w:noProof/>
                <w:sz w:val="24"/>
                <w:szCs w:val="24"/>
              </w:rPr>
            </w:pPr>
            <w:r>
              <w:rPr>
                <w:noProof/>
                <w:sz w:val="24"/>
                <w:szCs w:val="24"/>
              </w:rPr>
              <w:t>The fact that the financing level is uncertain at the time of writing the assessment is addressed by proposing ways to ensure a sound match between the scope and objectives of the initiative and the overall amount of resources allocated. See P. 55</w:t>
            </w:r>
          </w:p>
        </w:tc>
      </w:tr>
      <w:tr>
        <w:tc>
          <w:tcPr>
            <w:tcW w:w="4634" w:type="dxa"/>
          </w:tcPr>
          <w:p>
            <w:pPr>
              <w:spacing w:after="0"/>
              <w:rPr>
                <w:noProof/>
                <w:sz w:val="24"/>
                <w:szCs w:val="24"/>
              </w:rPr>
            </w:pPr>
            <w:r>
              <w:rPr>
                <w:noProof/>
                <w:sz w:val="24"/>
                <w:szCs w:val="24"/>
              </w:rPr>
              <w:t>Report in a more consistent way the minority views</w:t>
            </w:r>
          </w:p>
        </w:tc>
        <w:tc>
          <w:tcPr>
            <w:tcW w:w="4652" w:type="dxa"/>
          </w:tcPr>
          <w:p>
            <w:pPr>
              <w:spacing w:after="0"/>
              <w:rPr>
                <w:noProof/>
                <w:sz w:val="24"/>
                <w:szCs w:val="24"/>
              </w:rPr>
            </w:pPr>
            <w:r>
              <w:rPr>
                <w:noProof/>
                <w:sz w:val="24"/>
                <w:szCs w:val="24"/>
              </w:rPr>
              <w:t>Stakeholder opinions are included throughout the assessment. This includes views expressed by stakeholders in response to the open public consultation or at interviews conducted in the context of the supporting study. Minority views (with indication of type of stakeholders) have been more consistently reported next to the dominating opinions. See the blue boxes throughout the document..</w:t>
            </w:r>
          </w:p>
        </w:tc>
      </w:tr>
    </w:tbl>
    <w:p>
      <w:pPr>
        <w:rPr>
          <w:noProof/>
        </w:rPr>
      </w:pPr>
      <w:r>
        <w:rPr>
          <w:noProof/>
        </w:rPr>
        <w:t xml:space="preserve"> </w:t>
      </w:r>
    </w:p>
    <w:p>
      <w:pPr>
        <w:rPr>
          <w:noProof/>
        </w:rPr>
      </w:pPr>
      <w:r>
        <w:rPr>
          <w:noProof/>
        </w:rPr>
        <w:t>The table above summarises modifications introduced in the revised KDT Impact Assessment to address the comments received with the RSB Opinion and issues raised at the Impact Assessment Quality Checklist as well as comments received at the RSB hearing.</w:t>
      </w:r>
    </w:p>
    <w:p>
      <w:pPr>
        <w:rPr>
          <w:noProof/>
        </w:rPr>
      </w:pPr>
      <w:r>
        <w:rPr>
          <w:noProof/>
        </w:rPr>
        <w:br w:type="page"/>
      </w:r>
    </w:p>
    <w:p>
      <w:pPr>
        <w:pStyle w:val="AnnexTitle"/>
        <w:ind w:left="2268" w:hanging="2268"/>
        <w:rPr>
          <w:noProof/>
        </w:rPr>
      </w:pPr>
      <w:bookmarkStart w:id="3" w:name="_Toc43908629"/>
      <w:r>
        <w:rPr>
          <w:noProof/>
        </w:rPr>
        <w:t>Annex 2</w:t>
      </w:r>
      <w:r>
        <w:rPr>
          <w:noProof/>
        </w:rPr>
        <w:tab/>
        <w:t>Stakeholder Consultation</w:t>
      </w:r>
      <w:bookmarkEnd w:id="3"/>
    </w:p>
    <w:p>
      <w:pPr>
        <w:pStyle w:val="Heading1"/>
        <w:numPr>
          <w:ilvl w:val="0"/>
          <w:numId w:val="2"/>
        </w:numPr>
        <w:rPr>
          <w:noProof/>
          <w:lang w:val="en-IE"/>
        </w:rPr>
      </w:pPr>
      <w:bookmarkStart w:id="4" w:name="_Toc33210211"/>
      <w:bookmarkStart w:id="5" w:name="_Toc43908630"/>
      <w:r>
        <w:rPr>
          <w:noProof/>
          <w:lang w:val="en-IE"/>
        </w:rPr>
        <w:t>Overview for all candidate institutionalised European Partnerships</w:t>
      </w:r>
      <w:bookmarkEnd w:id="4"/>
      <w:bookmarkEnd w:id="5"/>
    </w:p>
    <w:p>
      <w:pPr>
        <w:pStyle w:val="Heading2"/>
        <w:numPr>
          <w:ilvl w:val="1"/>
          <w:numId w:val="2"/>
        </w:numPr>
        <w:tabs>
          <w:tab w:val="clear" w:pos="1077"/>
          <w:tab w:val="num" w:pos="1202"/>
        </w:tabs>
        <w:ind w:left="1202" w:hanging="720"/>
        <w:rPr>
          <w:noProof/>
          <w:lang w:val="en-IE"/>
        </w:rPr>
      </w:pPr>
      <w:bookmarkStart w:id="6" w:name="_Toc33210212"/>
      <w:bookmarkStart w:id="7" w:name="_Toc43908631"/>
      <w:r>
        <w:rPr>
          <w:noProof/>
          <w:lang w:val="en-IE"/>
        </w:rPr>
        <w:t>Introduction</w:t>
      </w:r>
      <w:bookmarkEnd w:id="6"/>
      <w:bookmarkEnd w:id="7"/>
    </w:p>
    <w:p>
      <w:pPr>
        <w:pStyle w:val="Text2"/>
        <w:ind w:left="0"/>
        <w:rPr>
          <w:noProof/>
        </w:rPr>
      </w:pPr>
      <w:r>
        <w:rPr>
          <w:noProof/>
        </w:rPr>
        <w:t>In line with the Better Regulation Guidelines</w:t>
      </w:r>
      <w:r>
        <w:rPr>
          <w:noProof/>
          <w:lang w:val="en-US"/>
        </w:rPr>
        <w:t>,</w:t>
      </w:r>
      <w:r>
        <w:rPr>
          <w:noProof/>
          <w:vertAlign w:val="superscript"/>
        </w:rPr>
        <w:footnoteReference w:id="2"/>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77"/>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pStyle w:val="Text2"/>
        <w:numPr>
          <w:ilvl w:val="0"/>
          <w:numId w:val="77"/>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77"/>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pStyle w:val="Text2"/>
        <w:numPr>
          <w:ilvl w:val="0"/>
          <w:numId w:val="77"/>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numPr>
          <w:ilvl w:val="1"/>
          <w:numId w:val="2"/>
        </w:numPr>
        <w:tabs>
          <w:tab w:val="clear" w:pos="1077"/>
          <w:tab w:val="num" w:pos="1146"/>
        </w:tabs>
        <w:ind w:left="1146" w:hanging="720"/>
        <w:rPr>
          <w:noProof/>
          <w:lang w:val="en-IE"/>
        </w:rPr>
      </w:pPr>
      <w:bookmarkStart w:id="8" w:name="_Toc33541347"/>
      <w:bookmarkStart w:id="9" w:name="_Toc43908632"/>
      <w:r>
        <w:rPr>
          <w:noProof/>
          <w:lang w:val="en-IE"/>
        </w:rPr>
        <w:t>Horizontal results of the Open Public Consultation</w:t>
      </w:r>
      <w:bookmarkEnd w:id="8"/>
      <w:bookmarkEnd w:id="9"/>
    </w:p>
    <w:p>
      <w:pPr>
        <w:pStyle w:val="Text2"/>
        <w:ind w:left="0"/>
        <w:rPr>
          <w:noProof/>
          <w:lang w:val="en-IE"/>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numPr>
          <w:ilvl w:val="2"/>
          <w:numId w:val="2"/>
        </w:numPr>
        <w:tabs>
          <w:tab w:val="clear" w:pos="1922"/>
          <w:tab w:val="num" w:pos="2138"/>
        </w:tabs>
        <w:ind w:left="2138" w:hanging="720"/>
        <w:rPr>
          <w:noProof/>
          <w:lang w:val="en-IE"/>
        </w:rPr>
      </w:pPr>
      <w:bookmarkStart w:id="10" w:name="_Toc33541348"/>
      <w:bookmarkStart w:id="11" w:name="_Toc43908633"/>
      <w:r>
        <w:rPr>
          <w:noProof/>
          <w:lang w:val="en-IE"/>
        </w:rPr>
        <w:t>Profile of respondents</w:t>
      </w:r>
      <w:bookmarkEnd w:id="10"/>
      <w:bookmarkEnd w:id="11"/>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rStyle w:val="FootnoteReference"/>
          <w:noProof/>
          <w:lang w:val="en-IE"/>
        </w:rPr>
        <w:footnoteReference w:id="4"/>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bookmarkStart w:id="12" w:name="_Ref25070147"/>
      <w:r>
        <w:rPr>
          <w:b/>
          <w:i/>
          <w:noProof/>
          <w:lang w:val="en-IE"/>
        </w:rPr>
        <w:t>Table 1</w:t>
      </w:r>
      <w:bookmarkEnd w:id="12"/>
      <w:r>
        <w:rPr>
          <w:b/>
          <w:i/>
          <w:noProof/>
          <w:lang w:val="en-IE"/>
        </w:rPr>
        <w:t>: Country of origin of respondents (N=1635)</w:t>
      </w:r>
    </w:p>
    <w:tbl>
      <w:tblPr>
        <w:tblStyle w:val="ECRTDIPIA"/>
        <w:tblW w:w="0" w:type="auto"/>
        <w:tblLook w:val="04A0" w:firstRow="1" w:lastRow="0" w:firstColumn="1" w:lastColumn="0" w:noHBand="0" w:noVBand="1"/>
      </w:tblPr>
      <w:tblGrid>
        <w:gridCol w:w="5968"/>
        <w:gridCol w:w="1638"/>
        <w:gridCol w:w="1760"/>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rPr>
            </w:pPr>
            <w:r>
              <w:rPr>
                <w:rFonts w:ascii="Times New Roman" w:hAnsi="Times New Roman"/>
                <w:noProof/>
                <w:sz w:val="20"/>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lang w:val="it-IT"/>
              </w:rPr>
            </w:pPr>
            <w:r>
              <w:rPr>
                <w:rFonts w:ascii="Times New Roman" w:hAnsi="Times New Roman"/>
                <w:noProof/>
                <w:sz w:val="20"/>
                <w:lang w:val="it-IT"/>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lang w:val="fr-BE"/>
        </w:rPr>
      </w:pPr>
      <w:r>
        <w:rPr>
          <w:noProof/>
          <w:lang w:eastAsia="en-GB"/>
        </w:rPr>
        <w:drawing>
          <wp:inline distT="0" distB="0" distL="0" distR="0">
            <wp:extent cx="5635796" cy="1454400"/>
            <wp:effectExtent l="0" t="0" r="317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8855" cy="1460351"/>
                    </a:xfrm>
                    <a:prstGeom prst="rect">
                      <a:avLst/>
                    </a:prstGeom>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3" w:name="_Ref31554571"/>
    </w:p>
    <w:bookmarkEnd w:id="13"/>
    <w:p>
      <w:pPr>
        <w:pStyle w:val="Body"/>
        <w:rPr>
          <w:noProof/>
          <w:sz w:val="24"/>
        </w:rPr>
      </w:pPr>
      <w:r>
        <w:rPr>
          <w:noProof/>
          <w:sz w:val="24"/>
        </w:rPr>
        <w:t xml:space="preserve">Among those who have been involved in Horizon 2020 or the preceding Framework Programme 7,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sz w:val="24"/>
          <w:lang w:val="en-US"/>
        </w:rPr>
        <w:t>Table 4</w:t>
      </w:r>
      <w:r>
        <w:rPr>
          <w:noProof/>
          <w:sz w:val="24"/>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rPr>
          <w:noProof/>
          <w:sz w:val="24"/>
        </w:rPr>
      </w:pPr>
      <w:r>
        <w:rPr>
          <w:noProof/>
          <w:sz w:val="24"/>
        </w:rPr>
        <w:t xml:space="preserve">When respondents were asked in which </w:t>
      </w:r>
      <w:r>
        <w:rPr>
          <w:b/>
          <w:noProof/>
          <w:sz w:val="24"/>
        </w:rPr>
        <w:t>role</w:t>
      </w:r>
      <w:r>
        <w:rPr>
          <w:noProof/>
          <w:sz w:val="24"/>
        </w:rPr>
        <w:t>(s</w:t>
      </w:r>
      <w:r>
        <w:rPr>
          <w:b/>
          <w:noProof/>
          <w:sz w:val="24"/>
        </w:rPr>
        <w:t>) they participate(d) in a</w:t>
      </w:r>
      <w:r>
        <w:rPr>
          <w:noProof/>
          <w:sz w:val="24"/>
        </w:rPr>
        <w:t xml:space="preserve"> </w:t>
      </w:r>
      <w:r>
        <w:rPr>
          <w:b/>
          <w:noProof/>
          <w:sz w:val="24"/>
        </w:rPr>
        <w:t>partnership</w:t>
      </w:r>
      <w:r>
        <w:rPr>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rPr>
          <w:noProof/>
          <w:sz w:val="24"/>
        </w:rPr>
      </w:pPr>
      <w:r>
        <w:rPr>
          <w:noProof/>
          <w:sz w:val="24"/>
        </w:rPr>
        <w:t xml:space="preserve">Table </w:t>
      </w:r>
      <w:r>
        <w:rPr>
          <w:noProof/>
          <w:sz w:val="24"/>
          <w:lang w:val="en-US"/>
        </w:rPr>
        <w:t>4</w:t>
      </w:r>
      <w:r>
        <w:rPr>
          <w:noProof/>
          <w:sz w:val="24"/>
        </w:rPr>
        <w:t>: Partnerships in which consultation respondents participated (N=1035)</w:t>
      </w:r>
    </w:p>
    <w:tbl>
      <w:tblPr>
        <w:tblStyle w:val="ECRTDIPIA"/>
        <w:tblW w:w="946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after="60"/>
              <w:rPr>
                <w:rFonts w:ascii="Times New Roman" w:hAnsi="Times New Roman"/>
                <w:b/>
                <w:noProof/>
                <w:sz w:val="20"/>
              </w:rPr>
            </w:pPr>
            <w:r>
              <w:rPr>
                <w:rFonts w:ascii="Times New Roman" w:hAnsi="Times New Roman"/>
                <w:b/>
                <w:noProof/>
                <w:sz w:val="20"/>
              </w:rPr>
              <w:t xml:space="preserve">Number and % of respondents from both groups </w:t>
            </w:r>
          </w:p>
          <w:p>
            <w:pPr>
              <w:spacing w:after="60"/>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after="60"/>
              <w:rPr>
                <w:rFonts w:ascii="Times New Roman" w:hAnsi="Times New Roman"/>
                <w:b/>
                <w:noProof/>
                <w:sz w:val="20"/>
              </w:rPr>
            </w:pPr>
            <w:r>
              <w:rPr>
                <w:rFonts w:ascii="Times New Roman" w:hAnsi="Times New Roman"/>
                <w:b/>
                <w:noProof/>
                <w:sz w:val="20"/>
              </w:rPr>
              <w:t>Number and % of respondents from a non-campaign group</w:t>
            </w:r>
          </w:p>
          <w:p>
            <w:pPr>
              <w:spacing w:after="60"/>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247 (30.31%)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145 (17.79%)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124 (15.21%)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122 (14.97%)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101 (12.40%)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88 (10.80%)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66 (6.38%)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46 (5.64%)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53 (5.12%)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47 (5.77%)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after="60"/>
              <w:rPr>
                <w:rFonts w:ascii="Times New Roman" w:hAnsi="Times New Roman"/>
                <w:noProof/>
                <w:sz w:val="20"/>
              </w:rPr>
            </w:pPr>
            <w:r>
              <w:rPr>
                <w:rFonts w:ascii="Times New Roman" w:hAnsi="Times New Roman"/>
                <w:noProof/>
                <w:sz w:val="20"/>
              </w:rPr>
              <w:t>44 (4.25%)</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40 (4.91%)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37 (3.57%)</w:t>
            </w:r>
          </w:p>
        </w:tc>
        <w:tc>
          <w:tcPr>
            <w:tcW w:w="1364" w:type="dxa"/>
            <w:vAlign w:val="center"/>
            <w:hideMark/>
          </w:tcPr>
          <w:p>
            <w:pPr>
              <w:spacing w:after="60"/>
              <w:rPr>
                <w:rFonts w:ascii="Times New Roman" w:hAnsi="Times New Roman"/>
                <w:noProof/>
                <w:sz w:val="20"/>
              </w:rPr>
            </w:pPr>
            <w:r>
              <w:rPr>
                <w:rFonts w:ascii="Times New Roman" w:hAnsi="Times New Roman"/>
                <w:noProof/>
                <w:sz w:val="20"/>
              </w:rPr>
              <w:t>35 (4.29%)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28 (2.71%)</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26 (3.19%)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25 (2.42%)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 (2.94%)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21 (2.58%)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18 (2.21%)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bl>
    <w:p>
      <w:pPr>
        <w:spacing w:after="0"/>
        <w:jc w:val="left"/>
        <w:rPr>
          <w:noProof/>
        </w:rPr>
      </w:pPr>
    </w:p>
    <w:p>
      <w:pPr>
        <w:pStyle w:val="Body"/>
        <w:rPr>
          <w:b/>
          <w:i/>
          <w:noProof/>
          <w:szCs w:val="22"/>
        </w:rPr>
      </w:pPr>
      <w:r>
        <w:rPr>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rPr>
          <w:b/>
          <w:noProof/>
          <w:szCs w:val="22"/>
        </w:rPr>
      </w:pPr>
      <w:r>
        <w:rPr>
          <w:noProof/>
        </w:rPr>
        <w:t xml:space="preserve">Table </w:t>
      </w:r>
      <w:r>
        <w:rPr>
          <w:noProof/>
          <w:lang w:val="en-US"/>
        </w:rPr>
        <w:t>5</w:t>
      </w:r>
      <w:r>
        <w:rPr>
          <w:noProof/>
        </w:rPr>
        <w:t>: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after="0"/>
              <w:rPr>
                <w:rFonts w:ascii="Times New Roman" w:hAnsi="Times New Roman"/>
                <w:b/>
                <w:noProof/>
                <w:sz w:val="20"/>
              </w:rPr>
            </w:pPr>
            <w:r>
              <w:rPr>
                <w:rFonts w:ascii="Times New Roman" w:hAnsi="Times New Roman"/>
                <w:b/>
                <w:noProof/>
                <w:sz w:val="20"/>
              </w:rPr>
              <w:t xml:space="preserve">Number and % of respondents from both groups </w:t>
            </w:r>
          </w:p>
          <w:p>
            <w:pPr>
              <w:spacing w:after="0"/>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after="0"/>
              <w:ind w:right="-53"/>
              <w:rPr>
                <w:rFonts w:ascii="Times New Roman" w:hAnsi="Times New Roman"/>
                <w:b/>
                <w:noProof/>
                <w:sz w:val="20"/>
              </w:rPr>
            </w:pPr>
            <w:r>
              <w:rPr>
                <w:rFonts w:ascii="Times New Roman" w:hAnsi="Times New Roman"/>
                <w:b/>
                <w:noProof/>
                <w:sz w:val="20"/>
              </w:rPr>
              <w:t>Number and % of respondents from a non-campaign group</w:t>
            </w:r>
          </w:p>
          <w:p>
            <w:pPr>
              <w:spacing w:after="0"/>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242 (15%)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111 (6.88%)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110 (6.82%)</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109 (6.76%)</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108 (6.70%)</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93 (5.77%)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after="60"/>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after="60"/>
              <w:rPr>
                <w:rFonts w:ascii="Times New Roman" w:hAnsi="Times New Roman"/>
                <w:noProof/>
                <w:sz w:val="20"/>
              </w:rPr>
            </w:pPr>
            <w:r>
              <w:rPr>
                <w:rFonts w:ascii="Times New Roman" w:hAnsi="Times New Roman"/>
                <w:noProof/>
                <w:sz w:val="20"/>
              </w:rPr>
              <w:t>49 (3.04%)</w:t>
            </w:r>
          </w:p>
        </w:tc>
        <w:tc>
          <w:tcPr>
            <w:tcW w:w="1782" w:type="dxa"/>
            <w:vAlign w:val="center"/>
            <w:hideMark/>
          </w:tcPr>
          <w:p>
            <w:pPr>
              <w:spacing w:after="60"/>
              <w:rPr>
                <w:rFonts w:ascii="Times New Roman" w:hAnsi="Times New Roman"/>
                <w:noProof/>
                <w:sz w:val="20"/>
              </w:rPr>
            </w:pPr>
            <w:r>
              <w:rPr>
                <w:rFonts w:ascii="Times New Roman" w:hAnsi="Times New Roman"/>
                <w:noProof/>
                <w:sz w:val="20"/>
              </w:rPr>
              <w:t>47 (3.50%)</w:t>
            </w:r>
          </w:p>
        </w:tc>
      </w:tr>
    </w:tbl>
    <w:p>
      <w:pPr>
        <w:pStyle w:val="Heading3"/>
        <w:numPr>
          <w:ilvl w:val="2"/>
          <w:numId w:val="2"/>
        </w:numPr>
        <w:tabs>
          <w:tab w:val="clear" w:pos="1922"/>
          <w:tab w:val="num" w:pos="2138"/>
        </w:tabs>
        <w:spacing w:before="240"/>
        <w:ind w:left="2138" w:hanging="720"/>
        <w:rPr>
          <w:bCs/>
          <w:noProof/>
        </w:rPr>
      </w:pPr>
      <w:bookmarkStart w:id="14" w:name="_Toc31581364"/>
      <w:bookmarkStart w:id="15" w:name="_Toc31572995"/>
      <w:bookmarkStart w:id="16" w:name="_Toc31125475"/>
      <w:bookmarkStart w:id="17" w:name="_Toc33541349"/>
      <w:bookmarkStart w:id="18" w:name="_Toc43908634"/>
      <w:r>
        <w:rPr>
          <w:bCs/>
          <w:noProof/>
        </w:rPr>
        <w:t>Characteristics of future candidate European Partnerships</w:t>
      </w:r>
      <w:bookmarkEnd w:id="14"/>
      <w:bookmarkEnd w:id="15"/>
      <w:bookmarkEnd w:id="16"/>
      <w:bookmarkEnd w:id="17"/>
      <w:bookmarkEnd w:id="18"/>
    </w:p>
    <w:p>
      <w:pPr>
        <w:pStyle w:val="Body"/>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w:t>
      </w:r>
      <w:r>
        <w:rPr>
          <w:noProof/>
          <w:sz w:val="24"/>
          <w:lang w:val="en-US"/>
        </w:rPr>
        <w:t>Figure 6</w:t>
      </w:r>
      <w:r>
        <w:rPr>
          <w:noProof/>
          <w:sz w:val="24"/>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rPr>
          <w:noProof/>
          <w:sz w:val="24"/>
        </w:rPr>
      </w:pPr>
      <w:r>
        <w:rPr>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pStyle w:val="Body"/>
        <w:rPr>
          <w:noProof/>
          <w:sz w:val="24"/>
        </w:rPr>
      </w:pPr>
      <w:r>
        <w:rPr>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rPr>
          <w:b/>
          <w:i/>
          <w:noProof/>
          <w:sz w:val="24"/>
        </w:rPr>
      </w:pPr>
      <w:r>
        <w:rPr>
          <w:b/>
          <w:i/>
          <w:noProof/>
          <w:sz w:val="24"/>
        </w:rPr>
        <w:t xml:space="preserve">Figure </w:t>
      </w:r>
      <w:r>
        <w:rPr>
          <w:b/>
          <w:i/>
          <w:noProof/>
          <w:sz w:val="24"/>
          <w:lang w:val="en-US"/>
        </w:rPr>
        <w:t>6</w:t>
      </w:r>
      <w:r>
        <w:rPr>
          <w:b/>
          <w:i/>
          <w:noProof/>
          <w:sz w:val="24"/>
        </w:rPr>
        <w:t xml:space="preserve">: To what extent do you think that the future European Partnerships under Horizon Europe need to (N=1363) (non-campaign replies) </w:t>
      </w:r>
      <w:r>
        <w:rPr>
          <w:b/>
          <w:i/>
          <w:noProof/>
        </w:rPr>
        <w:t>For</w:t>
      </w:r>
      <w:r>
        <w:rPr>
          <w:b/>
          <w:i/>
          <w:noProof/>
          <w:sz w:val="24"/>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
        </w:numPr>
        <w:tabs>
          <w:tab w:val="clear" w:pos="1922"/>
          <w:tab w:val="num" w:pos="2138"/>
        </w:tabs>
        <w:ind w:left="2138" w:hanging="720"/>
        <w:rPr>
          <w:bCs/>
          <w:noProof/>
          <w:szCs w:val="24"/>
        </w:rPr>
      </w:pPr>
      <w:bookmarkStart w:id="19" w:name="_Toc31581365"/>
      <w:bookmarkStart w:id="20" w:name="_Toc31572996"/>
      <w:bookmarkStart w:id="21" w:name="_Toc31125476"/>
      <w:r>
        <w:rPr>
          <w:bCs/>
          <w:noProof/>
          <w:szCs w:val="24"/>
        </w:rPr>
        <w:tab/>
      </w:r>
      <w:bookmarkStart w:id="22" w:name="_Toc33541350"/>
      <w:bookmarkStart w:id="23" w:name="_Toc43908635"/>
      <w:r>
        <w:rPr>
          <w:bCs/>
          <w:noProof/>
          <w:szCs w:val="24"/>
        </w:rPr>
        <w:t>Main advantages and disadvantages of Institutionalised European Partnerships</w:t>
      </w:r>
      <w:bookmarkEnd w:id="19"/>
      <w:bookmarkEnd w:id="20"/>
      <w:bookmarkEnd w:id="21"/>
      <w:bookmarkEnd w:id="22"/>
      <w:bookmarkEnd w:id="23"/>
    </w:p>
    <w:p>
      <w:pPr>
        <w:pStyle w:val="Body"/>
        <w:rPr>
          <w:noProof/>
          <w:sz w:val="24"/>
        </w:rPr>
      </w:pPr>
      <w:r>
        <w:rPr>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pStyle w:val="Body"/>
        <w:rPr>
          <w:noProof/>
          <w:sz w:val="24"/>
        </w:rPr>
      </w:pPr>
      <w:r>
        <w:rPr>
          <w:b/>
          <w:noProof/>
          <w:sz w:val="24"/>
        </w:rPr>
        <w:t xml:space="preserve">Advantages mentioned: </w:t>
      </w:r>
      <w:r>
        <w:rPr>
          <w:noProof/>
          <w:sz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pStyle w:val="Body"/>
        <w:rPr>
          <w:noProof/>
          <w:sz w:val="24"/>
        </w:rPr>
      </w:pPr>
      <w:r>
        <w:rPr>
          <w:b/>
          <w:noProof/>
          <w:sz w:val="24"/>
        </w:rPr>
        <w:t xml:space="preserve">Disadvantages </w:t>
      </w:r>
      <w:r>
        <w:rPr>
          <w:noProof/>
          <w:sz w:val="24"/>
        </w:rPr>
        <w:t>mentioned</w:t>
      </w:r>
      <w:r>
        <w:rPr>
          <w:b/>
          <w:noProof/>
          <w:sz w:val="24"/>
        </w:rPr>
        <w:t xml:space="preserve">: </w:t>
      </w:r>
      <w:r>
        <w:rPr>
          <w:noProof/>
          <w:sz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numPr>
          <w:ilvl w:val="2"/>
          <w:numId w:val="2"/>
        </w:numPr>
        <w:tabs>
          <w:tab w:val="clear" w:pos="1922"/>
          <w:tab w:val="num" w:pos="2138"/>
        </w:tabs>
        <w:ind w:left="2138" w:hanging="720"/>
        <w:rPr>
          <w:bCs/>
          <w:noProof/>
          <w:szCs w:val="24"/>
        </w:rPr>
      </w:pPr>
      <w:bookmarkStart w:id="24" w:name="_Toc31581366"/>
      <w:bookmarkStart w:id="25" w:name="_Toc31572997"/>
      <w:bookmarkStart w:id="26" w:name="_Toc31125477"/>
      <w:r>
        <w:rPr>
          <w:bCs/>
          <w:noProof/>
          <w:szCs w:val="24"/>
        </w:rPr>
        <w:tab/>
      </w:r>
      <w:bookmarkStart w:id="27" w:name="_Toc33541351"/>
      <w:bookmarkStart w:id="28" w:name="_Toc43908636"/>
      <w:r>
        <w:rPr>
          <w:bCs/>
          <w:noProof/>
          <w:szCs w:val="24"/>
        </w:rPr>
        <w:t>Relevance of EU level to address problems in Partnerships’ areas</w:t>
      </w:r>
      <w:bookmarkEnd w:id="24"/>
      <w:bookmarkEnd w:id="25"/>
      <w:bookmarkEnd w:id="26"/>
      <w:bookmarkEnd w:id="27"/>
      <w:bookmarkEnd w:id="28"/>
    </w:p>
    <w:p>
      <w:pPr>
        <w:pStyle w:val="Body"/>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9" w:name="_Ref31553519"/>
    </w:p>
    <w:p>
      <w:pPr>
        <w:pStyle w:val="Body"/>
        <w:rPr>
          <w:noProof/>
          <w:sz w:val="24"/>
        </w:rPr>
      </w:pPr>
      <w:r>
        <w:rPr>
          <w:b/>
          <w:i/>
          <w:noProof/>
          <w:sz w:val="24"/>
        </w:rPr>
        <w:t xml:space="preserve">Figure </w:t>
      </w:r>
      <w:bookmarkEnd w:id="29"/>
      <w:r>
        <w:rPr>
          <w:b/>
          <w:i/>
          <w:noProof/>
          <w:sz w:val="24"/>
          <w:lang w:val="en-US"/>
        </w:rPr>
        <w:t>9</w:t>
      </w:r>
      <w:r>
        <w:rPr>
          <w:b/>
          <w:i/>
          <w:noProof/>
          <w:sz w:val="24"/>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
        </w:numPr>
        <w:tabs>
          <w:tab w:val="clear" w:pos="1922"/>
          <w:tab w:val="num" w:pos="2138"/>
        </w:tabs>
        <w:ind w:left="2138" w:hanging="720"/>
        <w:rPr>
          <w:bCs/>
          <w:noProof/>
          <w:szCs w:val="24"/>
        </w:rPr>
      </w:pPr>
      <w:bookmarkStart w:id="30" w:name="_Toc31581367"/>
      <w:bookmarkStart w:id="31" w:name="_Toc31572998"/>
      <w:bookmarkStart w:id="32" w:name="_Toc31125478"/>
      <w:r>
        <w:rPr>
          <w:bCs/>
          <w:noProof/>
          <w:szCs w:val="24"/>
        </w:rPr>
        <w:tab/>
      </w:r>
      <w:bookmarkStart w:id="33" w:name="_Toc33541352"/>
      <w:bookmarkStart w:id="34" w:name="_Toc43908637"/>
      <w:r>
        <w:rPr>
          <w:bCs/>
          <w:noProof/>
          <w:szCs w:val="24"/>
        </w:rPr>
        <w:t>Horizon Europe mode of intervention to address problems</w:t>
      </w:r>
      <w:bookmarkEnd w:id="30"/>
      <w:bookmarkEnd w:id="31"/>
      <w:bookmarkEnd w:id="32"/>
      <w:bookmarkEnd w:id="33"/>
      <w:bookmarkEnd w:id="34"/>
    </w:p>
    <w:p>
      <w:pPr>
        <w:pStyle w:val="Body"/>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35" w:name="_Ref31555940"/>
      <w:r>
        <w:rPr>
          <w:b/>
          <w:i/>
          <w:noProof/>
          <w:szCs w:val="24"/>
        </w:rPr>
        <w:t xml:space="preserve">Figure </w:t>
      </w:r>
      <w:bookmarkEnd w:id="35"/>
      <w:r>
        <w:rPr>
          <w:b/>
          <w:i/>
          <w:noProof/>
          <w:szCs w:val="24"/>
          <w:lang w:val="en-US"/>
        </w:rPr>
        <w:t>10</w:t>
      </w:r>
      <w:r>
        <w:rPr>
          <w:b/>
          <w:i/>
          <w:noProof/>
          <w:szCs w:val="24"/>
        </w:rPr>
        <w:t>: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78"/>
        </w:numPr>
        <w:spacing w:after="0" w:line="264" w:lineRule="auto"/>
        <w:ind w:left="357" w:hanging="357"/>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78"/>
        </w:numPr>
        <w:spacing w:after="0" w:line="264" w:lineRule="auto"/>
        <w:ind w:left="357" w:hanging="357"/>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78"/>
        </w:numPr>
        <w:spacing w:after="0" w:line="264" w:lineRule="auto"/>
        <w:ind w:left="357" w:hanging="357"/>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numPr>
          <w:ilvl w:val="2"/>
          <w:numId w:val="2"/>
        </w:numPr>
        <w:tabs>
          <w:tab w:val="clear" w:pos="1922"/>
          <w:tab w:val="num" w:pos="2138"/>
        </w:tabs>
        <w:ind w:left="2138" w:hanging="720"/>
        <w:rPr>
          <w:bCs/>
          <w:noProof/>
          <w:szCs w:val="24"/>
        </w:rPr>
      </w:pPr>
      <w:bookmarkStart w:id="36" w:name="_Toc31581368"/>
      <w:bookmarkStart w:id="37" w:name="_Toc31572999"/>
      <w:bookmarkStart w:id="38" w:name="_Toc31125479"/>
      <w:r>
        <w:rPr>
          <w:bCs/>
          <w:noProof/>
          <w:szCs w:val="24"/>
        </w:rPr>
        <w:tab/>
      </w:r>
      <w:bookmarkStart w:id="39" w:name="_Toc33541353"/>
      <w:bookmarkStart w:id="40" w:name="_Toc43908638"/>
      <w:r>
        <w:rPr>
          <w:bCs/>
          <w:noProof/>
          <w:szCs w:val="24"/>
        </w:rPr>
        <w:t>Relevance of a set of elements and activities to ensure that the proposed European Partnership would meet its objectives</w:t>
      </w:r>
      <w:bookmarkEnd w:id="36"/>
      <w:bookmarkEnd w:id="37"/>
      <w:bookmarkEnd w:id="38"/>
      <w:bookmarkEnd w:id="39"/>
      <w:bookmarkEnd w:id="40"/>
    </w:p>
    <w:p>
      <w:pPr>
        <w:pStyle w:val="Body"/>
        <w:spacing w:before="120"/>
        <w:rPr>
          <w:b/>
          <w:bCs/>
          <w:noProof/>
          <w:sz w:val="24"/>
          <w:u w:val="single"/>
        </w:rPr>
      </w:pPr>
      <w:r>
        <w:rPr>
          <w:b/>
          <w:bCs/>
          <w:noProof/>
          <w:sz w:val="24"/>
          <w:u w:val="single"/>
        </w:rPr>
        <w:t>Setting joint long-term agendas</w:t>
      </w:r>
    </w:p>
    <w:p>
      <w:pPr>
        <w:pStyle w:val="Body"/>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Cs w:val="24"/>
        </w:rPr>
      </w:pPr>
      <w:bookmarkStart w:id="41" w:name="_Ref31556048"/>
      <w:r>
        <w:rPr>
          <w:b/>
          <w:i/>
          <w:noProof/>
          <w:szCs w:val="24"/>
        </w:rPr>
        <w:t xml:space="preserve">Figure </w:t>
      </w:r>
      <w:bookmarkEnd w:id="41"/>
      <w:r>
        <w:rPr>
          <w:b/>
          <w:i/>
          <w:noProof/>
          <w:szCs w:val="24"/>
          <w:lang w:val="en-US"/>
        </w:rPr>
        <w:t>11</w:t>
      </w:r>
      <w:r>
        <w:rPr>
          <w:b/>
          <w:i/>
          <w:noProof/>
          <w:szCs w:val="24"/>
        </w:rPr>
        <w:t>: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104222" cy="1893193"/>
            <wp:effectExtent l="19050" t="19050" r="10795" b="1206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pStyle w:val="Body"/>
        <w:rPr>
          <w:b/>
          <w:bCs/>
          <w:noProof/>
          <w:sz w:val="24"/>
          <w:u w:val="single"/>
        </w:rPr>
      </w:pPr>
      <w:r>
        <w:rPr>
          <w:b/>
          <w:bCs/>
          <w:noProof/>
          <w:sz w:val="24"/>
          <w:u w:val="single"/>
        </w:rPr>
        <w:t>Pooling and leveraging resources through coordination, alignment and integration with stakeholders</w:t>
      </w:r>
    </w:p>
    <w:p>
      <w:pPr>
        <w:pStyle w:val="Body"/>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w:t>
      </w:r>
      <w:r>
        <w:rPr>
          <w:b/>
          <w:i/>
          <w:noProof/>
          <w:szCs w:val="24"/>
          <w:lang w:val="en-US"/>
        </w:rPr>
        <w:t>12</w:t>
      </w:r>
      <w:r>
        <w:rPr>
          <w:b/>
          <w:i/>
          <w:noProof/>
          <w:szCs w:val="24"/>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Composition of the partnerships</w:t>
      </w:r>
    </w:p>
    <w:p>
      <w:pPr>
        <w:pStyle w:val="Body"/>
        <w:rPr>
          <w:noProof/>
          <w:sz w:val="24"/>
        </w:rPr>
      </w:pPr>
      <w:r>
        <w:rPr>
          <w:noProof/>
          <w:sz w:val="24"/>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sz w:val="24"/>
          <w:lang w:val="en-US"/>
        </w:rPr>
        <w:t>Figure 13</w:t>
      </w:r>
      <w:r>
        <w:rPr>
          <w:noProof/>
          <w:sz w:val="24"/>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Cs w:val="24"/>
        </w:rPr>
      </w:pPr>
      <w:bookmarkStart w:id="42" w:name="_Ref31556101"/>
      <w:r>
        <w:rPr>
          <w:b/>
          <w:i/>
          <w:noProof/>
          <w:szCs w:val="24"/>
        </w:rPr>
        <w:t xml:space="preserve">Figure </w:t>
      </w:r>
      <w:bookmarkEnd w:id="42"/>
      <w:r>
        <w:rPr>
          <w:b/>
          <w:i/>
          <w:noProof/>
          <w:szCs w:val="24"/>
          <w:lang w:val="en-US"/>
        </w:rPr>
        <w:t>13</w:t>
      </w:r>
      <w:r>
        <w:rPr>
          <w:b/>
          <w:i/>
          <w:noProof/>
          <w:szCs w:val="24"/>
        </w:rPr>
        <w:t>: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pStyle w:val="Body"/>
        <w:rPr>
          <w:noProof/>
          <w:sz w:val="24"/>
        </w:rPr>
      </w:pPr>
      <w:r>
        <w:rPr>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 xml:space="preserve">Figure </w:t>
      </w:r>
      <w:r>
        <w:rPr>
          <w:b/>
          <w:i/>
          <w:noProof/>
          <w:szCs w:val="24"/>
          <w:lang w:val="en-US"/>
        </w:rPr>
        <w:t>14</w:t>
      </w:r>
      <w:r>
        <w:rPr>
          <w:b/>
          <w:i/>
          <w:noProof/>
          <w:szCs w:val="24"/>
        </w:rPr>
        <w:t>: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
        </w:numPr>
        <w:tabs>
          <w:tab w:val="clear" w:pos="1922"/>
          <w:tab w:val="num" w:pos="2138"/>
        </w:tabs>
        <w:ind w:left="2138" w:hanging="720"/>
        <w:rPr>
          <w:bCs/>
          <w:noProof/>
          <w:szCs w:val="24"/>
        </w:rPr>
      </w:pPr>
      <w:bookmarkStart w:id="43" w:name="_Toc31581369"/>
      <w:bookmarkStart w:id="44" w:name="_Toc31573000"/>
      <w:bookmarkStart w:id="45" w:name="_Toc31125480"/>
      <w:r>
        <w:rPr>
          <w:bCs/>
          <w:noProof/>
          <w:szCs w:val="24"/>
        </w:rPr>
        <w:tab/>
      </w:r>
      <w:bookmarkStart w:id="46" w:name="_Toc33541354"/>
      <w:bookmarkStart w:id="47" w:name="_Toc43908639"/>
      <w:r>
        <w:rPr>
          <w:bCs/>
          <w:noProof/>
          <w:szCs w:val="24"/>
        </w:rPr>
        <w:t>Relevance of setting up a legal structure (funding body) for the candidate European Partnerships to achieve improvements</w:t>
      </w:r>
      <w:bookmarkEnd w:id="43"/>
      <w:bookmarkEnd w:id="44"/>
      <w:bookmarkEnd w:id="45"/>
      <w:bookmarkEnd w:id="46"/>
      <w:bookmarkEnd w:id="47"/>
    </w:p>
    <w:p>
      <w:pPr>
        <w:pStyle w:val="Body"/>
        <w:rPr>
          <w:noProof/>
          <w:sz w:val="24"/>
        </w:rPr>
      </w:pPr>
      <w:r>
        <w:rPr>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48" w:name="_Ref31556188"/>
      <w:r>
        <w:rPr>
          <w:b/>
          <w:i/>
          <w:noProof/>
          <w:szCs w:val="24"/>
        </w:rPr>
        <w:t xml:space="preserve">Figure </w:t>
      </w:r>
      <w:bookmarkEnd w:id="48"/>
      <w:r>
        <w:rPr>
          <w:b/>
          <w:i/>
          <w:noProof/>
          <w:szCs w:val="24"/>
          <w:lang w:val="en-US"/>
        </w:rPr>
        <w:t>15</w:t>
      </w:r>
      <w:r>
        <w:rPr>
          <w:b/>
          <w:i/>
          <w:noProof/>
          <w:szCs w:val="24"/>
        </w:rPr>
        <w:t>: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rPr>
        <w:t xml:space="preserve"> </w:t>
      </w:r>
      <w:r>
        <w:rPr>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numPr>
          <w:ilvl w:val="2"/>
          <w:numId w:val="2"/>
        </w:numPr>
        <w:tabs>
          <w:tab w:val="clear" w:pos="1922"/>
          <w:tab w:val="num" w:pos="2138"/>
        </w:tabs>
        <w:ind w:left="2138" w:hanging="720"/>
        <w:rPr>
          <w:bCs/>
          <w:noProof/>
          <w:szCs w:val="24"/>
        </w:rPr>
      </w:pPr>
      <w:bookmarkStart w:id="49" w:name="_Toc31581370"/>
      <w:bookmarkStart w:id="50" w:name="_Toc31573001"/>
      <w:bookmarkStart w:id="51" w:name="_Toc31125481"/>
      <w:r>
        <w:rPr>
          <w:bCs/>
          <w:noProof/>
          <w:szCs w:val="24"/>
        </w:rPr>
        <w:tab/>
      </w:r>
      <w:bookmarkStart w:id="52" w:name="_Toc33541355"/>
      <w:bookmarkStart w:id="53" w:name="_Toc43908640"/>
      <w:r>
        <w:rPr>
          <w:bCs/>
          <w:noProof/>
          <w:szCs w:val="24"/>
        </w:rPr>
        <w:t>Scope and coverage of the candidate European Partnerships based on their inception impact assessments</w:t>
      </w:r>
      <w:bookmarkEnd w:id="49"/>
      <w:bookmarkEnd w:id="50"/>
      <w:bookmarkEnd w:id="51"/>
      <w:bookmarkEnd w:id="52"/>
      <w:bookmarkEnd w:id="53"/>
    </w:p>
    <w:p>
      <w:pPr>
        <w:pStyle w:val="Body"/>
        <w:rPr>
          <w:noProof/>
          <w:sz w:val="24"/>
        </w:rPr>
      </w:pPr>
      <w:r>
        <w:rPr>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Cs w:val="24"/>
        </w:rPr>
      </w:pPr>
      <w:bookmarkStart w:id="54" w:name="_Ref31556230"/>
      <w:r>
        <w:rPr>
          <w:b/>
          <w:i/>
          <w:noProof/>
          <w:szCs w:val="24"/>
        </w:rPr>
        <w:t xml:space="preserve">Figure </w:t>
      </w:r>
      <w:bookmarkEnd w:id="54"/>
      <w:r>
        <w:rPr>
          <w:b/>
          <w:i/>
          <w:noProof/>
          <w:szCs w:val="24"/>
          <w:lang w:val="en-US"/>
        </w:rPr>
        <w:t>16</w:t>
      </w:r>
      <w:r>
        <w:rPr>
          <w:b/>
          <w:i/>
          <w:noProof/>
          <w:szCs w:val="24"/>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numPr>
          <w:ilvl w:val="2"/>
          <w:numId w:val="2"/>
        </w:numPr>
        <w:tabs>
          <w:tab w:val="clear" w:pos="1922"/>
          <w:tab w:val="num" w:pos="2138"/>
        </w:tabs>
        <w:ind w:left="2138" w:hanging="720"/>
        <w:rPr>
          <w:bCs/>
          <w:noProof/>
          <w:szCs w:val="24"/>
        </w:rPr>
      </w:pPr>
      <w:bookmarkStart w:id="55" w:name="_Toc31581371"/>
      <w:bookmarkStart w:id="56" w:name="_Toc31573002"/>
      <w:bookmarkStart w:id="57" w:name="_Toc31125482"/>
      <w:bookmarkStart w:id="58" w:name="_Toc33541356"/>
      <w:bookmarkStart w:id="59" w:name="_Toc43908641"/>
      <w:r>
        <w:rPr>
          <w:bCs/>
          <w:noProof/>
          <w:szCs w:val="24"/>
        </w:rPr>
        <w:t>Scope for rationalisation and alignment of candidate European Partnerships with other initiatives</w:t>
      </w:r>
      <w:bookmarkEnd w:id="55"/>
      <w:bookmarkEnd w:id="56"/>
      <w:bookmarkEnd w:id="57"/>
      <w:bookmarkEnd w:id="58"/>
      <w:bookmarkEnd w:id="59"/>
      <w:r>
        <w:rPr>
          <w:bCs/>
          <w:noProof/>
          <w:szCs w:val="24"/>
        </w:rPr>
        <w:t xml:space="preserve"> </w:t>
      </w:r>
    </w:p>
    <w:p>
      <w:pPr>
        <w:pStyle w:val="Body"/>
        <w:rPr>
          <w:noProof/>
          <w:sz w:val="24"/>
        </w:rPr>
      </w:pPr>
      <w:r>
        <w:rPr>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numPr>
          <w:ilvl w:val="2"/>
          <w:numId w:val="2"/>
        </w:numPr>
        <w:tabs>
          <w:tab w:val="clear" w:pos="1922"/>
          <w:tab w:val="num" w:pos="2138"/>
        </w:tabs>
        <w:ind w:left="2138" w:hanging="720"/>
        <w:rPr>
          <w:bCs/>
          <w:noProof/>
          <w:szCs w:val="24"/>
        </w:rPr>
      </w:pPr>
      <w:bookmarkStart w:id="60" w:name="_Toc31581372"/>
      <w:bookmarkStart w:id="61" w:name="_Toc31573003"/>
      <w:bookmarkStart w:id="62" w:name="_Toc31125483"/>
      <w:bookmarkStart w:id="63" w:name="_Toc33541357"/>
      <w:bookmarkStart w:id="64" w:name="_Toc43908642"/>
      <w:r>
        <w:rPr>
          <w:bCs/>
          <w:noProof/>
          <w:szCs w:val="24"/>
        </w:rPr>
        <w:t>Relevance of European Partnerships to deliver targeted scientific, economic/technological and societal impacts</w:t>
      </w:r>
      <w:bookmarkEnd w:id="60"/>
      <w:bookmarkEnd w:id="61"/>
      <w:bookmarkEnd w:id="62"/>
      <w:bookmarkEnd w:id="63"/>
      <w:bookmarkEnd w:id="64"/>
      <w:r>
        <w:rPr>
          <w:bCs/>
          <w:noProof/>
          <w:szCs w:val="24"/>
        </w:rPr>
        <w:t xml:space="preserve"> </w:t>
      </w:r>
    </w:p>
    <w:p>
      <w:pPr>
        <w:pStyle w:val="Body"/>
        <w:rPr>
          <w:noProof/>
          <w:sz w:val="24"/>
        </w:rPr>
      </w:pPr>
      <w:r>
        <w:rPr>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bookmarkStart w:id="65" w:name="_Ref31556342"/>
      <w:r>
        <w:rPr>
          <w:b/>
          <w:i/>
          <w:noProof/>
          <w:szCs w:val="24"/>
        </w:rPr>
        <w:t xml:space="preserve">Figure </w:t>
      </w:r>
      <w:bookmarkEnd w:id="65"/>
      <w:r>
        <w:rPr>
          <w:b/>
          <w:i/>
          <w:noProof/>
          <w:szCs w:val="24"/>
          <w:lang w:val="en-US"/>
        </w:rPr>
        <w:t>17</w:t>
      </w:r>
      <w:r>
        <w:rPr>
          <w:b/>
          <w:i/>
          <w:noProof/>
          <w:szCs w:val="24"/>
        </w:rPr>
        <w:t>: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rPr>
          <w:noProof/>
        </w:rPr>
      </w:pPr>
      <w:r>
        <w:rPr>
          <w:noProof/>
        </w:rPr>
        <w:br w:type="page"/>
      </w:r>
    </w:p>
    <w:p>
      <w:pPr>
        <w:pStyle w:val="Heading2"/>
        <w:numPr>
          <w:ilvl w:val="1"/>
          <w:numId w:val="2"/>
        </w:numPr>
        <w:rPr>
          <w:noProof/>
          <w:lang w:val="en-IE"/>
        </w:rPr>
      </w:pPr>
      <w:bookmarkStart w:id="66" w:name="_Toc33210224"/>
      <w:bookmarkStart w:id="67" w:name="_Toc43908643"/>
      <w:bookmarkStart w:id="68" w:name="_Toc29545141"/>
      <w:bookmarkStart w:id="69" w:name="_Toc29545440"/>
      <w:r>
        <w:rPr>
          <w:noProof/>
          <w:lang w:val="en-IE"/>
        </w:rPr>
        <w:t>Stakeholder consultation results for this specific initiative</w:t>
      </w:r>
      <w:bookmarkEnd w:id="66"/>
      <w:bookmarkEnd w:id="67"/>
    </w:p>
    <w:p>
      <w:pPr>
        <w:pStyle w:val="Heading3"/>
        <w:numPr>
          <w:ilvl w:val="2"/>
          <w:numId w:val="2"/>
        </w:numPr>
        <w:rPr>
          <w:noProof/>
          <w:lang w:val="en-IE"/>
        </w:rPr>
      </w:pPr>
      <w:bookmarkStart w:id="70" w:name="_Toc43908644"/>
      <w:r>
        <w:rPr>
          <w:noProof/>
          <w:lang w:val="en-IE"/>
        </w:rPr>
        <w:t>Scope</w:t>
      </w:r>
      <w:bookmarkEnd w:id="68"/>
      <w:bookmarkEnd w:id="69"/>
      <w:r>
        <w:rPr>
          <w:noProof/>
          <w:lang w:val="en-IE"/>
        </w:rPr>
        <w:t xml:space="preserve"> of the consultation</w:t>
      </w:r>
      <w:bookmarkEnd w:id="70"/>
    </w:p>
    <w:p>
      <w:pPr>
        <w:rPr>
          <w:noProof/>
        </w:rPr>
      </w:pPr>
      <w:r>
        <w:rPr>
          <w:noProof/>
        </w:rPr>
        <w:t>Key Digital Technologies (KDT) have been identified as one of the Commission’s research and innovation initiatives under the Horizon Europe ‘Digital, Industry and Space’ cluster (Pillar II-Cluster 4). It is proposed to be supported by one of the European Partnerships in the envisaged partnership area of “Advancing key digital and enabling technologies and their use, including but not limited to novel technologies such as Artificial Intelligence, photonics and quantum technologies” (Area 2).</w:t>
      </w:r>
    </w:p>
    <w:p>
      <w:pPr>
        <w:rPr>
          <w:noProof/>
        </w:rPr>
      </w:pPr>
      <w:r>
        <w:rPr>
          <w:noProof/>
        </w:rPr>
        <w:t>The Commission conducted a series of stakeholder consultations with various stakeholder groups of different levels (e.g. Member S2tates, R&amp;I funding beneficiaries, industry associations, citizens, etc.) to seek views on EU Research and Innovation (R&amp;I), and on the proposed KDT Partnership. In particular, the consultation activities focused on the need for, the scope and coverage, the type and the planned focus of this partnership.</w:t>
      </w:r>
    </w:p>
    <w:p>
      <w:pPr>
        <w:pStyle w:val="Heading3"/>
        <w:numPr>
          <w:ilvl w:val="2"/>
          <w:numId w:val="2"/>
        </w:numPr>
        <w:rPr>
          <w:noProof/>
          <w:lang w:val="en-IE"/>
        </w:rPr>
      </w:pPr>
      <w:bookmarkStart w:id="71" w:name="_Toc43908645"/>
      <w:r>
        <w:rPr>
          <w:noProof/>
          <w:lang w:val="en-IE"/>
        </w:rPr>
        <w:t>Whom has the Commission consulted</w:t>
      </w:r>
      <w:bookmarkEnd w:id="71"/>
    </w:p>
    <w:p>
      <w:pPr>
        <w:rPr>
          <w:noProof/>
        </w:rPr>
      </w:pPr>
      <w:r>
        <w:rPr>
          <w:noProof/>
        </w:rPr>
        <w:t>The Commission consulted a wide range of stakeholders (e.g. public authorities, companies, business organisations, academia, research organisations and end-users) to anticipate a broad involvement of interested participants in the partnership. The consultation activities included but were not limited to those which applied for and/or received funding from the current Framework Programme or the interrelated partnership in Electronic Components and Systems for European Leadership (ECSEL), stakeholders from the European ICT and technological domains (current and emerging), and from vertical application areas. These targeted stakeholders were complemented by the identification of additional relevant stakeholders to be consulted, based on an external study undertaken to feed into the impact assessment for each of the potential institutionalised European Partnerships.</w:t>
      </w:r>
    </w:p>
    <w:p>
      <w:pPr>
        <w:rPr>
          <w:noProof/>
        </w:rPr>
      </w:pPr>
      <w:r>
        <w:rPr>
          <w:noProof/>
        </w:rPr>
        <w:t>In summary, the following type of stakeholders have been consulted:</w:t>
      </w:r>
    </w:p>
    <w:p>
      <w:pPr>
        <w:pStyle w:val="ListParagraph"/>
        <w:numPr>
          <w:ilvl w:val="0"/>
          <w:numId w:val="53"/>
        </w:numPr>
        <w:rPr>
          <w:noProof/>
        </w:rPr>
      </w:pPr>
      <w:r>
        <w:rPr>
          <w:noProof/>
        </w:rPr>
        <w:t>The research community, consisting of academic/research institutions such as universities, public government-funded organisations, independent organisations or private research centres.</w:t>
      </w:r>
    </w:p>
    <w:p>
      <w:pPr>
        <w:pStyle w:val="ListParagraph"/>
        <w:numPr>
          <w:ilvl w:val="0"/>
          <w:numId w:val="53"/>
        </w:numPr>
        <w:rPr>
          <w:noProof/>
        </w:rPr>
      </w:pPr>
      <w:r>
        <w:rPr>
          <w:noProof/>
        </w:rPr>
        <w:t>The industrial community, which includes large companies, SMEs and Start-ups, material suppliers and equipment manufacturers.</w:t>
      </w:r>
    </w:p>
    <w:p>
      <w:pPr>
        <w:pStyle w:val="ListParagraph"/>
        <w:numPr>
          <w:ilvl w:val="0"/>
          <w:numId w:val="53"/>
        </w:numPr>
        <w:rPr>
          <w:noProof/>
        </w:rPr>
      </w:pPr>
      <w:r>
        <w:rPr>
          <w:noProof/>
        </w:rPr>
        <w:t>Public authorities, such as ministries and national bodies for research, EU institutions and bodies.</w:t>
      </w:r>
    </w:p>
    <w:p>
      <w:pPr>
        <w:pStyle w:val="ListParagraph"/>
        <w:numPr>
          <w:ilvl w:val="0"/>
          <w:numId w:val="53"/>
        </w:numPr>
        <w:rPr>
          <w:noProof/>
        </w:rPr>
      </w:pPr>
      <w:r>
        <w:rPr>
          <w:noProof/>
        </w:rPr>
        <w:t>EU citizens responding on their own behalf.</w:t>
      </w:r>
    </w:p>
    <w:p>
      <w:pPr>
        <w:pStyle w:val="ListParagraph"/>
        <w:numPr>
          <w:ilvl w:val="0"/>
          <w:numId w:val="53"/>
        </w:numPr>
        <w:rPr>
          <w:noProof/>
        </w:rPr>
      </w:pPr>
      <w:r>
        <w:rPr>
          <w:noProof/>
        </w:rPr>
        <w:t>Interested independent authorities and platforms.</w:t>
      </w:r>
    </w:p>
    <w:p>
      <w:pPr>
        <w:rPr>
          <w:noProof/>
        </w:rPr>
      </w:pPr>
      <w:r>
        <w:rPr>
          <w:noProof/>
        </w:rPr>
        <w:t>representing a vast research, development and user community of nanoelectronics, embedded intelligent systems, smart system integration, semiconductor manufacturing, photonics and integrated software; a convergence of areas of research in KDT.</w:t>
      </w:r>
    </w:p>
    <w:p>
      <w:pPr>
        <w:pStyle w:val="Heading3"/>
        <w:numPr>
          <w:ilvl w:val="2"/>
          <w:numId w:val="2"/>
        </w:numPr>
        <w:rPr>
          <w:noProof/>
          <w:lang w:val="en-IE"/>
        </w:rPr>
      </w:pPr>
      <w:bookmarkStart w:id="72" w:name="_Toc43908646"/>
      <w:r>
        <w:rPr>
          <w:noProof/>
          <w:lang w:val="en-IE"/>
        </w:rPr>
        <w:t>How has the Commission consulted?</w:t>
      </w:r>
      <w:bookmarkEnd w:id="72"/>
    </w:p>
    <w:p>
      <w:pPr>
        <w:rPr>
          <w:noProof/>
        </w:rPr>
      </w:pPr>
      <w:r>
        <w:rPr>
          <w:noProof/>
        </w:rPr>
        <w:t>The Commission launched a structured consultation of Member States through the Shadow Strategic Configuration of the Programme Committee Horizon Europe, which provided early input</w:t>
      </w:r>
      <w:r>
        <w:rPr>
          <w:rStyle w:val="FootnoteReference"/>
          <w:noProof/>
        </w:rPr>
        <w:footnoteReference w:id="5"/>
      </w:r>
      <w:r>
        <w:rPr>
          <w:noProof/>
        </w:rPr>
        <w:t xml:space="preserve"> into the preparatory work and resulted in 44 possible candidates for European Partnerships, taking into account the identified areas for possible institutionalised partnerships.</w:t>
      </w:r>
    </w:p>
    <w:p>
      <w:pPr>
        <w:rPr>
          <w:noProof/>
        </w:rPr>
      </w:pPr>
      <w:r>
        <w:rPr>
          <w:noProof/>
        </w:rPr>
        <w:t>In addition, an open public consultation that covered all 12 potential institutionalised partnerships based on Articles 185 and 187 TFEU was launched. This consultation collected input from a broad range of stakeholders, across Europe and associated countries, on both the overall approach and the individual candidates for institutionalised partnerships.</w:t>
      </w:r>
    </w:p>
    <w:p>
      <w:pPr>
        <w:rPr>
          <w:noProof/>
        </w:rPr>
      </w:pPr>
      <w:r>
        <w:rPr>
          <w:noProof/>
        </w:rPr>
        <w:t>Furthermore, a combination of written consultation tools and direct interactions with stakeholders were put in place, seeking input, views, ideas and experiences. Several (targeted) meetings and stakeholder workshops on the specific issues covered by the proposed partnership were organized to discuss and gather detailed input on various policy options. The identified option in the impact assessment largely builds on the outcome of these consultations with stakeholders.</w:t>
      </w:r>
    </w:p>
    <w:p>
      <w:pPr>
        <w:pStyle w:val="Heading3"/>
        <w:numPr>
          <w:ilvl w:val="2"/>
          <w:numId w:val="2"/>
        </w:numPr>
        <w:rPr>
          <w:noProof/>
          <w:lang w:val="en-IE"/>
        </w:rPr>
      </w:pPr>
      <w:bookmarkStart w:id="73" w:name="_Toc43908647"/>
      <w:r>
        <w:rPr>
          <w:noProof/>
          <w:lang w:val="en-IE"/>
        </w:rPr>
        <w:t>Feedback received on the Inception Impact Assessment</w:t>
      </w:r>
      <w:bookmarkEnd w:id="73"/>
    </w:p>
    <w:p>
      <w:pPr>
        <w:rPr>
          <w:noProof/>
        </w:rPr>
      </w:pPr>
      <w:r>
        <w:rPr>
          <w:noProof/>
        </w:rPr>
        <w:t>The inception impact assessment</w:t>
      </w:r>
      <w:r>
        <w:rPr>
          <w:rStyle w:val="FootnoteReference"/>
          <w:noProof/>
        </w:rPr>
        <w:footnoteReference w:id="6"/>
      </w:r>
      <w:r>
        <w:rPr>
          <w:noProof/>
        </w:rPr>
        <w:t xml:space="preserve"> of the initiative was published for feedback from 30 July 2019 to 27 August 2019, with the aim to seek initial feedback. Seventeen reactions were received on the inception impact assessment, notably from industry associations dealing with electronics components and systems, academic/research institutions, private business organisations, public authorities and citizens. </w:t>
      </w:r>
    </w:p>
    <w:p>
      <w:pPr>
        <w:rPr>
          <w:noProof/>
        </w:rPr>
      </w:pPr>
      <w:r>
        <w:rPr>
          <w:noProof/>
        </w:rPr>
        <w:t>In summary, the majority of the reactions stressed the need for and emphasized support to such an initiative. According to the feedback received, several respondents asked for a broadening of the scope of the proposed KDT Partnership – e.g. the need to integrate semiconductor-based integrated photonics, selected software technologies (beyond embedded software) and their applications to cover full value chains and networks.</w:t>
      </w:r>
    </w:p>
    <w:p>
      <w:pPr>
        <w:pStyle w:val="Heading3"/>
        <w:numPr>
          <w:ilvl w:val="2"/>
          <w:numId w:val="2"/>
        </w:numPr>
        <w:rPr>
          <w:noProof/>
          <w:lang w:val="en-IE"/>
        </w:rPr>
      </w:pPr>
      <w:bookmarkStart w:id="74" w:name="_Toc43908648"/>
      <w:r>
        <w:rPr>
          <w:noProof/>
          <w:lang w:val="en-IE"/>
        </w:rPr>
        <w:t>Meetings &amp; Workshops with Stakeholders</w:t>
      </w:r>
      <w:bookmarkEnd w:id="74"/>
    </w:p>
    <w:p>
      <w:pPr>
        <w:ind w:firstLine="720"/>
        <w:rPr>
          <w:b/>
          <w:i/>
          <w:noProof/>
        </w:rPr>
      </w:pPr>
      <w:r>
        <w:rPr>
          <w:b/>
          <w:i/>
          <w:noProof/>
        </w:rPr>
        <w:t>From the private sector (Industry, Research, and Academia)</w:t>
      </w:r>
    </w:p>
    <w:p>
      <w:pPr>
        <w:rPr>
          <w:noProof/>
        </w:rPr>
      </w:pPr>
      <w:r>
        <w:rPr>
          <w:noProof/>
        </w:rPr>
        <w:t>A series of meetings and workshops between the European Commission and key European private organisations have taken place, to discuss potential activities to be covered under a KDT partnership, the requirements and links between suppliers and users of digital technologies, the KDT value chains and application areas where these technologies play an essential role:</w:t>
      </w:r>
    </w:p>
    <w:p>
      <w:pPr>
        <w:rPr>
          <w:noProof/>
        </w:rPr>
      </w:pPr>
      <w:r>
        <w:rPr>
          <w:b/>
          <w:noProof/>
          <w:u w:val="single"/>
        </w:rPr>
        <w:t>On February 1, 2018</w:t>
      </w:r>
      <w:r>
        <w:rPr>
          <w:noProof/>
        </w:rPr>
        <w:t xml:space="preserve"> in Brussels, high-level representatives of companies and research and technology organisations (RTOs) active in semiconductor technology met with Mariya Gabriel, the Commissioner for Digital Economy and Society, to discuss a consolidated set of strategic measures for electronics value chains in Europe. The outcome of this meeting – together with a series of specific KDT value chain workshops/consultations (March-April 2018) on automotive, health, space/aeronautics, security, hardware for AI, robotics and automation - resulted in a report: ‘Boosting Electronic Value Chains in Europe’</w:t>
      </w:r>
      <w:r>
        <w:rPr>
          <w:rStyle w:val="FootnoteReference"/>
          <w:noProof/>
        </w:rPr>
        <w:footnoteReference w:id="7"/>
      </w:r>
      <w:r>
        <w:rPr>
          <w:noProof/>
        </w:rPr>
        <w:t>. The report sets out an updated strategy for the electronics sector in Europe, and makes the case for a change in approach and outlines a set of actions intended to set the basis for future European policy.</w:t>
      </w:r>
    </w:p>
    <w:p>
      <w:pPr>
        <w:rPr>
          <w:noProof/>
        </w:rPr>
      </w:pPr>
      <w:r>
        <w:rPr>
          <w:b/>
          <w:noProof/>
          <w:u w:val="single"/>
        </w:rPr>
        <w:t>In June 2019</w:t>
      </w:r>
      <w:r>
        <w:rPr>
          <w:noProof/>
        </w:rPr>
        <w:t>, a draft Implementation Plan (IP), as a direct development of the aforementioned report on ‘Boosting Electronics Value Chains in Europe’, was presented by key industrial organisations to the European Commission. This Implementation Plan included a specific chapter on a KDT partnership.</w:t>
      </w:r>
    </w:p>
    <w:p>
      <w:pPr>
        <w:rPr>
          <w:noProof/>
        </w:rPr>
      </w:pPr>
      <w:r>
        <w:rPr>
          <w:b/>
          <w:noProof/>
          <w:u w:val="single"/>
        </w:rPr>
        <w:t>In September and November 2019</w:t>
      </w:r>
      <w:r>
        <w:rPr>
          <w:noProof/>
        </w:rPr>
        <w:t xml:space="preserve"> the European Commission met with Integrated Device Manufacturers (IDMs) to discuss a strategic cooperation between key European nanoelectronics companies, that would ensure leadership in KDT for edge computing, including specific activities that would potentially be covered under such a Partnership.</w:t>
      </w:r>
    </w:p>
    <w:p>
      <w:pPr>
        <w:rPr>
          <w:noProof/>
        </w:rPr>
      </w:pPr>
      <w:r>
        <w:rPr>
          <w:b/>
          <w:noProof/>
          <w:u w:val="single"/>
        </w:rPr>
        <w:t>In October 2019</w:t>
      </w:r>
      <w:r>
        <w:rPr>
          <w:noProof/>
        </w:rPr>
        <w:t xml:space="preserve"> a workshop with KDT System Houses took place in Brussels, to specifically address the requirements of users of digital technologies. It covered mostly the demand side of KDT value chains and addressed applications where these technologies play an essential part.</w:t>
      </w:r>
    </w:p>
    <w:p>
      <w:pPr>
        <w:rPr>
          <w:noProof/>
        </w:rPr>
      </w:pPr>
      <w:r>
        <w:rPr>
          <w:b/>
          <w:noProof/>
          <w:u w:val="single"/>
        </w:rPr>
        <w:t>In November 2019</w:t>
      </w:r>
      <w:r>
        <w:rPr>
          <w:noProof/>
        </w:rPr>
        <w:t xml:space="preserve"> at the European Forum for Electronic Components and Systems - EFECS2019</w:t>
      </w:r>
      <w:r>
        <w:rPr>
          <w:rStyle w:val="FootnoteReference"/>
          <w:noProof/>
        </w:rPr>
        <w:footnoteReference w:id="8"/>
      </w:r>
      <w:r>
        <w:rPr>
          <w:noProof/>
        </w:rPr>
        <w:t xml:space="preserve"> in Helsinki, a High-level meeting took place between CONNECT Deputy Director General Khalil Rouhana and representatives of main Nanoelectronics companies, to further discuss a renewed strategy in Europe under the new Commission. It addressed the actions proposed in the implementation plan and the specific role of private members in a future KDT partnership.</w:t>
      </w:r>
    </w:p>
    <w:p>
      <w:pPr>
        <w:ind w:firstLine="720"/>
        <w:rPr>
          <w:b/>
          <w:i/>
          <w:noProof/>
        </w:rPr>
      </w:pPr>
      <w:r>
        <w:rPr>
          <w:b/>
          <w:i/>
          <w:noProof/>
        </w:rPr>
        <w:t>From the Public sector (Members States)</w:t>
      </w:r>
    </w:p>
    <w:p>
      <w:pPr>
        <w:spacing w:after="120"/>
        <w:rPr>
          <w:noProof/>
        </w:rPr>
      </w:pPr>
      <w:r>
        <w:rPr>
          <w:b/>
          <w:noProof/>
          <w:u w:val="single"/>
        </w:rPr>
        <w:t>In April and May 2019,</w:t>
      </w:r>
      <w:r>
        <w:rPr>
          <w:noProof/>
        </w:rPr>
        <w:t xml:space="preserve"> two meetings took place with Member State representatives, building upon a consultation process on a potential follow-up Joint Undertaking (JU) to the current ECSEL JU, under Horizon Europe.</w:t>
      </w:r>
    </w:p>
    <w:p>
      <w:pPr>
        <w:spacing w:before="240"/>
        <w:rPr>
          <w:noProof/>
        </w:rPr>
      </w:pPr>
      <w:r>
        <w:rPr>
          <w:b/>
          <w:noProof/>
          <w:u w:val="single"/>
        </w:rPr>
        <w:t>In May/June 2019,</w:t>
      </w:r>
      <w:r>
        <w:rPr>
          <w:noProof/>
        </w:rPr>
        <w:t xml:space="preserve"> a Member State consultation was realised on the proposed portfolio of European Partnerships under Horizon Europe. 30 countries (all Member States, Iceland and Norway) provided feedback, which has been analysed by the Commission services and summarised (overall and per partnership candidate) in a report</w:t>
      </w:r>
      <w:r>
        <w:rPr>
          <w:rStyle w:val="FootnoteReference"/>
          <w:noProof/>
        </w:rPr>
        <w:footnoteReference w:id="9"/>
      </w:r>
      <w:r>
        <w:rPr>
          <w:noProof/>
        </w:rPr>
        <w:t>. In summary, the overall feedback was positive on the proposed portfolio, with a general satisfaction to the thematic coverage.</w:t>
      </w:r>
    </w:p>
    <w:p>
      <w:pPr>
        <w:rPr>
          <w:noProof/>
        </w:rPr>
      </w:pPr>
      <w:r>
        <w:rPr>
          <w:noProof/>
        </w:rPr>
        <w:t>On the proposed KDT Partnership, opinions strongly supported its high relevance in the national context, while also raising the importance of the scope of partners and relevant stakeholders, the need to provide strong support to and impact on SMEs, and the limitation of activities related to photonics and to those that require a very strong integration with electronic devices. Synergies with other partnerships within and outside the cluster would need to be ensured.</w:t>
      </w:r>
    </w:p>
    <w:p>
      <w:pPr>
        <w:rPr>
          <w:noProof/>
        </w:rPr>
      </w:pPr>
      <w:r>
        <w:rPr>
          <w:noProof/>
        </w:rPr>
        <w:t>The results of the Member State consultation strongly confirmed the KDT partnership approach in addressing the specific priority and the overall relevance, also in line with national policies, priorities and R&amp;I strategies, as well as for industry, research organisations and universities.</w:t>
      </w:r>
    </w:p>
    <w:p>
      <w:pPr>
        <w:rPr>
          <w:noProof/>
        </w:rPr>
      </w:pPr>
      <w:r>
        <w:rPr>
          <w:b/>
          <w:noProof/>
          <w:u w:val="single"/>
        </w:rPr>
        <w:t>In October 2019,</w:t>
      </w:r>
      <w:r>
        <w:rPr>
          <w:noProof/>
        </w:rPr>
        <w:t xml:space="preserve"> Member State representatives met with the EC to discuss their involvement in a potential KDT Partnership and the desired complementary steps to improve efficiency of implementation of an improved tri-partite model.</w:t>
      </w:r>
    </w:p>
    <w:p>
      <w:pPr>
        <w:rPr>
          <w:noProof/>
        </w:rPr>
      </w:pPr>
      <w:r>
        <w:rPr>
          <w:b/>
          <w:noProof/>
          <w:u w:val="single"/>
        </w:rPr>
        <w:t xml:space="preserve">In November </w:t>
      </w:r>
      <w:r>
        <w:rPr>
          <w:noProof/>
        </w:rPr>
        <w:t>2019, the Commission organised three workshops with Member State representatives on European Partnerships, to obtain a better understanding of the possible benefits of a collaboration between Member States and the candidate European Partnerships with industry, and its format. The discussions with the MS representatives were important to early detect opportunities to align on joint priorities, as well as to consider in design and preparation of implementation of the partnerships, thus ensuring discussions would be embedded in policy developments of a concrete field and high engagement of sectoral ministries.</w:t>
      </w:r>
    </w:p>
    <w:p>
      <w:pPr>
        <w:rPr>
          <w:noProof/>
        </w:rPr>
      </w:pPr>
      <w:r>
        <w:rPr>
          <w:noProof/>
        </w:rPr>
        <w:t xml:space="preserve">One of the three workshops was on Digital Technologies, in which KDT was featured, highlighting its foundation of an existing and solid collaboration with Member States under ECSEL JU, and underlining the aim to ensure EU/national alignment through combined financing, as well as increase collaboration in testing of components. Overall, the digital-centric partnership was considered of high-relevance, since Europe has a dynamic and innovative digital industry. </w:t>
      </w:r>
    </w:p>
    <w:p>
      <w:pPr>
        <w:pStyle w:val="Heading3"/>
        <w:numPr>
          <w:ilvl w:val="2"/>
          <w:numId w:val="2"/>
        </w:numPr>
        <w:rPr>
          <w:noProof/>
          <w:lang w:val="en-IE"/>
        </w:rPr>
      </w:pPr>
      <w:bookmarkStart w:id="75" w:name="_Toc43908649"/>
      <w:r>
        <w:rPr>
          <w:noProof/>
          <w:lang w:val="en-IE"/>
        </w:rPr>
        <w:t>Open Public Consultation</w:t>
      </w:r>
      <w:bookmarkEnd w:id="75"/>
    </w:p>
    <w:p>
      <w:pPr>
        <w:rPr>
          <w:noProof/>
        </w:rPr>
      </w:pPr>
      <w:r>
        <w:rPr>
          <w:noProof/>
        </w:rPr>
        <w:t xml:space="preserve">An online public consultation took place from 11 September 2019 to 12 November 2019, with the aim to seek the views of EU research and innovation stakeholders and citizens on the 12 proposed institutionalised European partnerships under the future Horizon Europe Research and Innovation programme (2021-2027). The consultation was available in English, German and French. It was advertised widely the European Commission’s online channels as well as via various stakeholder organisations. </w:t>
      </w:r>
    </w:p>
    <w:p>
      <w:pPr>
        <w:rPr>
          <w:noProof/>
        </w:rPr>
      </w:pPr>
      <w:r>
        <w:rPr>
          <w:noProof/>
        </w:rPr>
        <w:t>The consultation focused on the overall need for and the planned focus of these potential European partnerships, and had a part with specific questions on the proposed KDT Partnership.</w:t>
      </w:r>
    </w:p>
    <w:p>
      <w:pPr>
        <w:ind w:firstLine="720"/>
        <w:rPr>
          <w:b/>
          <w:noProof/>
        </w:rPr>
      </w:pPr>
      <w:r>
        <w:rPr>
          <w:b/>
          <w:noProof/>
        </w:rPr>
        <w:t>Characteristics of Respondents</w:t>
      </w:r>
    </w:p>
    <w:p>
      <w:pPr>
        <w:rPr>
          <w:noProof/>
        </w:rPr>
      </w:pPr>
      <w:r>
        <w:rPr>
          <w:noProof/>
        </w:rPr>
        <w:t xml:space="preserve">For the KDT Partnership, 182 respondents provided their views of which 20 were identified as belonging to a campaign. These campaign contributions were analysed separately and are not part of the actual analysis with a number of 162 responses. </w:t>
      </w:r>
    </w:p>
    <w:p>
      <w:pPr>
        <w:rPr>
          <w:noProof/>
        </w:rPr>
      </w:pPr>
      <w:r>
        <w:rPr>
          <w:noProof/>
        </w:rPr>
        <w:t xml:space="preserve">Out of these 162 non-campaign responses, 55 (33.95%) of the respondents were representatives of academic and research institutions, 42 (25.93%) were company/business organisations, 35 respondents (21.60%) were citizens. Public authorities (4,32%) and NGOs (3,08%) also participated in the consultation. </w:t>
      </w:r>
    </w:p>
    <w:p>
      <w:pPr>
        <w:rPr>
          <w:noProof/>
        </w:rPr>
      </w:pPr>
      <w:r>
        <w:rPr>
          <w:noProof/>
        </w:rPr>
        <w:t>The majority of respondents, namely 124 (76.54%), have been involved in the on-going research and innovation framework programme, while 84 respondents (67.74%) were directly involved in a partnership under Horizon 2020 or its predecessor Framework Programme 7.</w:t>
      </w:r>
    </w:p>
    <w:p>
      <w:pPr>
        <w:rPr>
          <w:noProof/>
        </w:rPr>
      </w:pPr>
    </w:p>
    <w:p>
      <w:pPr>
        <w:ind w:firstLine="720"/>
        <w:rPr>
          <w:b/>
          <w:noProof/>
        </w:rPr>
      </w:pPr>
      <w:r>
        <w:rPr>
          <w:b/>
          <w:noProof/>
        </w:rPr>
        <w:t>Results on General Questions by non-campaign respondents</w:t>
      </w:r>
    </w:p>
    <w:p>
      <w:pPr>
        <w:ind w:firstLine="720"/>
        <w:rPr>
          <w:b/>
          <w:i/>
          <w:noProof/>
        </w:rPr>
      </w:pPr>
      <w:r>
        <w:rPr>
          <w:b/>
          <w:i/>
          <w:noProof/>
        </w:rPr>
        <w:t>Relevance of efforts of the candidate European Partnership to address problems</w:t>
      </w:r>
    </w:p>
    <w:p>
      <w:pPr>
        <w:rPr>
          <w:noProof/>
        </w:rPr>
      </w:pPr>
      <w:r>
        <w:rPr>
          <w:noProof/>
        </w:rPr>
        <w:t>At the beginning of the consultation, the respondents of this partnership indicated their views of the needs of the future European Partnerships under Horizon Europe. Overall, respondents indicated that many of these needs were fully required. The needs where most respondents indicated this, was making a significant contribution to EU global competitiveness in specific sectors and/or domains (112 respondents or 69.14%) and focusing more on the development and effective deployment of technology (101 respondents or 62.35%). These identified needs are in line with its proposed focus of the Partnership. No statistical differences were found between the views of citizens and other respondents for most needs.</w:t>
      </w:r>
    </w:p>
    <w:p>
      <w:pPr>
        <w:ind w:left="720"/>
        <w:rPr>
          <w:b/>
          <w:i/>
          <w:noProof/>
        </w:rPr>
      </w:pPr>
      <w:r>
        <w:rPr>
          <w:b/>
          <w:i/>
          <w:noProof/>
        </w:rPr>
        <w:t>Main advantages and disadvantages of participation in the Institutionalised European Partnership</w:t>
      </w:r>
    </w:p>
    <w:p>
      <w:pPr>
        <w:rPr>
          <w:noProof/>
        </w:rPr>
      </w:pPr>
      <w:r>
        <w:rPr>
          <w:noProof/>
        </w:rPr>
        <w:t>The respondents were asked what they perceived to be the main advantages and disadvantages of participation in an Institutionalised European Partnership (as a partner) under Horizon Europe. A key-word analysis showed that respondents viewed collaboration as the main advantage, in addition to a strategic research agenda and leadership in Europe. The subsequent administrative burden was identified as a disadvantage.</w:t>
      </w:r>
    </w:p>
    <w:p>
      <w:pPr>
        <w:ind w:left="720"/>
        <w:rPr>
          <w:b/>
          <w:noProof/>
        </w:rPr>
      </w:pPr>
      <w:r>
        <w:rPr>
          <w:b/>
          <w:noProof/>
        </w:rPr>
        <w:t>Results on candidate European Partnership Specific Questions by non-campaign respondents</w:t>
      </w:r>
    </w:p>
    <w:p>
      <w:pPr>
        <w:ind w:left="720"/>
        <w:rPr>
          <w:b/>
          <w:i/>
          <w:noProof/>
        </w:rPr>
      </w:pPr>
      <w:r>
        <w:rPr>
          <w:b/>
          <w:i/>
          <w:noProof/>
        </w:rPr>
        <w:t>Relevance of research and innovation efforts at the EU level to address problems in relation to key digital technologies</w:t>
      </w:r>
    </w:p>
    <w:p>
      <w:pPr>
        <w:rPr>
          <w:noProof/>
        </w:rPr>
      </w:pPr>
      <w:r>
        <w:rPr>
          <w:noProof/>
        </w:rPr>
        <w:t>In the consultation, respondents were asked to provide their view on the relevancy (5-point scale) of research and innovation efforts at EU level to address the following problems in relation to key digital technologies:</w:t>
      </w:r>
    </w:p>
    <w:p>
      <w:pPr>
        <w:pStyle w:val="ListParagraph"/>
        <w:numPr>
          <w:ilvl w:val="0"/>
          <w:numId w:val="54"/>
        </w:numPr>
        <w:rPr>
          <w:i/>
          <w:noProof/>
        </w:rPr>
      </w:pPr>
      <w:r>
        <w:rPr>
          <w:i/>
          <w:noProof/>
        </w:rPr>
        <w:t>Problems in uptake of digital innovations</w:t>
      </w:r>
    </w:p>
    <w:p>
      <w:pPr>
        <w:rPr>
          <w:noProof/>
        </w:rPr>
      </w:pPr>
      <w:r>
        <w:rPr>
          <w:noProof/>
        </w:rPr>
        <w:t>With regard to the problems in uptake of digital innovations, the majority of respondents have picked either a 4 or a 5 on the 5-point relevancy scale. Respondents indicated that the most relevant problem is when the regulatory framework lags behind technology developments (106 respondents or 67.95% indicated this as a ‘relevant’ or ‘very relevant’ problem). The options that have received the least 5 (‘very relevant’) answers, out of all the problems presented, are the lack of consideration of societal or user needs (37 respondents or 23%) followed by the barriers to exploitation due to limited access to capital data or intellectual property (37 respondents or 24%).</w:t>
      </w:r>
    </w:p>
    <w:p>
      <w:pPr>
        <w:pStyle w:val="ListParagraph"/>
        <w:numPr>
          <w:ilvl w:val="0"/>
          <w:numId w:val="54"/>
        </w:numPr>
        <w:rPr>
          <w:i/>
          <w:noProof/>
        </w:rPr>
      </w:pPr>
      <w:r>
        <w:rPr>
          <w:i/>
          <w:noProof/>
        </w:rPr>
        <w:t>Structural and resource problems</w:t>
      </w:r>
    </w:p>
    <w:p>
      <w:pPr>
        <w:rPr>
          <w:noProof/>
        </w:rPr>
      </w:pPr>
      <w:r>
        <w:rPr>
          <w:noProof/>
        </w:rPr>
        <w:t xml:space="preserve">With regard to structural and resource problems, the limited collaboration and pooling of resources between Member States, European Commission, Industry and Research organisations (Universities, RTO’s) is clearly considered as a very relevant problem for research and innovation efforts at EU level to address (65 respondents or 42% indicated a 5 on the 5-point relevancy scale). </w:t>
      </w:r>
    </w:p>
    <w:p>
      <w:pPr>
        <w:rPr>
          <w:noProof/>
        </w:rPr>
      </w:pPr>
    </w:p>
    <w:p>
      <w:pPr>
        <w:pStyle w:val="ListParagraph"/>
        <w:numPr>
          <w:ilvl w:val="0"/>
          <w:numId w:val="54"/>
        </w:numPr>
        <w:rPr>
          <w:i/>
          <w:noProof/>
        </w:rPr>
      </w:pPr>
      <w:r>
        <w:rPr>
          <w:i/>
          <w:noProof/>
        </w:rPr>
        <w:t>Research and innovations problems</w:t>
      </w:r>
    </w:p>
    <w:p>
      <w:pPr>
        <w:rPr>
          <w:noProof/>
        </w:rPr>
      </w:pPr>
      <w:r>
        <w:rPr>
          <w:noProof/>
        </w:rPr>
        <w:t>Finally, respondents have indicated that research and innovation problems are considered the most relevant, as all of the problems presented in this category have received more 5 (very relevant) responses than any of the other problems. The rapid change including big data and the emergence of new computing paradigms is considered the most relevant, with 105 respondents selecting ‘very relevant’ on this problem (66%).</w:t>
      </w:r>
    </w:p>
    <w:p>
      <w:pPr>
        <w:ind w:left="720"/>
        <w:rPr>
          <w:b/>
          <w:i/>
          <w:noProof/>
        </w:rPr>
      </w:pPr>
      <w:r>
        <w:rPr>
          <w:b/>
          <w:i/>
          <w:noProof/>
        </w:rPr>
        <w:t>Addressing the specific challenges through Horizon Europe intervention</w:t>
      </w:r>
    </w:p>
    <w:p>
      <w:pPr>
        <w:pStyle w:val="ListParagraph"/>
        <w:numPr>
          <w:ilvl w:val="0"/>
          <w:numId w:val="54"/>
        </w:numPr>
        <w:rPr>
          <w:i/>
          <w:noProof/>
        </w:rPr>
      </w:pPr>
      <w:r>
        <w:rPr>
          <w:i/>
          <w:noProof/>
        </w:rPr>
        <w:t>Type of partnership</w:t>
      </w:r>
    </w:p>
    <w:p>
      <w:pPr>
        <w:rPr>
          <w:noProof/>
        </w:rPr>
      </w:pPr>
      <w:r>
        <w:rPr>
          <w:noProof/>
        </w:rPr>
        <w:t>Respondents were asked to indicate how these challenges could be addressed through Horizon Europe intervention. As shown in the figure below, just over 40% of respondents indicated that an Institutionalised Partnership would be the best fitting intervention to address these problems.</w:t>
      </w:r>
    </w:p>
    <w:p>
      <w:pPr>
        <w:jc w:val="center"/>
        <w:rPr>
          <w:noProof/>
        </w:rPr>
      </w:pPr>
      <w:r>
        <w:rPr>
          <w:rFonts w:ascii="Calibri" w:eastAsia="Calibri" w:hAnsi="Calibri"/>
          <w:noProof/>
          <w:lang w:eastAsia="en-GB"/>
        </w:rPr>
        <w:drawing>
          <wp:inline distT="0" distB="0" distL="0" distR="0">
            <wp:extent cx="5454000" cy="876358"/>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4000" cy="876358"/>
                    </a:xfrm>
                    <a:prstGeom prst="rect">
                      <a:avLst/>
                    </a:prstGeom>
                    <a:noFill/>
                  </pic:spPr>
                </pic:pic>
              </a:graphicData>
            </a:graphic>
          </wp:inline>
        </w:drawing>
      </w:r>
    </w:p>
    <w:p>
      <w:pPr>
        <w:rPr>
          <w:noProof/>
        </w:rPr>
      </w:pPr>
      <w:r>
        <w:rPr>
          <w:noProof/>
        </w:rPr>
        <w:t>Respondents that selected an institutionalised partnership as the best fitting intervention mentioned for example that it is the most suitable instrument to “</w:t>
      </w:r>
      <w:r>
        <w:rPr>
          <w:i/>
          <w:noProof/>
        </w:rPr>
        <w:t>bring together the critical mass of public and private resources needed to ensure Europe’s competitiveness, sovereignty and autonomy in the strategic domain of KDT</w:t>
      </w:r>
      <w:r>
        <w:rPr>
          <w:noProof/>
        </w:rPr>
        <w:t>”. Furthermore, several respondents signalled its suitability to implement a long-term vision and to provide “</w:t>
      </w:r>
      <w:r>
        <w:rPr>
          <w:i/>
          <w:noProof/>
        </w:rPr>
        <w:t>substantial and long-term guidance on the R&amp;I activities in the EU</w:t>
      </w:r>
      <w:r>
        <w:rPr>
          <w:noProof/>
        </w:rPr>
        <w:t>”, the “</w:t>
      </w:r>
      <w:r>
        <w:rPr>
          <w:i/>
          <w:noProof/>
        </w:rPr>
        <w:t>broad impact and wide range of stakeholders</w:t>
      </w:r>
      <w:r>
        <w:rPr>
          <w:noProof/>
        </w:rPr>
        <w:t>” in the key digital technologies area, and the importance of “</w:t>
      </w:r>
      <w:r>
        <w:rPr>
          <w:i/>
          <w:noProof/>
        </w:rPr>
        <w:t>aligning national strategies on digital technologies into a single EU strategy</w:t>
      </w:r>
      <w:r>
        <w:rPr>
          <w:noProof/>
        </w:rPr>
        <w:t>”.</w:t>
      </w:r>
    </w:p>
    <w:p>
      <w:pPr>
        <w:rPr>
          <w:noProof/>
        </w:rPr>
      </w:pPr>
      <w:r>
        <w:rPr>
          <w:noProof/>
        </w:rPr>
        <w:t>Respondents who did not select institutionalised partnership as their preferred intervention (N=76) mentioned traditional calls, public private sector and the development of new technology.</w:t>
      </w:r>
    </w:p>
    <w:p>
      <w:pPr>
        <w:ind w:left="720"/>
        <w:rPr>
          <w:b/>
          <w:i/>
          <w:noProof/>
        </w:rPr>
      </w:pPr>
      <w:r>
        <w:rPr>
          <w:b/>
          <w:i/>
          <w:noProof/>
        </w:rPr>
        <w:t>Relevance of elements and activities to ensure that the proposed European Partnership would meet its objectives</w:t>
      </w:r>
    </w:p>
    <w:p>
      <w:pPr>
        <w:pStyle w:val="ListParagraph"/>
        <w:numPr>
          <w:ilvl w:val="0"/>
          <w:numId w:val="54"/>
        </w:numPr>
        <w:rPr>
          <w:i/>
          <w:noProof/>
        </w:rPr>
      </w:pPr>
      <w:r>
        <w:rPr>
          <w:i/>
          <w:noProof/>
        </w:rPr>
        <w:t>Involvement of actors in setting joint long-term agenda</w:t>
      </w:r>
    </w:p>
    <w:p>
      <w:pPr>
        <w:rPr>
          <w:noProof/>
        </w:rPr>
      </w:pPr>
      <w:r>
        <w:rPr>
          <w:noProof/>
        </w:rPr>
        <w:t>Respondents were asked how relevant the involvement of actors is in setting a joint long-term agenda to ensure that the proposed European Partnership would meet its objectives. A high number of respondents (120 respondents or 77%) indicated that a strong involvement of industry is very relevant actor for setting a joint long-term agenda. The role of academia and Member States, Associated Countries is also considered very relevant by many respondents (respectively 95 respondents or 61.29%, and 76 respondents or 51.35% indicated their role of as ‘very relevant’). A strong involvement of foundations, NGOs and other stakeholders is considered less relevant by respondents (respectively 30 respondents or 20.69%, and 18 respondents or 13.24% indicated their role as ‘very relevant’). Respondents that are/were involved in a current/preceding partnership indicated that industry and government (Member States and Associated Countries) are more relevant compared to other respondents.</w:t>
      </w:r>
    </w:p>
    <w:p>
      <w:pPr>
        <w:pStyle w:val="ListParagraph"/>
        <w:numPr>
          <w:ilvl w:val="0"/>
          <w:numId w:val="54"/>
        </w:numPr>
        <w:rPr>
          <w:i/>
          <w:noProof/>
        </w:rPr>
      </w:pPr>
      <w:r>
        <w:rPr>
          <w:i/>
          <w:noProof/>
        </w:rPr>
        <w:t>Pooling and leveraging resources</w:t>
      </w:r>
    </w:p>
    <w:p>
      <w:pPr>
        <w:rPr>
          <w:noProof/>
        </w:rPr>
      </w:pPr>
      <w:r>
        <w:rPr>
          <w:noProof/>
        </w:rPr>
        <w:t xml:space="preserve">Respondents were asked to assess the relevance of different actors in pooling and leveraging resources (such as financial, infrastructure, in-kind expertise) through coordination, alignment or integration to meet Partnership objectives. The role of industry is considered as very relevant, as 104 respondents out of 154 (68%) indicated that their involvement is very relevant for the above-listed purpose. The involvement of foundations, NGOs and other stakeholders is seen as less important (respectively 25 respondents or 18% indicated the role of foundations/NGOs, and 20 respondents or 15% indicated the role of other stakeholders as very relevant). </w:t>
      </w:r>
    </w:p>
    <w:p>
      <w:pPr>
        <w:rPr>
          <w:noProof/>
        </w:rPr>
      </w:pPr>
      <w:r>
        <w:rPr>
          <w:noProof/>
        </w:rPr>
        <w:t>A slight statistical difference was found between the views of citizens and other respondents. Citizens found the relevance of academia in pooling and leveraging resources through coordination, alignment or integration slightly less relevant. Similarly, respondents that are/were involved in a current/preceding partnership indicate a slightly higher relevance of industry.</w:t>
      </w:r>
    </w:p>
    <w:p>
      <w:pPr>
        <w:pStyle w:val="ListParagraph"/>
        <w:numPr>
          <w:ilvl w:val="0"/>
          <w:numId w:val="54"/>
        </w:numPr>
        <w:rPr>
          <w:i/>
          <w:noProof/>
        </w:rPr>
      </w:pPr>
      <w:r>
        <w:rPr>
          <w:i/>
          <w:noProof/>
        </w:rPr>
        <w:t>The partnership composition</w:t>
      </w:r>
    </w:p>
    <w:p>
      <w:pPr>
        <w:rPr>
          <w:noProof/>
        </w:rPr>
      </w:pPr>
      <w:r>
        <w:rPr>
          <w:noProof/>
        </w:rPr>
        <w:t xml:space="preserve">Respondents were asked about the relevance of certain elements of the Partnership composition, such as flexibility in the composition of partners over time and involvement of a broad range of partners (including across disciplines and sectors), to reach objectives of the KDT Partnership. </w:t>
      </w:r>
    </w:p>
    <w:p>
      <w:pPr>
        <w:rPr>
          <w:noProof/>
        </w:rPr>
      </w:pPr>
      <w:r>
        <w:rPr>
          <w:noProof/>
        </w:rPr>
        <w:t>A high share of respondents (117 or 77%) view that flexibility in composition of partners over time is relevant by giving a score of 4 and 5 on the indicated scale. The large majority of respondents (125 or 82%) also indicated that ensuring involvement of a broad range of partners is relevant to ensure that proposed European Partnership would meet its objectives.</w:t>
      </w:r>
    </w:p>
    <w:p>
      <w:pPr>
        <w:pStyle w:val="ListParagraph"/>
        <w:numPr>
          <w:ilvl w:val="0"/>
          <w:numId w:val="54"/>
        </w:numPr>
        <w:rPr>
          <w:i/>
          <w:noProof/>
        </w:rPr>
      </w:pPr>
      <w:r>
        <w:rPr>
          <w:i/>
          <w:noProof/>
        </w:rPr>
        <w:t>Implementation of activities</w:t>
      </w:r>
    </w:p>
    <w:p>
      <w:pPr>
        <w:rPr>
          <w:noProof/>
        </w:rPr>
      </w:pPr>
      <w:r>
        <w:rPr>
          <w:noProof/>
        </w:rPr>
        <w:t>Respondents were asked to provide opinions on the relevance of implementation of several activities for meeting objectives of the Partnership. According to the analysis, a high number of respondents view that joint R&amp;I programme, collaborative R&amp;I projects, deployment and piloting of activities, as well as, co-creation of solutions with end-users is very relevant for meeting the objectives. Over 85% of respondents assessed listed activities as relevant or very relevant, giving a score of 4 and 5 on the indicated scale. In comparison, only 37 respondent out 152 (24.34%) consider that the input to regulatory aspects is very relevant for meeting objectives of the KDT Partnership.</w:t>
      </w:r>
    </w:p>
    <w:p>
      <w:pPr>
        <w:ind w:left="720"/>
        <w:rPr>
          <w:b/>
          <w:i/>
          <w:noProof/>
        </w:rPr>
      </w:pPr>
      <w:r>
        <w:rPr>
          <w:b/>
          <w:i/>
          <w:noProof/>
        </w:rPr>
        <w:t>Relevance of setting-up a specific legal structure (funding body) for the candidate European Partnership to meet objectives</w:t>
      </w:r>
    </w:p>
    <w:p>
      <w:pPr>
        <w:rPr>
          <w:noProof/>
        </w:rPr>
      </w:pPr>
      <w:r>
        <w:rPr>
          <w:noProof/>
        </w:rPr>
        <w:t>Respondents were asked to assess the relevance of a specific legal structure (funding body) for the candidate European Partnership to achieve several objectives. According to the feedback, a large number of respondents suggested that setting-up a specific legal structure would be very relevant to implement activities more effectively (70 respondents or 46%), to implement activities faster to respond to sudden market or policy needs (62 respondents or 42%), to facilitate synergies with other EU and national programmes (62 respondents or 41%) and to facilitate collaboration with other relevant European Partnerships (60 respondents or 41%). On the other hand, a lower number of respondents (24 or 16%) indicated that the legal structure would be very relevant to ensure better links to regulators. Respondents that are/were involved in a current/preceding partnership indicate a slightly higher relevance of setting up a specific legal structure to facilitate collaboration with other relevant European Partnerships.</w:t>
      </w:r>
    </w:p>
    <w:p>
      <w:pPr>
        <w:ind w:left="720"/>
        <w:rPr>
          <w:b/>
          <w:i/>
          <w:noProof/>
        </w:rPr>
      </w:pPr>
      <w:r>
        <w:rPr>
          <w:b/>
          <w:i/>
          <w:noProof/>
        </w:rPr>
        <w:t>Scope and coverage proposed for candidate institutionalised European Partnership</w:t>
      </w:r>
    </w:p>
    <w:p>
      <w:pPr>
        <w:rPr>
          <w:noProof/>
        </w:rPr>
      </w:pPr>
      <w:r>
        <w:rPr>
          <w:noProof/>
        </w:rPr>
        <w:t>Respondents were asked to assess the scope and coverage proposed for the Key Digital Technology Partnership, based on its inception impact assessment. Overall, the majority of respondents consider that the scope and coverage are right in terms of technologies, research areas, geographical coverage, types of partners, range of activities and sectors. However, a significantly smaller number of respondents consider it too narrow for the research areas (22 respondents or 15%) and type of partners covered (20 respondents or 14%).</w:t>
      </w:r>
    </w:p>
    <w:p>
      <w:pPr>
        <w:ind w:firstLine="720"/>
        <w:rPr>
          <w:b/>
          <w:i/>
          <w:noProof/>
        </w:rPr>
      </w:pPr>
      <w:r>
        <w:rPr>
          <w:b/>
          <w:i/>
          <w:noProof/>
        </w:rPr>
        <w:t>Alignment of the European Partnership with other initiatives</w:t>
      </w:r>
    </w:p>
    <w:p>
      <w:pPr>
        <w:rPr>
          <w:noProof/>
        </w:rPr>
      </w:pPr>
      <w:r>
        <w:rPr>
          <w:noProof/>
        </w:rPr>
        <w:t xml:space="preserve">The majority of respondents (100 or 76%) consider that it would be possible to rationalise the candidate European Institutionalised Partnership and its activities, and/or to better link it with other comparable initiatives. </w:t>
      </w:r>
    </w:p>
    <w:p>
      <w:pPr>
        <w:ind w:firstLine="720"/>
        <w:rPr>
          <w:b/>
          <w:i/>
          <w:noProof/>
        </w:rPr>
      </w:pPr>
      <w:r>
        <w:rPr>
          <w:b/>
          <w:i/>
          <w:noProof/>
        </w:rPr>
        <w:t>Relevance of the Candidate European Partnership to deliver impacts</w:t>
      </w:r>
    </w:p>
    <w:p>
      <w:pPr>
        <w:rPr>
          <w:noProof/>
        </w:rPr>
      </w:pPr>
      <w:r>
        <w:rPr>
          <w:noProof/>
        </w:rPr>
        <w:t xml:space="preserve">Respondents were asked to assess the relevance of the candidate European Institutionalised Partnership to deliver on listed societal, economic/technological and scientific impacts. </w:t>
      </w:r>
    </w:p>
    <w:p>
      <w:pPr>
        <w:rPr>
          <w:noProof/>
        </w:rPr>
      </w:pPr>
      <w:r>
        <w:rPr>
          <w:noProof/>
        </w:rPr>
        <w:t>The majority of respondents indicated that the Partnership would be ‘very relevant’ to deliver on the following societal impacts: provision of trusted electronics components and systems to the public and businesses (86 respondents or 55.84%), enabled safety - automotive, avionics, and security - transactions, communications (94 respondents or 61.44%). On the other hand, contribution to more functional, efficient, economical and accessible electronics systems was by a smaller number of respondents indicated as ‘very relevant’ (70 respondents or 46.05%).</w:t>
      </w:r>
    </w:p>
    <w:p>
      <w:pPr>
        <w:rPr>
          <w:noProof/>
        </w:rPr>
      </w:pPr>
      <w:r>
        <w:rPr>
          <w:noProof/>
        </w:rPr>
        <w:t>Among economic/technological impacts that were suggested, a large number of respondents indicated that the Partnership would be ‘very relevant’ for more innovative, sustainable and globally competitive electronics and systems industries – including SMEs (95 respondents or 61.89%), and for the development and exploitation of innovative technology paradigms (80 respondents or 53.33%).</w:t>
      </w:r>
    </w:p>
    <w:p>
      <w:pPr>
        <w:rPr>
          <w:noProof/>
        </w:rPr>
      </w:pPr>
      <w:r>
        <w:rPr>
          <w:noProof/>
        </w:rPr>
        <w:t xml:space="preserve">A large number of respondents, namely 102 out of 153 (66.66%), indicated that the Partnership would be ‘very relevant’ for the mentioned scientific impact: new scientific knowledge and reinforcement of EU research and innovative capabilities in Key Digital Technologies. </w:t>
      </w:r>
    </w:p>
    <w:p>
      <w:pPr>
        <w:ind w:firstLine="720"/>
        <w:rPr>
          <w:b/>
          <w:noProof/>
        </w:rPr>
      </w:pPr>
      <w:r>
        <w:rPr>
          <w:b/>
          <w:noProof/>
        </w:rPr>
        <w:t>Summary of open question responses by non-campaign respondents</w:t>
      </w:r>
    </w:p>
    <w:p>
      <w:pPr>
        <w:rPr>
          <w:noProof/>
        </w:rPr>
      </w:pPr>
      <w:r>
        <w:rPr>
          <w:noProof/>
        </w:rPr>
        <w:t>To complement and personalise further the answers to the multiple-choice questions in the Open Public Consultation, respondents were given the opportunity to provide feedback in an open-type format. The main consequent messages were:</w:t>
      </w:r>
    </w:p>
    <w:p>
      <w:pPr>
        <w:rPr>
          <w:noProof/>
        </w:rPr>
      </w:pPr>
      <w:r>
        <w:rPr>
          <w:noProof/>
        </w:rPr>
        <w:t>In general, a future European Institutionalised partnership was the clear choice to bring together the critical mass of public and private resources needed to ensure Europe’s competitiveness, sovereignty and autonomy in the strategic domain of KDT and act on the basis of an industry-driven, truly pan-European common strategy, especially in light of the success of the current ECSEL Joint Undertaking.</w:t>
      </w:r>
    </w:p>
    <w:p>
      <w:pPr>
        <w:rPr>
          <w:noProof/>
        </w:rPr>
      </w:pPr>
      <w:r>
        <w:rPr>
          <w:noProof/>
        </w:rPr>
        <w:t>Some respondents preferred the options of a co-funded or co-programed partnership, due to the low complexity level, as this would lead to higher success rates due to the dedicated work amongst partners that have collaborated in the past, whilst also providing a relational flexibility among eligible stakeholders to participate in a European project. With a view to SME access in such programs, playing a key part in the innovation development, it is the opinion that co-fund or co-programmed has proven to be successful in attracting interest towards open innovation.</w:t>
      </w:r>
    </w:p>
    <w:p>
      <w:pPr>
        <w:rPr>
          <w:noProof/>
        </w:rPr>
      </w:pPr>
      <w:r>
        <w:rPr>
          <w:noProof/>
        </w:rPr>
        <w:t>For others, traditional calls were the preferred option, due to their familiarity. It is the opinion that the introduction of new rules, model agreements, procedures etc. would put participants in another learning curve. From the long line of framework programmes, they have shown that they offer simplicity, functionality and high potential of collaboration and results.</w:t>
      </w:r>
    </w:p>
    <w:p>
      <w:pPr>
        <w:rPr>
          <w:noProof/>
        </w:rPr>
      </w:pPr>
      <w:r>
        <w:rPr>
          <w:noProof/>
        </w:rPr>
        <w:t>Respondents also noted that, experience from the current partnership in this domain has illustrated a further need to extend R&amp;I efforts to related aspects of technologies. Some respondents also noted that cybersecurity, should be part of the future partnership on key digital technologies. Addressing lower technology readiness levels, would also provide the ability to innovate and address the unprecedented complexity of future digital technologies, requiring dedicated research efforts and collaboration across multiple industrial and academic domains.</w:t>
      </w:r>
    </w:p>
    <w:p>
      <w:pPr>
        <w:rPr>
          <w:noProof/>
        </w:rPr>
      </w:pPr>
      <w:r>
        <w:rPr>
          <w:noProof/>
        </w:rPr>
        <w:t xml:space="preserve">Finally, as the majority of respondents agreed on the technological scope of the KDT partnership, it was also highlighted that these technologies and applications would act as main drivers in the digital transformation of the European economy and society. </w:t>
      </w:r>
    </w:p>
    <w:p>
      <w:pPr>
        <w:ind w:firstLine="720"/>
        <w:rPr>
          <w:b/>
          <w:noProof/>
        </w:rPr>
      </w:pPr>
      <w:r>
        <w:rPr>
          <w:b/>
          <w:noProof/>
        </w:rPr>
        <w:t>Summary of campaign responses</w:t>
      </w:r>
    </w:p>
    <w:p>
      <w:pPr>
        <w:rPr>
          <w:noProof/>
        </w:rPr>
      </w:pPr>
      <w:r>
        <w:rPr>
          <w:noProof/>
        </w:rPr>
        <w:t>Further to this, a single campaign (campaign #10 – 20 respondents) was identified for the current candidate Partnership. The participants of the campaign were strongly in favour of an institutionalised partnership.</w:t>
      </w:r>
    </w:p>
    <w:p>
      <w:pPr>
        <w:rPr>
          <w:b/>
          <w:noProof/>
        </w:rPr>
      </w:pPr>
      <w:r>
        <w:rPr>
          <w:noProof/>
        </w:rPr>
        <w:t>An overview of the campaign responses can be seen in table 1.</w:t>
      </w:r>
    </w:p>
    <w:p>
      <w:pPr>
        <w:keepNext/>
        <w:spacing w:before="120"/>
        <w:rPr>
          <w:b/>
          <w:i/>
          <w:noProof/>
          <w:szCs w:val="24"/>
        </w:rPr>
      </w:pPr>
      <w:r>
        <w:rPr>
          <w:b/>
          <w:i/>
          <w:noProof/>
          <w:szCs w:val="24"/>
        </w:rPr>
        <w:t>Table 1: Overview of responses of campaign participants</w:t>
      </w:r>
    </w:p>
    <w:tbl>
      <w:tblPr>
        <w:tblStyle w:val="ECRTDIPIA"/>
        <w:tblW w:w="0" w:type="auto"/>
        <w:tblLook w:val="04A0" w:firstRow="1" w:lastRow="0" w:firstColumn="1" w:lastColumn="0" w:noHBand="0" w:noVBand="1"/>
      </w:tblPr>
      <w:tblGrid>
        <w:gridCol w:w="3544"/>
        <w:gridCol w:w="4961"/>
      </w:tblGrid>
      <w:tr>
        <w:trPr>
          <w:cnfStyle w:val="100000000000" w:firstRow="1" w:lastRow="0" w:firstColumn="0" w:lastColumn="0" w:oddVBand="0" w:evenVBand="0" w:oddHBand="0" w:evenHBand="0" w:firstRowFirstColumn="0" w:firstRowLastColumn="0" w:lastRowFirstColumn="0" w:lastRowLastColumn="0"/>
        </w:trPr>
        <w:tc>
          <w:tcPr>
            <w:tcW w:w="3484" w:type="dxa"/>
            <w:vAlign w:val="center"/>
          </w:tcPr>
          <w:p>
            <w:pPr>
              <w:spacing w:before="60" w:after="60"/>
              <w:rPr>
                <w:rFonts w:ascii="Calibri" w:eastAsia="Calibri" w:hAnsi="Calibri"/>
                <w:noProof/>
                <w:sz w:val="16"/>
              </w:rPr>
            </w:pPr>
            <w:r>
              <w:rPr>
                <w:rFonts w:ascii="Calibri" w:eastAsia="Calibri" w:hAnsi="Calibri"/>
                <w:noProof/>
                <w:sz w:val="16"/>
              </w:rPr>
              <w:t>Question category</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Summary of responses</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Research and innovation problems</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All categories are considered mostly ‘very relevant’ (score 5).</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Structural and resource problems</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The categories “Limited availability of testbeds for novel computing components and systems” and “Sky-rocketing costs of equipment” are considered ‘relevant’ (score 4) and ‘very relevant’ (score 5). In contrast, “Limited collaboration and pooling of resources between Member States, European Commission, Industry and Research organisations (Universities, RTOs)” received an average score.</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 xml:space="preserve">Problems in uptake of digital innovations </w:t>
            </w:r>
          </w:p>
          <w:p>
            <w:pPr>
              <w:spacing w:before="60" w:after="60"/>
              <w:rPr>
                <w:rFonts w:ascii="Calibri" w:eastAsia="Calibri" w:hAnsi="Calibri"/>
                <w:noProof/>
                <w:sz w:val="16"/>
              </w:rPr>
            </w:pPr>
          </w:p>
        </w:tc>
        <w:tc>
          <w:tcPr>
            <w:tcW w:w="4901" w:type="dxa"/>
            <w:vAlign w:val="center"/>
          </w:tcPr>
          <w:p>
            <w:pPr>
              <w:spacing w:before="60" w:after="60"/>
              <w:rPr>
                <w:rFonts w:ascii="Calibri" w:eastAsia="Calibri" w:hAnsi="Calibri"/>
                <w:noProof/>
                <w:sz w:val="16"/>
              </w:rPr>
            </w:pPr>
            <w:r>
              <w:rPr>
                <w:rFonts w:ascii="Calibri" w:eastAsia="Calibri" w:hAnsi="Calibri"/>
                <w:noProof/>
                <w:sz w:val="16"/>
              </w:rPr>
              <w:t>The category “Insufficient market size or inappropriate business models” is considered ‘relevant’, while other categories in this group of questions received a low score (namely, 2 and 3).</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Preferred Horizon Europe intervention</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Institutionalised Partnership was selected by all respondents.</w:t>
            </w:r>
          </w:p>
          <w:p>
            <w:pPr>
              <w:spacing w:before="60" w:after="60"/>
              <w:rPr>
                <w:rFonts w:ascii="Calibri" w:eastAsia="Calibri" w:hAnsi="Calibri"/>
                <w:noProof/>
                <w:sz w:val="16"/>
              </w:rPr>
            </w:pPr>
            <w:r>
              <w:rPr>
                <w:rFonts w:ascii="Calibri" w:eastAsia="Calibri" w:hAnsi="Calibri"/>
                <w:noProof/>
                <w:sz w:val="16"/>
              </w:rPr>
              <w:t xml:space="preserve">When respondents were asked to explain their choice, all of them used the following quote: </w:t>
            </w:r>
            <w:r>
              <w:rPr>
                <w:rFonts w:ascii="Calibri" w:eastAsia="Calibri" w:hAnsi="Calibri"/>
                <w:i/>
                <w:iCs/>
                <w:noProof/>
                <w:sz w:val="16"/>
              </w:rPr>
              <w:t>“Only an institutionalised European Partnership based on Article 187 TFEU will bring together the critical mass of public and private resources needed to ensure Europe’s competitiveness, sovereignty and autonomy in the strategic domain of KDT and act on the basis of an industry-driven, truly pan-European common strategy. A JU will create a long-term dedicated implementing structure representing the deepest level of integration, engagement and up-front commitment from public and private partners”.</w:t>
            </w:r>
            <w:r>
              <w:rPr>
                <w:rFonts w:ascii="Calibri" w:eastAsia="Calibri" w:hAnsi="Calibri"/>
                <w:noProof/>
                <w:sz w:val="16"/>
              </w:rPr>
              <w:t xml:space="preserve"> </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 xml:space="preserve">Relevance of actors for setting join long-term agenda </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Involvement of Member States and Associated Countries, Industry and Academic is considered ‘very relevant’ by all respondents, while other categories received a low score (namely, 2 or 3).</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Relevance of actors for pooling and leveraging resources</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Involvement of Member States and Associated Countries, Industry and Academic is considered ‘very relevant’ by almost all respondents, while other categories received a low score (namely, 2 or 3).</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Partnership composition</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Mostly low score (on average, 3) on both answer categories (“Flexibility in the composition of partners over time” and “Involvement of a broad range of partners, including across disciplines and sectors”).</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Implementation of activities</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Joint R&amp;I programme, collaboration R&amp;D projects and deployment, piloting activities, and co-creation of solutions with end-users are considered ‘very relevant’ and ‘relevant’ by most respondents. In contrast, “input to regulatory aspects” received a low score.</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Relevance of the legal structure</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Most answer categories received a high score with exception of “ensure better links to regulators”, “ensure better links to practitioners on the ground” and “ensure harmonisation of standards and approaches”.</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Scope and coverage of the candidate Partnership</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Almost all respondents considered that listed components of the candidate Partnership have right scope and coverage.</w:t>
            </w:r>
          </w:p>
          <w:p>
            <w:pPr>
              <w:spacing w:before="60" w:after="60"/>
              <w:rPr>
                <w:rFonts w:ascii="Calibri" w:eastAsia="Calibri" w:hAnsi="Calibri"/>
                <w:noProof/>
                <w:sz w:val="16"/>
              </w:rPr>
            </w:pPr>
            <w:r>
              <w:rPr>
                <w:rFonts w:ascii="Calibri" w:eastAsia="Calibri" w:hAnsi="Calibri"/>
                <w:noProof/>
                <w:sz w:val="16"/>
              </w:rPr>
              <w:t xml:space="preserve">Respondents were offered an opportunity to provide comments on the proposed scope and coverage of the Institutionalised Partnership. Several of them included the following quote: </w:t>
            </w:r>
            <w:r>
              <w:rPr>
                <w:rFonts w:ascii="Calibri" w:eastAsia="Calibri" w:hAnsi="Calibri"/>
                <w:i/>
                <w:iCs/>
                <w:noProof/>
                <w:sz w:val="16"/>
              </w:rPr>
              <w:t>“Experience from ECSEL has illustrated a need to extend R&amp;I efforts to related aspects of photonics and software, advanced computing technologies (such as neuromorphic computing and edge computing), biosensors and flexible electronics, all of which are featuring increasingly in the digital transformation of the economy and society and now need to be co-integrated to build complex systems and open up new avenues of application”.</w:t>
            </w:r>
          </w:p>
        </w:tc>
      </w:tr>
      <w:tr>
        <w:tc>
          <w:tcPr>
            <w:tcW w:w="3484" w:type="dxa"/>
            <w:vAlign w:val="center"/>
          </w:tcPr>
          <w:p>
            <w:pPr>
              <w:spacing w:before="60" w:after="60"/>
              <w:rPr>
                <w:rFonts w:ascii="Calibri" w:eastAsia="Calibri" w:hAnsi="Calibri"/>
                <w:noProof/>
                <w:sz w:val="16"/>
              </w:rPr>
            </w:pPr>
            <w:r>
              <w:rPr>
                <w:rFonts w:ascii="Calibri" w:eastAsia="Calibri" w:hAnsi="Calibri"/>
                <w:noProof/>
                <w:sz w:val="16"/>
              </w:rPr>
              <w:t>Rationalisation of the candidate Partnership and linking to other initiatives</w:t>
            </w:r>
          </w:p>
        </w:tc>
        <w:tc>
          <w:tcPr>
            <w:tcW w:w="4901" w:type="dxa"/>
            <w:vAlign w:val="center"/>
          </w:tcPr>
          <w:p>
            <w:pPr>
              <w:spacing w:before="60" w:after="60"/>
              <w:rPr>
                <w:rFonts w:ascii="Calibri" w:eastAsia="Calibri" w:hAnsi="Calibri"/>
                <w:noProof/>
                <w:sz w:val="16"/>
              </w:rPr>
            </w:pPr>
            <w:r>
              <w:rPr>
                <w:rFonts w:ascii="Calibri" w:eastAsia="Calibri" w:hAnsi="Calibri"/>
                <w:noProof/>
                <w:sz w:val="16"/>
              </w:rPr>
              <w:t>Respondents consider that it would not be possible to rationalise the candidate Partnership and its activities, and/or to better link it with other comparable initiatives.</w:t>
            </w:r>
          </w:p>
          <w:p>
            <w:pPr>
              <w:spacing w:before="60" w:after="60"/>
              <w:rPr>
                <w:rFonts w:ascii="Calibri" w:eastAsia="Calibri" w:hAnsi="Calibri"/>
                <w:noProof/>
                <w:sz w:val="16"/>
              </w:rPr>
            </w:pPr>
            <w:r>
              <w:rPr>
                <w:rFonts w:ascii="Calibri" w:eastAsia="Calibri" w:hAnsi="Calibri"/>
                <w:noProof/>
                <w:sz w:val="16"/>
              </w:rPr>
              <w:t xml:space="preserve">Respondents were asked to explain their answer, most of them inserted a following quote: </w:t>
            </w:r>
            <w:r>
              <w:rPr>
                <w:rFonts w:ascii="Calibri" w:eastAsia="Calibri" w:hAnsi="Calibri"/>
                <w:i/>
                <w:iCs/>
                <w:noProof/>
                <w:sz w:val="16"/>
              </w:rPr>
              <w:t>“The technologies of the KDT partnership and their applications will be key in addressing multiple global challenges such as transport &amp; smart mobility, health &amp; wellbeing, energy, digital industry and digital life, as well as driving the digital transformation of multiple sectors of Europe’s economy and society. Whereas the KDT partnership will collaborate closely with comparable initiatives focusing on one specific challenge or sector, it cannot be linked or merged with only one of them”.</w:t>
            </w:r>
          </w:p>
        </w:tc>
      </w:tr>
      <w:tr>
        <w:tc>
          <w:tcPr>
            <w:tcW w:w="3484" w:type="dxa"/>
          </w:tcPr>
          <w:p>
            <w:pPr>
              <w:spacing w:before="60" w:after="60"/>
              <w:rPr>
                <w:rFonts w:ascii="Calibri" w:eastAsia="Calibri" w:hAnsi="Calibri"/>
                <w:noProof/>
                <w:sz w:val="16"/>
              </w:rPr>
            </w:pPr>
            <w:r>
              <w:rPr>
                <w:rFonts w:ascii="Calibri" w:eastAsia="Calibri" w:hAnsi="Calibri"/>
                <w:noProof/>
                <w:sz w:val="16"/>
              </w:rPr>
              <w:t>Societal impact</w:t>
            </w:r>
          </w:p>
        </w:tc>
        <w:tc>
          <w:tcPr>
            <w:tcW w:w="4901" w:type="dxa"/>
          </w:tcPr>
          <w:p>
            <w:pPr>
              <w:spacing w:before="60" w:after="60"/>
              <w:rPr>
                <w:rFonts w:ascii="Calibri" w:eastAsia="Calibri" w:hAnsi="Calibri"/>
                <w:noProof/>
                <w:sz w:val="16"/>
              </w:rPr>
            </w:pPr>
            <w:r>
              <w:rPr>
                <w:rFonts w:ascii="Calibri" w:eastAsia="Calibri" w:hAnsi="Calibri"/>
                <w:noProof/>
                <w:sz w:val="16"/>
              </w:rPr>
              <w:t>Almost all respondents considered that the candidate Partnership would be ‘very relevant’ to deliver on listed impacts.</w:t>
            </w:r>
          </w:p>
        </w:tc>
      </w:tr>
      <w:tr>
        <w:tc>
          <w:tcPr>
            <w:tcW w:w="3484" w:type="dxa"/>
          </w:tcPr>
          <w:p>
            <w:pPr>
              <w:spacing w:before="60" w:after="60"/>
              <w:rPr>
                <w:rFonts w:ascii="Calibri" w:eastAsia="Calibri" w:hAnsi="Calibri"/>
                <w:noProof/>
                <w:sz w:val="16"/>
              </w:rPr>
            </w:pPr>
            <w:r>
              <w:rPr>
                <w:rFonts w:ascii="Calibri" w:eastAsia="Calibri" w:hAnsi="Calibri"/>
                <w:noProof/>
                <w:sz w:val="16"/>
              </w:rPr>
              <w:t>Economic/technological impact</w:t>
            </w:r>
          </w:p>
        </w:tc>
        <w:tc>
          <w:tcPr>
            <w:tcW w:w="4901" w:type="dxa"/>
          </w:tcPr>
          <w:p>
            <w:pPr>
              <w:spacing w:before="60" w:after="60"/>
              <w:rPr>
                <w:rFonts w:ascii="Calibri" w:eastAsia="Calibri" w:hAnsi="Calibri"/>
                <w:noProof/>
                <w:sz w:val="16"/>
              </w:rPr>
            </w:pPr>
            <w:r>
              <w:rPr>
                <w:rFonts w:ascii="Calibri" w:eastAsia="Calibri" w:hAnsi="Calibri"/>
                <w:noProof/>
                <w:sz w:val="16"/>
              </w:rPr>
              <w:t>Almost all respondents considered that the candidate Partnership would be ‘very relevant’ to deliver on listed impacts.</w:t>
            </w:r>
          </w:p>
        </w:tc>
      </w:tr>
      <w:tr>
        <w:tc>
          <w:tcPr>
            <w:tcW w:w="3484" w:type="dxa"/>
          </w:tcPr>
          <w:p>
            <w:pPr>
              <w:spacing w:before="60" w:after="60"/>
              <w:rPr>
                <w:rFonts w:ascii="Calibri" w:eastAsia="Calibri" w:hAnsi="Calibri"/>
                <w:noProof/>
                <w:sz w:val="16"/>
              </w:rPr>
            </w:pPr>
            <w:r>
              <w:rPr>
                <w:rFonts w:ascii="Calibri" w:eastAsia="Calibri" w:hAnsi="Calibri"/>
                <w:noProof/>
                <w:sz w:val="16"/>
              </w:rPr>
              <w:t>Scientific impact</w:t>
            </w:r>
          </w:p>
        </w:tc>
        <w:tc>
          <w:tcPr>
            <w:tcW w:w="4901" w:type="dxa"/>
          </w:tcPr>
          <w:p>
            <w:pPr>
              <w:spacing w:before="60" w:after="60"/>
              <w:rPr>
                <w:rFonts w:ascii="Calibri" w:eastAsia="Calibri" w:hAnsi="Calibri"/>
                <w:noProof/>
                <w:sz w:val="16"/>
              </w:rPr>
            </w:pPr>
            <w:r>
              <w:rPr>
                <w:rFonts w:ascii="Calibri" w:eastAsia="Calibri" w:hAnsi="Calibri"/>
                <w:noProof/>
                <w:sz w:val="16"/>
              </w:rPr>
              <w:t>All respondents considered that the candidate Partnership would be ‘very relevant’ to deliver on listed impacts.</w:t>
            </w:r>
          </w:p>
        </w:tc>
      </w:tr>
    </w:tbl>
    <w:p>
      <w:pPr>
        <w:rPr>
          <w:noProof/>
        </w:rPr>
      </w:pPr>
    </w:p>
    <w:p>
      <w:pPr>
        <w:pStyle w:val="Heading3"/>
        <w:numPr>
          <w:ilvl w:val="2"/>
          <w:numId w:val="2"/>
        </w:numPr>
        <w:rPr>
          <w:noProof/>
          <w:lang w:val="en-IE"/>
        </w:rPr>
      </w:pPr>
      <w:bookmarkStart w:id="76" w:name="_Toc43908650"/>
      <w:r>
        <w:rPr>
          <w:noProof/>
          <w:lang w:val="en-IE"/>
        </w:rPr>
        <w:t>Interviews (IA Study)</w:t>
      </w:r>
      <w:bookmarkEnd w:id="76"/>
    </w:p>
    <w:p>
      <w:pPr>
        <w:rPr>
          <w:noProof/>
        </w:rPr>
      </w:pPr>
      <w:r>
        <w:rPr>
          <w:noProof/>
        </w:rPr>
        <w:t>As part of the stakeholder consultation efforts, the impact assessment study on the candidate partnership performed interviews with a carefully balanced sample of relevant stakeholders covering five different categories. In summary, 51 stakeholders have been interviewed in the framework of this partnership: around one third of interviews were conducted with large companies (31%), followed by industry associations (25%), RTOs and universities (14%), Member States (14%), SMEs (12%) and European Commission services (4%). Concerning geographical location, around half were from Western Europe (49%), followed by Eastern Europe (10%), Southern Europe (8%), the Nordics (4%) and international (6%). Finally, gender balance was at 76.5% male and 23.5% female.</w:t>
      </w:r>
    </w:p>
    <w:p>
      <w:pPr>
        <w:rPr>
          <w:noProof/>
        </w:rPr>
      </w:pPr>
      <w:r>
        <w:rPr>
          <w:noProof/>
        </w:rPr>
        <w:t>The interviews were required to cover, among others, research, development, supply and end-user organisations as well as representatives from the KDT value chain, from equipment, design and production to systems integration and end-product. The segments sought covered, for example, electronics, semiconductors, foundries, systems, software, application areas (automotive, MedTech, energy, manufacturing, etc.), engineering and photonics. To obtain information about the envisaged set up and measures, it was equally sought to carry out interviews with executive level and board members of the current JU, in addition to Member State representatives, to scope the opinions and interest.</w:t>
      </w:r>
    </w:p>
    <w:p>
      <w:pPr>
        <w:rPr>
          <w:noProof/>
        </w:rPr>
      </w:pPr>
      <w:r>
        <w:rPr>
          <w:noProof/>
        </w:rPr>
        <w:t>These interviews confirmed the strong need for a partnership in this domain, in line with the outcome of the open public consultation analysis. As it was apparent overall, the preferred option would be that of an Institutionalised Partnership (option 3), given its ability to ensure commitment of industry and MS around a strategic agenda, alignment with industry strategies, coordination of research agendas and mobilisation of funding. This appears to be linked to the existence of the current ECSEL JU, which was also successful in a form equivalent to an Institutionalised Partnership.</w:t>
      </w:r>
    </w:p>
    <w:p>
      <w:pPr>
        <w:rPr>
          <w:b/>
          <w:i/>
          <w:noProof/>
        </w:rPr>
      </w:pPr>
      <w:r>
        <w:rPr>
          <w:b/>
          <w:i/>
          <w:noProof/>
        </w:rPr>
        <w:t>Option 0 – Traditional Calls</w:t>
      </w:r>
    </w:p>
    <w:p>
      <w:pPr>
        <w:rPr>
          <w:noProof/>
        </w:rPr>
      </w:pPr>
      <w:r>
        <w:rPr>
          <w:noProof/>
        </w:rPr>
        <w:t>Interviewees mainly from MS, business organisations and RTOs supported the conclusion that traditional calls are effective in generating scientific impact and in targeting lower TRLs. However, it was also pointed out by MS and industry associations that traditional calls are less suited for aligning with the industrial demand/user side or in generating scientific impact in areas aligned with industry needs. Some interviewees also highlighted that calls are unlikely to mobilise a level of investment equivalent to other options, for example given the absence of national funding. In this context, the lack of formal mechanism of commitment and uncertainty concerning the level of financial contribution by industry was highlighted.</w:t>
      </w:r>
    </w:p>
    <w:p>
      <w:pPr>
        <w:rPr>
          <w:noProof/>
        </w:rPr>
      </w:pPr>
      <w:r>
        <w:rPr>
          <w:noProof/>
        </w:rPr>
        <w:t>According to interviewees, traditional calls have a relatively low capacity to ensure long-term commitment, leverage resources and to build upon results of previous projects, thereby restricting it from strengthening technological leadership and competitiveness of Europe’s KDT industry. This would require the alignment of strategies and coordination, something which traditional calls cannot deliver according to several interviewed organisations.</w:t>
      </w:r>
    </w:p>
    <w:p>
      <w:pPr>
        <w:rPr>
          <w:b/>
          <w:i/>
          <w:noProof/>
        </w:rPr>
      </w:pPr>
      <w:r>
        <w:rPr>
          <w:b/>
          <w:i/>
          <w:noProof/>
        </w:rPr>
        <w:t>Option 1 - Co-programmed partnership</w:t>
      </w:r>
    </w:p>
    <w:p>
      <w:pPr>
        <w:rPr>
          <w:noProof/>
        </w:rPr>
      </w:pPr>
      <w:r>
        <w:rPr>
          <w:noProof/>
        </w:rPr>
        <w:t>In general, the co-programmed partnership was found to allow for a high level of flexibility and agility in the organisation and involvement, while also having the capacity to facilitate commitment from both public and private partners as well as mobilise funding. In comparison to traditional calls, it was found to have a more aligned format to industry needs combined with a high level of flexibility and openness – both perceived to be conducive to achieving technological and industrial impact.</w:t>
      </w:r>
    </w:p>
    <w:p>
      <w:pPr>
        <w:rPr>
          <w:noProof/>
        </w:rPr>
      </w:pPr>
    </w:p>
    <w:p>
      <w:pPr>
        <w:rPr>
          <w:b/>
          <w:i/>
          <w:noProof/>
        </w:rPr>
      </w:pPr>
      <w:r>
        <w:rPr>
          <w:b/>
          <w:i/>
          <w:noProof/>
        </w:rPr>
        <w:t>Option 3 - Institutionalised Partnership</w:t>
      </w:r>
    </w:p>
    <w:p>
      <w:pPr>
        <w:rPr>
          <w:noProof/>
        </w:rPr>
      </w:pPr>
      <w:r>
        <w:rPr>
          <w:noProof/>
        </w:rPr>
        <w:t>Overall it was emphasised that an Institutionalised Partnership is mostly capable of addressing and building the KDT ecosystem and value chains, with a long term perspective on coordination and collaboration, supportive in addressing fragmentation and strengthening integration and cooperation in European value chains. Moreover, an Institutional Partnership is likely to contain a broad coverage of TRLs, thereby providing a broad coverage of the value chain. The tripartite nature and centralised structure of an Institutionalised Partnership offers a strong incentive for making synchronised funding decisions taking into account national and industry developments.</w:t>
      </w:r>
    </w:p>
    <w:p>
      <w:pPr>
        <w:rPr>
          <w:noProof/>
        </w:rPr>
      </w:pPr>
      <w:r>
        <w:rPr>
          <w:noProof/>
        </w:rPr>
        <w:t>Through this partnership option, the alignment with the EU policy is ensured by the participation of the EC in the management of the partnership, according to the interviewees. The calls are designed by the management of the partnership according to the work programme with the highest possible alignment with the industry’s strategy. The central coordination of the selection of the projects will result in a stronger and more coherent research portfolio. Therefore, the potential to achieve the required directionality is high. By comprising a centralised coordination and management, it is anticipated to provide a higher level of internal coherence.</w:t>
      </w:r>
    </w:p>
    <w:p>
      <w:pPr>
        <w:rPr>
          <w:noProof/>
        </w:rPr>
      </w:pPr>
      <w:r>
        <w:rPr>
          <w:noProof/>
        </w:rPr>
        <w:t>It was also mentioned that the Institutional Partnership has a long-term perspective on collaboration and accordingly more effective in strengthening the exchange of knowledge within the value networks, given that traditional calls limit participation in a single project with low possibilities for continuation of the collaboration in follow-up calls.</w:t>
      </w:r>
    </w:p>
    <w:p>
      <w:pPr>
        <w:rPr>
          <w:noProof/>
        </w:rPr>
      </w:pPr>
      <w:r>
        <w:rPr>
          <w:noProof/>
        </w:rPr>
        <w:t>Several interviewees highlighted that this partnership option has the highest relevance for achieving industrial impact and competitiveness and for developing strategic technologies; this viewpoint is based on that the option provides the strongest type of commitment, long-term stability and critical mass. It offers a better format for addressing alignment and ensuring coordination, relevant for agreeing on priorities of technological importance and for achieving technological sovereignty.</w:t>
      </w:r>
    </w:p>
    <w:p>
      <w:pPr>
        <w:rPr>
          <w:noProof/>
        </w:rPr>
      </w:pPr>
      <w:r>
        <w:rPr>
          <w:noProof/>
        </w:rPr>
        <w:t>An Institutionalised Partnership has a relatively high capacity to ensure coordination and alignment with other national and European policies in the field, as stated by interviewees, also indicating potential links in relation to key application areas, such as automotive, energy, health, manufacturing and mobility/transport, in need of KDT solutions.</w:t>
      </w:r>
    </w:p>
    <w:p>
      <w:pPr>
        <w:spacing w:after="0"/>
        <w:jc w:val="left"/>
        <w:rPr>
          <w:noProof/>
        </w:rPr>
      </w:pPr>
    </w:p>
    <w:p>
      <w:pPr>
        <w:spacing w:after="0"/>
        <w:jc w:val="left"/>
        <w:rPr>
          <w:noProof/>
          <w:szCs w:val="24"/>
          <w:lang w:eastAsia="zh-CN"/>
        </w:rPr>
      </w:pPr>
      <w:r>
        <w:rPr>
          <w:noProof/>
          <w:szCs w:val="24"/>
          <w:lang w:eastAsia="zh-CN"/>
        </w:rPr>
        <w:br w:type="page"/>
      </w:r>
    </w:p>
    <w:p>
      <w:pPr>
        <w:pStyle w:val="AnnexTitle"/>
        <w:ind w:left="2268" w:hanging="2268"/>
        <w:rPr>
          <w:noProof/>
        </w:rPr>
      </w:pPr>
      <w:bookmarkStart w:id="77" w:name="_Toc43908651"/>
      <w:r>
        <w:rPr>
          <w:noProof/>
        </w:rPr>
        <w:t>Annex 3</w:t>
      </w:r>
      <w:r>
        <w:rPr>
          <w:noProof/>
        </w:rPr>
        <w:tab/>
        <w:t>Who is affected and how?</w:t>
      </w:r>
      <w:bookmarkEnd w:id="77"/>
    </w:p>
    <w:p>
      <w:pPr>
        <w:pStyle w:val="Heading1"/>
        <w:numPr>
          <w:ilvl w:val="0"/>
          <w:numId w:val="64"/>
        </w:numPr>
        <w:rPr>
          <w:noProof/>
        </w:rPr>
      </w:pPr>
      <w:bookmarkStart w:id="78" w:name="_Toc481484491"/>
      <w:bookmarkStart w:id="79" w:name="_Toc33210230"/>
      <w:bookmarkStart w:id="80" w:name="_Toc43908652"/>
      <w:r>
        <w:rPr>
          <w:noProof/>
        </w:rPr>
        <w:t>Practical implications of the initiative</w:t>
      </w:r>
      <w:bookmarkEnd w:id="78"/>
      <w:bookmarkEnd w:id="79"/>
      <w:bookmarkEnd w:id="80"/>
    </w:p>
    <w:p>
      <w:pPr>
        <w:rPr>
          <w:noProof/>
        </w:rPr>
      </w:pPr>
      <w:r>
        <w:rPr>
          <w:noProof/>
        </w:rPr>
        <w:t>This annex describes the practical implications of the preferred option identified in the Impact Assessment: the establishment of an institutionalised partnership based on Article 187 to support and reinforce Europe’s industrial, technological and innovation capacities in Key Digital Technologies, for directly or indirectly affected stakeholder groups.</w:t>
      </w:r>
    </w:p>
    <w:p>
      <w:pPr>
        <w:pStyle w:val="Heading1"/>
        <w:numPr>
          <w:ilvl w:val="0"/>
          <w:numId w:val="64"/>
        </w:numPr>
        <w:rPr>
          <w:noProof/>
        </w:rPr>
      </w:pPr>
      <w:bookmarkStart w:id="81" w:name="_Toc481484492"/>
      <w:bookmarkStart w:id="82" w:name="_Toc33210231"/>
      <w:bookmarkStart w:id="83" w:name="_Toc43908653"/>
      <w:r>
        <w:rPr>
          <w:noProof/>
        </w:rPr>
        <w:t>Summary of costs and benefits</w:t>
      </w:r>
      <w:bookmarkEnd w:id="81"/>
      <w:bookmarkEnd w:id="82"/>
      <w:bookmarkEnd w:id="83"/>
    </w:p>
    <w:p>
      <w:pPr>
        <w:rPr>
          <w:b/>
          <w:noProof/>
        </w:rPr>
      </w:pPr>
      <w:r>
        <w:rPr>
          <w:b/>
          <w:noProof/>
        </w:rPr>
        <w:t xml:space="preserve">Overview of benefits (for all stakeholder groups) </w:t>
      </w:r>
    </w:p>
    <w:p>
      <w:pPr>
        <w:spacing w:after="120"/>
        <w:rPr>
          <w:b/>
          <w:noProof/>
          <w:u w:val="single"/>
        </w:rPr>
      </w:pPr>
      <w:r>
        <w:rPr>
          <w:b/>
          <w:noProof/>
          <w:u w:val="single"/>
        </w:rPr>
        <w:t>Member States</w:t>
      </w:r>
    </w:p>
    <w:p>
      <w:pPr>
        <w:spacing w:after="120"/>
        <w:rPr>
          <w:noProof/>
        </w:rPr>
      </w:pPr>
      <w:r>
        <w:rPr>
          <w:noProof/>
        </w:rPr>
        <w:t xml:space="preserve">The preferred option will provide the means to build up research, innovation and production capabilities in Key Digital Technologies, where no single Member State would have the industrial or economic potential to achieve similar results on its own. </w:t>
      </w:r>
    </w:p>
    <w:p>
      <w:pPr>
        <w:spacing w:after="120"/>
        <w:rPr>
          <w:noProof/>
        </w:rPr>
      </w:pPr>
      <w:r>
        <w:rPr>
          <w:noProof/>
        </w:rPr>
        <w:t>The institutionalised partnership will not only enhance the investments at European level, but also make their returns proportionally higher, as the access to upgraded facilities starts to bear fruit. Additionally, funding through the partnership will stimulate MS support to KDT industry through appropriated instrument(s) such as IPCEI.</w:t>
      </w:r>
    </w:p>
    <w:p>
      <w:pPr>
        <w:spacing w:after="120"/>
        <w:rPr>
          <w:noProof/>
        </w:rPr>
      </w:pPr>
      <w:r>
        <w:rPr>
          <w:noProof/>
        </w:rPr>
        <w:t>The initiative will allow Member States to anticipate requirements early enough in order to facilitate the deployment of key digital technologies at national and European levels. An effective tri-partite model will provide for greater synergies between the Member States, the Commission and the private sector and enable implementing a clear strategy for the sector at European level and merging expertise and resources to develop the necessary means and infrastructures, what would otherwise bear the cost or require effort, exceeding capacity of a single Member State.</w:t>
      </w:r>
    </w:p>
    <w:p>
      <w:pPr>
        <w:spacing w:after="120"/>
        <w:rPr>
          <w:noProof/>
        </w:rPr>
      </w:pPr>
      <w:r>
        <w:rPr>
          <w:noProof/>
        </w:rPr>
        <w:t>The increased coherence and synergies between different funding mechanisms (Horizon Europe, Digital Europe Program, PENTA</w:t>
      </w:r>
      <w:r>
        <w:rPr>
          <w:rStyle w:val="FootnoteReference"/>
          <w:noProof/>
        </w:rPr>
        <w:footnoteReference w:id="10"/>
      </w:r>
      <w:r>
        <w:rPr>
          <w:noProof/>
        </w:rPr>
        <w:t xml:space="preserve"> and IPCEI) would also have a positive impact on the efficiency of the EU budget to which Member States contribute, with an evident reduction of the fragmentation of research effort.</w:t>
      </w:r>
    </w:p>
    <w:p>
      <w:pPr>
        <w:spacing w:after="120"/>
        <w:rPr>
          <w:noProof/>
        </w:rPr>
      </w:pPr>
    </w:p>
    <w:p>
      <w:pPr>
        <w:spacing w:after="120"/>
        <w:rPr>
          <w:b/>
          <w:noProof/>
          <w:u w:val="single"/>
        </w:rPr>
      </w:pPr>
      <w:r>
        <w:rPr>
          <w:b/>
          <w:noProof/>
          <w:u w:val="single"/>
        </w:rPr>
        <w:t>Businesses</w:t>
      </w:r>
    </w:p>
    <w:p>
      <w:pPr>
        <w:spacing w:after="120"/>
        <w:rPr>
          <w:noProof/>
        </w:rPr>
      </w:pPr>
      <w:r>
        <w:rPr>
          <w:noProof/>
        </w:rPr>
        <w:t>European companies at large, both from the demand and supply side of nanoelectronics, embedded intelligent systems, smart system integration, semiconductor manufacturing, photonics and integrated software will be among the most affected stakeholder groups. Key companies from vertical application areas (transport and mobility, communications, manufacturing, health &amp; care, energy, to name a few) will complement this comprehensive demand-supply approach, which will cover the value chains in full. With such an ambition, cross-industry cooperation will combine hardware and software, design and manufacturing and provide a basis for collaborative work, whilst creating ecosystems along the relevant value and supply chains.</w:t>
      </w:r>
    </w:p>
    <w:p>
      <w:pPr>
        <w:spacing w:after="120"/>
        <w:rPr>
          <w:noProof/>
        </w:rPr>
      </w:pPr>
      <w:r>
        <w:rPr>
          <w:noProof/>
        </w:rPr>
        <w:t>Further to this, research efforts aiming directly at industrial needs will benefit from such a collaboration between research and industry, which will indirectly support the deployment of European leading-edge KDT products and solutions across the market.</w:t>
      </w:r>
    </w:p>
    <w:p>
      <w:pPr>
        <w:spacing w:after="120"/>
        <w:rPr>
          <w:noProof/>
        </w:rPr>
      </w:pPr>
    </w:p>
    <w:p>
      <w:pPr>
        <w:spacing w:after="120"/>
        <w:rPr>
          <w:b/>
          <w:noProof/>
          <w:u w:val="single"/>
        </w:rPr>
      </w:pPr>
      <w:r>
        <w:rPr>
          <w:b/>
          <w:noProof/>
          <w:u w:val="single"/>
        </w:rPr>
        <w:t>SMEs</w:t>
      </w:r>
    </w:p>
    <w:p>
      <w:pPr>
        <w:spacing w:after="120"/>
        <w:rPr>
          <w:noProof/>
        </w:rPr>
      </w:pPr>
      <w:r>
        <w:rPr>
          <w:noProof/>
        </w:rPr>
        <w:t>SMEs are the key players in emerging and less established key digital technologies. They will thus experience direct and indirect economic benefits from the initiative. The KDT partnership will open up opportunities to SMEs with a more tailored implementing structure, as research topics clearly become more market oriented. The cost of designing new products will decrease, since SMEs, which usually lack or look outside of their current market for the necessary infrastructure and resources, will gain easier access – through co-participation of large industrial actors - to a high-level scientific capacity, manufacturing equipment and materials. It is also expected that this initiative will open up new product and application markets for European SMEs active in the field of KDT, as novel computing paradigms (neuromorphic), AI and related software, support.</w:t>
      </w:r>
    </w:p>
    <w:p>
      <w:pPr>
        <w:spacing w:after="120"/>
        <w:rPr>
          <w:noProof/>
        </w:rPr>
      </w:pPr>
    </w:p>
    <w:p>
      <w:pPr>
        <w:spacing w:after="120"/>
        <w:rPr>
          <w:b/>
          <w:noProof/>
          <w:u w:val="single"/>
        </w:rPr>
      </w:pPr>
      <w:r>
        <w:rPr>
          <w:b/>
          <w:noProof/>
          <w:u w:val="single"/>
        </w:rPr>
        <w:t xml:space="preserve">Research community </w:t>
      </w:r>
    </w:p>
    <w:p>
      <w:pPr>
        <w:spacing w:after="120"/>
        <w:rPr>
          <w:noProof/>
        </w:rPr>
      </w:pPr>
      <w:r>
        <w:rPr>
          <w:noProof/>
        </w:rPr>
        <w:t>European research and development organisations, both on the supply and demand side, will benefit from improved coordination, pooling of resources and greater access to advanced methodologies and tools, such as pilot lines and platforms and testing and experimentation facilities, supported by the partnership. They will be able to attain the critical mass for longer-term projects of common strategic interest and perspective. Furthermore, the institutionalised partnership option will ensure coordination between research and industry, resulting in new technologies, devices and systems, and ensuring that a broad scope of innovations benefit from standardisation of underlying technologies, thus bringing down the costs of reaching the market. The tri-partite dimension will help the research community to accurately direct efforts towards concrete industrial needs, introducing applicable and marketable solutions that various industries and public authorities can easily take up. The research community would also experience cross-fertilisation amongst the various KDT stakeholder groups under the common overarching focus of several EU research programmes, as researchers learn about new avenues to pursue and developers learn about new possibilities for products. Creating the necessary conditions, via the partnership, to enhance every aspect of KDT research, will in turn give further visibility to the already globally leading EU excellence.</w:t>
      </w:r>
    </w:p>
    <w:p>
      <w:pPr>
        <w:spacing w:after="120"/>
        <w:rPr>
          <w:noProof/>
        </w:rPr>
      </w:pPr>
    </w:p>
    <w:p>
      <w:pPr>
        <w:spacing w:after="120"/>
        <w:rPr>
          <w:b/>
          <w:noProof/>
          <w:u w:val="single"/>
        </w:rPr>
      </w:pPr>
      <w:r>
        <w:rPr>
          <w:b/>
          <w:noProof/>
          <w:u w:val="single"/>
        </w:rPr>
        <w:t>Citizens</w:t>
      </w:r>
    </w:p>
    <w:p>
      <w:pPr>
        <w:spacing w:after="120"/>
        <w:rPr>
          <w:noProof/>
        </w:rPr>
      </w:pPr>
      <w:r>
        <w:rPr>
          <w:noProof/>
        </w:rPr>
        <w:t>Citizens will benefit from the institutionalised partnership as the new solutions and products are developed and delivered to make their lives safer and easier, such as safe autonomous vehicles, seamless and secure means of communication, as well as novel healthcare techniques and devices. Enhanced European expertise in KDT will also contribute to tackling societal problems, such as climate change or ageing society, as finding solutions for them will become easier with AI enabled computing derived from the combination of efficient, powerful and trusted electronics and advanced sensors.</w:t>
      </w:r>
    </w:p>
    <w:p>
      <w:pPr>
        <w:spacing w:after="120"/>
        <w:rPr>
          <w:noProof/>
        </w:rPr>
      </w:pPr>
      <w:r>
        <w:rPr>
          <w:noProof/>
        </w:rPr>
        <w:t>The technologies developed under the KDT partnership will improve energy efficiency, make use of renewable energy sources, and look at new (edge) computing paradigms for data processing. As downstream industries, through KDT, will progressively reduce the energy consumption of their products, develop technologies and applications of higher energy efficiency, and substitute existing with more environmentally friendly materials, the positive impact on the environment and sustainability will become more and more pronounced.</w:t>
      </w:r>
    </w:p>
    <w:p>
      <w:pPr>
        <w:spacing w:after="120"/>
        <w:rPr>
          <w:noProof/>
        </w:rPr>
      </w:pPr>
    </w:p>
    <w:p>
      <w:pPr>
        <w:spacing w:after="120"/>
        <w:rPr>
          <w:b/>
          <w:noProof/>
          <w:u w:val="single"/>
        </w:rPr>
      </w:pPr>
      <w:r>
        <w:rPr>
          <w:b/>
          <w:noProof/>
          <w:u w:val="single"/>
        </w:rPr>
        <w:t>EU institutions, agencies and bodies</w:t>
      </w:r>
    </w:p>
    <w:p>
      <w:pPr>
        <w:spacing w:after="120"/>
        <w:rPr>
          <w:noProof/>
        </w:rPr>
      </w:pPr>
      <w:r>
        <w:rPr>
          <w:noProof/>
        </w:rPr>
        <w:t>The EU institutions, agencies and bodies will benefit both from the outcome of the research, development and strategic actions of the initiative, whilst attaining state of the art methodologies and tools for the future. Cross-links with other domains open opportunities for synergies with multiple other bodies of EU relevance, such as with partnerships targeting enabling technologies, i.e. EuroHPC, SNS, Photonics, AI data &amp; robotics, Global competitive space system and Made in Europe, together with the EIT Digital which will contribute to the development of skills and the boosting of digital entrepreneurship.</w:t>
      </w:r>
    </w:p>
    <w:p>
      <w:pPr>
        <w:spacing w:after="120"/>
        <w:rPr>
          <w:noProof/>
        </w:rPr>
      </w:pPr>
    </w:p>
    <w:p>
      <w:pPr>
        <w:spacing w:after="120"/>
        <w:rPr>
          <w:b/>
          <w:noProof/>
          <w:u w:val="single"/>
        </w:rPr>
      </w:pPr>
      <w:r>
        <w:rPr>
          <w:b/>
          <w:noProof/>
          <w:u w:val="single"/>
        </w:rPr>
        <w:t>All stakeholder groups</w:t>
      </w:r>
    </w:p>
    <w:p>
      <w:pPr>
        <w:spacing w:after="120"/>
        <w:rPr>
          <w:noProof/>
        </w:rPr>
      </w:pPr>
      <w:r>
        <w:rPr>
          <w:noProof/>
        </w:rPr>
        <w:t>Overall, the preferred option will benefit all stakeholders, as it will help to deal with the complexity of the research and innovation landscape in the development of digital products/services, where no single organisation or MS can master all required technologies. The collaborative functionalities of the initiative will enable stakeholders to expand collaborations, and develop innovations, and ultimately mature, as Europe-wide KDT cutting-edge projects, pilot lines and platforms become available, retaining the best talents in the EU and attracting highly skilled professionals from third countries.</w:t>
      </w:r>
    </w:p>
    <w:p>
      <w:pPr>
        <w:spacing w:after="120"/>
        <w:rPr>
          <w:noProof/>
        </w:rPr>
      </w:pPr>
    </w:p>
    <w:p>
      <w:pPr>
        <w:spacing w:after="120"/>
        <w:rPr>
          <w:noProof/>
        </w:rPr>
      </w:pPr>
      <w:r>
        <w:rPr>
          <w:noProof/>
        </w:rPr>
        <w:t>A summary of the benefits can be seen in the table below:</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D5DCE4" w:themeFill="text2" w:themeFillTint="33"/>
          </w:tcPr>
          <w:p>
            <w:pPr>
              <w:tabs>
                <w:tab w:val="num" w:pos="425"/>
              </w:tabs>
              <w:spacing w:after="0"/>
              <w:jc w:val="center"/>
              <w:rPr>
                <w:b/>
                <w:i/>
                <w:noProof/>
              </w:rPr>
            </w:pPr>
            <w:r>
              <w:rPr>
                <w:b/>
                <w:i/>
                <w:noProof/>
              </w:rPr>
              <w:t>I. Overview of Benefits (total for all provisions) – Preferred Option</w:t>
            </w:r>
          </w:p>
        </w:tc>
      </w:tr>
      <w:tr>
        <w:tc>
          <w:tcPr>
            <w:tcW w:w="2552" w:type="dxa"/>
            <w:tcBorders>
              <w:top w:val="single" w:sz="4" w:space="0" w:color="auto"/>
            </w:tcBorders>
            <w:shd w:val="clear" w:color="auto" w:fill="D5DCE4" w:themeFill="text2" w:themeFillTint="33"/>
          </w:tcPr>
          <w:p>
            <w:pPr>
              <w:tabs>
                <w:tab w:val="num" w:pos="425"/>
              </w:tabs>
              <w:spacing w:after="0"/>
              <w:jc w:val="center"/>
              <w:rPr>
                <w:b/>
                <w:i/>
                <w:noProof/>
              </w:rPr>
            </w:pPr>
            <w:r>
              <w:rPr>
                <w:b/>
                <w:i/>
                <w:noProof/>
              </w:rPr>
              <w:t>Description</w:t>
            </w:r>
          </w:p>
        </w:tc>
        <w:tc>
          <w:tcPr>
            <w:tcW w:w="4111" w:type="dxa"/>
            <w:tcBorders>
              <w:top w:val="single" w:sz="4" w:space="0" w:color="auto"/>
            </w:tcBorders>
            <w:shd w:val="clear" w:color="auto" w:fill="D5DCE4" w:themeFill="text2" w:themeFillTint="33"/>
          </w:tcPr>
          <w:p>
            <w:pPr>
              <w:tabs>
                <w:tab w:val="num" w:pos="425"/>
              </w:tabs>
              <w:spacing w:after="0"/>
              <w:jc w:val="center"/>
              <w:rPr>
                <w:b/>
                <w:i/>
                <w:noProof/>
              </w:rPr>
            </w:pPr>
            <w:r>
              <w:rPr>
                <w:b/>
                <w:i/>
                <w:noProof/>
              </w:rPr>
              <w:t xml:space="preserve">Estimation (quantitative or qualitative) </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spacing w:after="0"/>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spacing w:after="0"/>
              <w:jc w:val="center"/>
              <w:rPr>
                <w:i/>
                <w:noProof/>
              </w:rPr>
            </w:pPr>
            <w:r>
              <w:rPr>
                <w:i/>
                <w:noProof/>
              </w:rPr>
              <w:t>Direct benefits</w:t>
            </w:r>
          </w:p>
        </w:tc>
      </w:tr>
      <w:tr>
        <w:tc>
          <w:tcPr>
            <w:tcW w:w="2552" w:type="dxa"/>
            <w:tcBorders>
              <w:top w:val="double" w:sz="4" w:space="0" w:color="auto"/>
            </w:tcBorders>
          </w:tcPr>
          <w:p>
            <w:pPr>
              <w:tabs>
                <w:tab w:val="num" w:pos="425"/>
              </w:tabs>
              <w:spacing w:after="0"/>
              <w:rPr>
                <w:noProof/>
              </w:rPr>
            </w:pPr>
            <w:r>
              <w:rPr>
                <w:noProof/>
              </w:rPr>
              <w:t>Build-up of KDT research, innovation and production capabilities in Europe</w:t>
            </w:r>
          </w:p>
        </w:tc>
        <w:tc>
          <w:tcPr>
            <w:tcW w:w="4111" w:type="dxa"/>
            <w:tcBorders>
              <w:top w:val="double" w:sz="4" w:space="0" w:color="auto"/>
            </w:tcBorders>
            <w:tcMar>
              <w:top w:w="57" w:type="dxa"/>
              <w:left w:w="57" w:type="dxa"/>
              <w:bottom w:w="57" w:type="dxa"/>
              <w:right w:w="57" w:type="dxa"/>
            </w:tcMar>
          </w:tcPr>
          <w:p>
            <w:pPr>
              <w:tabs>
                <w:tab w:val="num" w:pos="425"/>
              </w:tabs>
              <w:spacing w:after="0"/>
              <w:rPr>
                <w:noProof/>
              </w:rPr>
            </w:pPr>
            <w:r>
              <w:rPr>
                <w:noProof/>
              </w:rPr>
              <w:t xml:space="preserve">Combined resources would effectively address the main objectives, where no single Member or Associated State would have the industrial or economic capacity to realise on its own. </w:t>
            </w:r>
          </w:p>
        </w:tc>
        <w:tc>
          <w:tcPr>
            <w:tcW w:w="3714" w:type="dxa"/>
            <w:tcBorders>
              <w:top w:val="double" w:sz="4" w:space="0" w:color="auto"/>
            </w:tcBorders>
            <w:tcMar>
              <w:top w:w="57" w:type="dxa"/>
              <w:left w:w="57" w:type="dxa"/>
              <w:bottom w:w="57" w:type="dxa"/>
              <w:right w:w="57" w:type="dxa"/>
            </w:tcMar>
          </w:tcPr>
          <w:p>
            <w:pPr>
              <w:tabs>
                <w:tab w:val="num" w:pos="425"/>
              </w:tabs>
              <w:spacing w:after="0"/>
              <w:rPr>
                <w:noProof/>
              </w:rPr>
            </w:pPr>
            <w:r>
              <w:rPr>
                <w:noProof/>
              </w:rPr>
              <w:t>The initiative will allow Member States to anticipate requirements early enough in order to facilitate the deployment of key digital technologies at national and European levels.</w:t>
            </w:r>
          </w:p>
        </w:tc>
      </w:tr>
      <w:tr>
        <w:tc>
          <w:tcPr>
            <w:tcW w:w="2552" w:type="dxa"/>
            <w:tcBorders>
              <w:top w:val="double" w:sz="4" w:space="0" w:color="auto"/>
            </w:tcBorders>
          </w:tcPr>
          <w:p>
            <w:pPr>
              <w:tabs>
                <w:tab w:val="num" w:pos="425"/>
              </w:tabs>
              <w:spacing w:after="0"/>
              <w:jc w:val="left"/>
              <w:rPr>
                <w:noProof/>
              </w:rPr>
            </w:pPr>
            <w:r>
              <w:rPr>
                <w:noProof/>
              </w:rPr>
              <w:t>Joint R&amp;I strategy</w:t>
            </w:r>
          </w:p>
        </w:tc>
        <w:tc>
          <w:tcPr>
            <w:tcW w:w="4111" w:type="dxa"/>
            <w:tcBorders>
              <w:top w:val="double" w:sz="4" w:space="0" w:color="auto"/>
            </w:tcBorders>
            <w:tcMar>
              <w:top w:w="57" w:type="dxa"/>
              <w:left w:w="57" w:type="dxa"/>
              <w:bottom w:w="57" w:type="dxa"/>
              <w:right w:w="57" w:type="dxa"/>
            </w:tcMar>
          </w:tcPr>
          <w:p>
            <w:pPr>
              <w:tabs>
                <w:tab w:val="num" w:pos="425"/>
              </w:tabs>
              <w:spacing w:after="0"/>
              <w:rPr>
                <w:noProof/>
              </w:rPr>
            </w:pPr>
            <w:r>
              <w:rPr>
                <w:noProof/>
              </w:rPr>
              <w:t>Collaboration across the EU will enable R&amp;I stakeholders to further build collaborations, develop new innovations, and ultimately mature, as Europe-wide KDT pilot lines and platforms become accessible.</w:t>
            </w:r>
          </w:p>
        </w:tc>
        <w:tc>
          <w:tcPr>
            <w:tcW w:w="3714" w:type="dxa"/>
            <w:tcBorders>
              <w:top w:val="double" w:sz="4" w:space="0" w:color="auto"/>
            </w:tcBorders>
            <w:tcMar>
              <w:top w:w="57" w:type="dxa"/>
              <w:left w:w="57" w:type="dxa"/>
              <w:bottom w:w="57" w:type="dxa"/>
              <w:right w:w="57" w:type="dxa"/>
            </w:tcMar>
          </w:tcPr>
          <w:p>
            <w:pPr>
              <w:tabs>
                <w:tab w:val="num" w:pos="425"/>
              </w:tabs>
              <w:spacing w:after="0"/>
              <w:rPr>
                <w:noProof/>
              </w:rPr>
            </w:pPr>
            <w:r>
              <w:rPr>
                <w:noProof/>
              </w:rPr>
              <w:t>The complexity of digital products/services entails that no single entity can master all required technologies. Research and industry organisations will benefit from such a collaboration, which will indirectly support the deployment of European leading-edge KDT products and solutions across the market.</w:t>
            </w:r>
          </w:p>
        </w:tc>
      </w:tr>
      <w:tr>
        <w:tc>
          <w:tcPr>
            <w:tcW w:w="2552" w:type="dxa"/>
            <w:tcBorders>
              <w:bottom w:val="double" w:sz="4" w:space="0" w:color="auto"/>
            </w:tcBorders>
          </w:tcPr>
          <w:p>
            <w:pPr>
              <w:tabs>
                <w:tab w:val="num" w:pos="425"/>
              </w:tabs>
              <w:spacing w:after="0"/>
              <w:jc w:val="left"/>
              <w:rPr>
                <w:noProof/>
              </w:rPr>
            </w:pPr>
            <w:r>
              <w:rPr>
                <w:noProof/>
              </w:rPr>
              <w:t>Economic growth particularly for SMEs</w:t>
            </w:r>
          </w:p>
        </w:tc>
        <w:tc>
          <w:tcPr>
            <w:tcW w:w="4111" w:type="dxa"/>
            <w:tcBorders>
              <w:bottom w:val="double" w:sz="4" w:space="0" w:color="auto"/>
            </w:tcBorders>
            <w:tcMar>
              <w:top w:w="57" w:type="dxa"/>
              <w:left w:w="57" w:type="dxa"/>
              <w:bottom w:w="57" w:type="dxa"/>
              <w:right w:w="57" w:type="dxa"/>
            </w:tcMar>
          </w:tcPr>
          <w:p>
            <w:pPr>
              <w:tabs>
                <w:tab w:val="num" w:pos="425"/>
              </w:tabs>
              <w:spacing w:after="0"/>
              <w:rPr>
                <w:noProof/>
              </w:rPr>
            </w:pPr>
            <w:r>
              <w:rPr>
                <w:noProof/>
              </w:rPr>
              <w:t>SMEs would directly benefit from such a specific collaborative environment, as market oriented research topics make use of a more tailored implementing structure, with a large capacity of manufacturing equipment and materials via participation of key large industrial enterprises</w:t>
            </w:r>
          </w:p>
        </w:tc>
        <w:tc>
          <w:tcPr>
            <w:tcW w:w="3714" w:type="dxa"/>
            <w:tcBorders>
              <w:bottom w:val="double" w:sz="4" w:space="0" w:color="auto"/>
            </w:tcBorders>
            <w:tcMar>
              <w:top w:w="57" w:type="dxa"/>
              <w:left w:w="57" w:type="dxa"/>
              <w:bottom w:w="57" w:type="dxa"/>
              <w:right w:w="57" w:type="dxa"/>
            </w:tcMar>
          </w:tcPr>
          <w:p>
            <w:pPr>
              <w:tabs>
                <w:tab w:val="num" w:pos="425"/>
              </w:tabs>
              <w:spacing w:after="0"/>
              <w:rPr>
                <w:noProof/>
              </w:rPr>
            </w:pPr>
            <w:r>
              <w:rPr>
                <w:noProof/>
              </w:rPr>
              <w:t>EU growth in Key Digital Technologies is evident, especially for SMEs, which are the key role players in emerging and less established technologies, such as novel computing paradigms (neuromorphic), Artificial Intelligence and related software.</w:t>
            </w:r>
          </w:p>
        </w:tc>
      </w:tr>
      <w:tr>
        <w:tc>
          <w:tcPr>
            <w:tcW w:w="2552" w:type="dxa"/>
          </w:tcPr>
          <w:p>
            <w:pPr>
              <w:tabs>
                <w:tab w:val="num" w:pos="425"/>
              </w:tabs>
              <w:spacing w:after="0"/>
              <w:jc w:val="left"/>
              <w:rPr>
                <w:noProof/>
              </w:rPr>
            </w:pPr>
            <w:r>
              <w:rPr>
                <w:noProof/>
              </w:rPr>
              <w:t>Societal</w:t>
            </w:r>
          </w:p>
        </w:tc>
        <w:tc>
          <w:tcPr>
            <w:tcW w:w="4111" w:type="dxa"/>
            <w:tcMar>
              <w:top w:w="57" w:type="dxa"/>
              <w:left w:w="57" w:type="dxa"/>
              <w:bottom w:w="57" w:type="dxa"/>
              <w:right w:w="57" w:type="dxa"/>
            </w:tcMar>
          </w:tcPr>
          <w:p>
            <w:pPr>
              <w:tabs>
                <w:tab w:val="num" w:pos="425"/>
              </w:tabs>
              <w:spacing w:after="0"/>
              <w:rPr>
                <w:noProof/>
              </w:rPr>
            </w:pPr>
            <w:r>
              <w:rPr>
                <w:noProof/>
              </w:rPr>
              <w:t xml:space="preserve">Citizens would benefit from the introduction of KDT in areas of interest, as safe autonomous vehicles and seamless and secure means of communication are realised, as well as novel healthcare techniques and devices. </w:t>
            </w:r>
          </w:p>
        </w:tc>
        <w:tc>
          <w:tcPr>
            <w:tcW w:w="3714" w:type="dxa"/>
            <w:tcMar>
              <w:top w:w="57" w:type="dxa"/>
              <w:left w:w="57" w:type="dxa"/>
              <w:bottom w:w="57" w:type="dxa"/>
              <w:right w:w="57" w:type="dxa"/>
            </w:tcMar>
          </w:tcPr>
          <w:p>
            <w:pPr>
              <w:tabs>
                <w:tab w:val="num" w:pos="425"/>
              </w:tabs>
              <w:spacing w:after="0"/>
              <w:rPr>
                <w:noProof/>
              </w:rPr>
            </w:pPr>
            <w:r>
              <w:rPr>
                <w:noProof/>
              </w:rPr>
              <w:t>Addressing societal problems such as climate change or an ageing society, can be made easier with AI enabled computing derived from the combination of efficient, powerful, trusted electronics and advanced sensors.</w:t>
            </w:r>
          </w:p>
        </w:tc>
      </w:tr>
      <w:tr>
        <w:tc>
          <w:tcPr>
            <w:tcW w:w="2552" w:type="dxa"/>
          </w:tcPr>
          <w:p>
            <w:pPr>
              <w:tabs>
                <w:tab w:val="num" w:pos="425"/>
              </w:tabs>
              <w:spacing w:after="0"/>
              <w:jc w:val="left"/>
              <w:rPr>
                <w:noProof/>
              </w:rPr>
            </w:pPr>
            <w:r>
              <w:rPr>
                <w:noProof/>
              </w:rPr>
              <w:t>Environmental</w:t>
            </w:r>
          </w:p>
        </w:tc>
        <w:tc>
          <w:tcPr>
            <w:tcW w:w="4111" w:type="dxa"/>
            <w:tcMar>
              <w:top w:w="57" w:type="dxa"/>
              <w:left w:w="57" w:type="dxa"/>
              <w:bottom w:w="57" w:type="dxa"/>
              <w:right w:w="57" w:type="dxa"/>
            </w:tcMar>
          </w:tcPr>
          <w:p>
            <w:pPr>
              <w:tabs>
                <w:tab w:val="num" w:pos="425"/>
              </w:tabs>
              <w:spacing w:after="0"/>
              <w:rPr>
                <w:noProof/>
              </w:rPr>
            </w:pPr>
            <w:r>
              <w:rPr>
                <w:noProof/>
              </w:rPr>
              <w:t>KDTs would contribute to sustainability and in protecting the environment, as technologies developed would improve energy efficiency, make use of renewable energy sources, and look at new low-power (edge) computing paradigms for data processing.</w:t>
            </w:r>
          </w:p>
        </w:tc>
        <w:tc>
          <w:tcPr>
            <w:tcW w:w="3714" w:type="dxa"/>
            <w:tcMar>
              <w:top w:w="57" w:type="dxa"/>
              <w:left w:w="57" w:type="dxa"/>
              <w:bottom w:w="57" w:type="dxa"/>
              <w:right w:w="57" w:type="dxa"/>
            </w:tcMar>
          </w:tcPr>
          <w:p>
            <w:pPr>
              <w:tabs>
                <w:tab w:val="num" w:pos="425"/>
              </w:tabs>
              <w:spacing w:after="0"/>
              <w:rPr>
                <w:noProof/>
              </w:rPr>
            </w:pPr>
            <w:r>
              <w:rPr>
                <w:noProof/>
              </w:rPr>
              <w:t xml:space="preserve">Downstream industries, through KDT, would progressively reduce the energy consumption of their products, develop technologies and applications of high energy efficiency, and substitute existing with more environmentally friendly materials. </w:t>
            </w:r>
          </w:p>
        </w:tc>
      </w:tr>
    </w:tbl>
    <w:p>
      <w:pPr>
        <w:spacing w:after="120"/>
        <w:rPr>
          <w:noProof/>
        </w:rPr>
      </w:pPr>
    </w:p>
    <w:p>
      <w:pPr>
        <w:rPr>
          <w:b/>
          <w:noProof/>
        </w:rPr>
      </w:pPr>
      <w:r>
        <w:rPr>
          <w:b/>
          <w:noProof/>
        </w:rPr>
        <w:t>Overview of costs – For the preferred option</w:t>
      </w:r>
    </w:p>
    <w:p>
      <w:pPr>
        <w:rPr>
          <w:noProof/>
        </w:rPr>
      </w:pPr>
      <w:r>
        <w:rPr>
          <w:noProof/>
        </w:rPr>
        <w:t>With the assumption that the partnership will maintain the internal structure of the current ECSEL Joint Undertaking, it can be implicit that this option is considered closest to a ‘cost-neutral’ setup, as there is a likely continuation of the existing structure, building rental, HR, etc.</w:t>
      </w:r>
    </w:p>
    <w:p>
      <w:pPr>
        <w:rPr>
          <w:noProof/>
        </w:rPr>
      </w:pPr>
      <w:r>
        <w:rPr>
          <w:noProof/>
        </w:rPr>
        <w:t>Under this assumption and in the case of JU discontinuity, the estimated cost and benefits are analysed.  ECSEL statutes foresee a 4-year winding-up period to manage projects launched in the last phase of the Joint Undertaking that will be running beyond 31</w:t>
      </w:r>
      <w:r>
        <w:rPr>
          <w:noProof/>
          <w:vertAlign w:val="superscript"/>
        </w:rPr>
        <w:t>st</w:t>
      </w:r>
      <w:r>
        <w:rPr>
          <w:noProof/>
        </w:rPr>
        <w:t xml:space="preserve"> December 2020. The administrative cost planned for the management of ECSEL legacy in the period 2021-24 is €10,4 million, to be equally shared by EC and industry members.</w:t>
      </w:r>
    </w:p>
    <w:p>
      <w:pPr>
        <w:rPr>
          <w:noProof/>
        </w:rPr>
      </w:pPr>
      <w:r>
        <w:rPr>
          <w:noProof/>
        </w:rPr>
        <w:t>There would be also ‘intangible costs’ associated to the JU discontinuity.  It will be difficult to justify a lower intensity of EU support in R&amp;I to the components and software industry at a moment in which access in Europe to key digital technologies is becoming critical and when other regions (China, US, Korea) are receiving substantial public support that goes beyond R&amp;I.</w:t>
      </w:r>
    </w:p>
    <w:p>
      <w:pPr>
        <w:rPr>
          <w:noProof/>
        </w:rPr>
      </w:pPr>
      <w:r>
        <w:rPr>
          <w:noProof/>
        </w:rPr>
        <w:t>Finally, a tri-partite JU structure enables the mobilisation of a critical amount of resources as it supports the combined contributions of EU, Participating States and Industry.</w:t>
      </w:r>
    </w:p>
    <w:tbl>
      <w:tblPr>
        <w:tblStyle w:val="CV11"/>
        <w:tblW w:w="10402"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276"/>
        <w:gridCol w:w="709"/>
        <w:gridCol w:w="992"/>
        <w:gridCol w:w="567"/>
        <w:gridCol w:w="992"/>
        <w:gridCol w:w="709"/>
        <w:gridCol w:w="2864"/>
        <w:gridCol w:w="15"/>
        <w:gridCol w:w="10"/>
      </w:tblGrid>
      <w:tr>
        <w:tc>
          <w:tcPr>
            <w:tcW w:w="10402" w:type="dxa"/>
            <w:gridSpan w:val="10"/>
            <w:shd w:val="clear" w:color="auto" w:fill="D5DCE4" w:themeFill="text2" w:themeFillTint="33"/>
            <w:tcMar>
              <w:top w:w="57" w:type="dxa"/>
              <w:left w:w="57" w:type="dxa"/>
              <w:bottom w:w="57" w:type="dxa"/>
              <w:right w:w="57" w:type="dxa"/>
            </w:tcMar>
          </w:tcPr>
          <w:p>
            <w:pPr>
              <w:tabs>
                <w:tab w:val="num" w:pos="425"/>
              </w:tabs>
              <w:spacing w:after="0"/>
              <w:jc w:val="center"/>
              <w:rPr>
                <w:b/>
                <w:i/>
                <w:noProof/>
              </w:rPr>
            </w:pPr>
            <w:r>
              <w:rPr>
                <w:b/>
                <w:i/>
                <w:noProof/>
              </w:rPr>
              <w:t>II. Overview of direct and indirect costs – Preferred option</w:t>
            </w:r>
          </w:p>
        </w:tc>
      </w:tr>
      <w:tr>
        <w:trPr>
          <w:gridAfter w:val="1"/>
          <w:wAfter w:w="10" w:type="dxa"/>
        </w:trPr>
        <w:tc>
          <w:tcPr>
            <w:tcW w:w="3544"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after="0"/>
              <w:jc w:val="left"/>
              <w:rPr>
                <w:noProof/>
              </w:rPr>
            </w:pPr>
          </w:p>
        </w:tc>
        <w:tc>
          <w:tcPr>
            <w:tcW w:w="1701" w:type="dxa"/>
            <w:gridSpan w:val="2"/>
            <w:tcBorders>
              <w:left w:val="double" w:sz="4" w:space="0" w:color="auto"/>
            </w:tcBorders>
            <w:tcMar>
              <w:top w:w="57" w:type="dxa"/>
              <w:left w:w="57" w:type="dxa"/>
              <w:bottom w:w="57" w:type="dxa"/>
              <w:right w:w="57" w:type="dxa"/>
            </w:tcMar>
          </w:tcPr>
          <w:p>
            <w:pPr>
              <w:tabs>
                <w:tab w:val="num" w:pos="425"/>
              </w:tabs>
              <w:spacing w:after="0"/>
              <w:jc w:val="center"/>
              <w:rPr>
                <w:noProof/>
              </w:rPr>
            </w:pPr>
            <w:r>
              <w:rPr>
                <w:noProof/>
              </w:rPr>
              <w:t xml:space="preserve">Citizens/Consumers </w:t>
            </w:r>
          </w:p>
        </w:tc>
        <w:tc>
          <w:tcPr>
            <w:tcW w:w="1559" w:type="dxa"/>
            <w:gridSpan w:val="2"/>
            <w:tcMar>
              <w:top w:w="57" w:type="dxa"/>
              <w:left w:w="57" w:type="dxa"/>
              <w:bottom w:w="57" w:type="dxa"/>
              <w:right w:w="57" w:type="dxa"/>
            </w:tcMar>
          </w:tcPr>
          <w:p>
            <w:pPr>
              <w:tabs>
                <w:tab w:val="num" w:pos="425"/>
              </w:tabs>
              <w:spacing w:after="0"/>
              <w:jc w:val="center"/>
              <w:rPr>
                <w:noProof/>
              </w:rPr>
            </w:pPr>
            <w:r>
              <w:rPr>
                <w:noProof/>
              </w:rPr>
              <w:t>Businesses</w:t>
            </w:r>
          </w:p>
        </w:tc>
        <w:tc>
          <w:tcPr>
            <w:tcW w:w="3588" w:type="dxa"/>
            <w:gridSpan w:val="3"/>
            <w:tcMar>
              <w:top w:w="57" w:type="dxa"/>
              <w:left w:w="57" w:type="dxa"/>
              <w:bottom w:w="57" w:type="dxa"/>
              <w:right w:w="57" w:type="dxa"/>
            </w:tcMar>
          </w:tcPr>
          <w:p>
            <w:pPr>
              <w:tabs>
                <w:tab w:val="num" w:pos="425"/>
              </w:tabs>
              <w:spacing w:after="0"/>
              <w:jc w:val="center"/>
              <w:rPr>
                <w:noProof/>
              </w:rPr>
            </w:pPr>
            <w:r>
              <w:rPr>
                <w:noProof/>
              </w:rPr>
              <w:t>Administrations</w:t>
            </w:r>
          </w:p>
        </w:tc>
      </w:tr>
      <w:tr>
        <w:trPr>
          <w:gridAfter w:val="1"/>
          <w:wAfter w:w="10" w:type="dxa"/>
        </w:trPr>
        <w:tc>
          <w:tcPr>
            <w:tcW w:w="3544"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after="0"/>
              <w:jc w:val="center"/>
              <w:rPr>
                <w:noProof/>
              </w:rPr>
            </w:pPr>
          </w:p>
        </w:tc>
        <w:tc>
          <w:tcPr>
            <w:tcW w:w="709" w:type="dxa"/>
            <w:tcBorders>
              <w:left w:val="double" w:sz="4" w:space="0" w:color="auto"/>
              <w:bottom w:val="double" w:sz="4" w:space="0" w:color="auto"/>
            </w:tcBorders>
            <w:tcMar>
              <w:top w:w="57" w:type="dxa"/>
              <w:left w:w="57" w:type="dxa"/>
              <w:bottom w:w="57" w:type="dxa"/>
              <w:right w:w="57" w:type="dxa"/>
            </w:tcMar>
          </w:tcPr>
          <w:p>
            <w:pPr>
              <w:tabs>
                <w:tab w:val="num" w:pos="425"/>
              </w:tabs>
              <w:spacing w:after="0"/>
              <w:jc w:val="center"/>
              <w:rPr>
                <w:noProof/>
              </w:rPr>
            </w:pPr>
            <w:r>
              <w:rPr>
                <w:noProof/>
              </w:rPr>
              <w:t>One-off</w:t>
            </w:r>
          </w:p>
        </w:tc>
        <w:tc>
          <w:tcPr>
            <w:tcW w:w="992" w:type="dxa"/>
            <w:tcBorders>
              <w:bottom w:val="double" w:sz="4" w:space="0" w:color="auto"/>
            </w:tcBorders>
            <w:tcMar>
              <w:top w:w="57" w:type="dxa"/>
              <w:left w:w="57" w:type="dxa"/>
              <w:bottom w:w="57" w:type="dxa"/>
              <w:right w:w="57" w:type="dxa"/>
            </w:tcMar>
          </w:tcPr>
          <w:p>
            <w:pPr>
              <w:tabs>
                <w:tab w:val="num" w:pos="425"/>
              </w:tabs>
              <w:spacing w:after="0"/>
              <w:jc w:val="center"/>
              <w:rPr>
                <w:noProof/>
              </w:rPr>
            </w:pPr>
            <w:r>
              <w:rPr>
                <w:noProof/>
              </w:rPr>
              <w:t>Recurrent</w:t>
            </w:r>
          </w:p>
        </w:tc>
        <w:tc>
          <w:tcPr>
            <w:tcW w:w="567" w:type="dxa"/>
            <w:tcBorders>
              <w:bottom w:val="double" w:sz="4" w:space="0" w:color="auto"/>
            </w:tcBorders>
            <w:tcMar>
              <w:top w:w="57" w:type="dxa"/>
              <w:left w:w="57" w:type="dxa"/>
              <w:bottom w:w="57" w:type="dxa"/>
              <w:right w:w="57" w:type="dxa"/>
            </w:tcMar>
          </w:tcPr>
          <w:p>
            <w:pPr>
              <w:tabs>
                <w:tab w:val="num" w:pos="425"/>
              </w:tabs>
              <w:spacing w:after="0"/>
              <w:jc w:val="center"/>
              <w:rPr>
                <w:noProof/>
              </w:rPr>
            </w:pPr>
            <w:r>
              <w:rPr>
                <w:noProof/>
              </w:rPr>
              <w:t>One-off</w:t>
            </w:r>
          </w:p>
        </w:tc>
        <w:tc>
          <w:tcPr>
            <w:tcW w:w="992" w:type="dxa"/>
            <w:tcBorders>
              <w:bottom w:val="double" w:sz="4" w:space="0" w:color="auto"/>
            </w:tcBorders>
            <w:tcMar>
              <w:top w:w="57" w:type="dxa"/>
              <w:left w:w="57" w:type="dxa"/>
              <w:bottom w:w="57" w:type="dxa"/>
              <w:right w:w="57" w:type="dxa"/>
            </w:tcMar>
          </w:tcPr>
          <w:p>
            <w:pPr>
              <w:tabs>
                <w:tab w:val="num" w:pos="425"/>
              </w:tabs>
              <w:spacing w:after="0"/>
              <w:jc w:val="center"/>
              <w:rPr>
                <w:noProof/>
              </w:rPr>
            </w:pPr>
            <w:r>
              <w:rPr>
                <w:noProof/>
              </w:rPr>
              <w:t>Recurrent</w:t>
            </w:r>
          </w:p>
        </w:tc>
        <w:tc>
          <w:tcPr>
            <w:tcW w:w="709" w:type="dxa"/>
            <w:tcBorders>
              <w:bottom w:val="double" w:sz="4" w:space="0" w:color="auto"/>
            </w:tcBorders>
            <w:tcMar>
              <w:top w:w="57" w:type="dxa"/>
              <w:left w:w="57" w:type="dxa"/>
              <w:bottom w:w="57" w:type="dxa"/>
              <w:right w:w="57" w:type="dxa"/>
            </w:tcMar>
          </w:tcPr>
          <w:p>
            <w:pPr>
              <w:tabs>
                <w:tab w:val="num" w:pos="425"/>
              </w:tabs>
              <w:spacing w:after="0"/>
              <w:jc w:val="center"/>
              <w:rPr>
                <w:noProof/>
              </w:rPr>
            </w:pPr>
            <w:r>
              <w:rPr>
                <w:noProof/>
              </w:rPr>
              <w:t>One-off</w:t>
            </w:r>
          </w:p>
        </w:tc>
        <w:tc>
          <w:tcPr>
            <w:tcW w:w="2879" w:type="dxa"/>
            <w:gridSpan w:val="2"/>
            <w:tcBorders>
              <w:bottom w:val="double" w:sz="4" w:space="0" w:color="auto"/>
            </w:tcBorders>
            <w:tcMar>
              <w:top w:w="57" w:type="dxa"/>
              <w:left w:w="57" w:type="dxa"/>
              <w:bottom w:w="57" w:type="dxa"/>
              <w:right w:w="57" w:type="dxa"/>
            </w:tcMar>
          </w:tcPr>
          <w:p>
            <w:pPr>
              <w:tabs>
                <w:tab w:val="num" w:pos="425"/>
              </w:tabs>
              <w:spacing w:after="0"/>
              <w:jc w:val="center"/>
              <w:rPr>
                <w:noProof/>
              </w:rPr>
            </w:pPr>
            <w:r>
              <w:rPr>
                <w:noProof/>
              </w:rPr>
              <w:t>Recurrent</w:t>
            </w:r>
            <w:r>
              <w:rPr>
                <w:rStyle w:val="FootnoteReference"/>
                <w:noProof/>
              </w:rPr>
              <w:footnoteReference w:id="11"/>
            </w:r>
          </w:p>
        </w:tc>
      </w:tr>
      <w:tr>
        <w:trPr>
          <w:gridAfter w:val="2"/>
          <w:wAfter w:w="25" w:type="dxa"/>
          <w:trHeight w:val="307"/>
        </w:trPr>
        <w:tc>
          <w:tcPr>
            <w:tcW w:w="2268" w:type="dxa"/>
            <w:vMerge w:val="restart"/>
            <w:tcMar>
              <w:top w:w="57" w:type="dxa"/>
              <w:left w:w="57" w:type="dxa"/>
              <w:bottom w:w="57" w:type="dxa"/>
              <w:right w:w="57" w:type="dxa"/>
            </w:tcMar>
            <w:vAlign w:val="center"/>
          </w:tcPr>
          <w:p>
            <w:pPr>
              <w:tabs>
                <w:tab w:val="num" w:pos="425"/>
              </w:tabs>
              <w:spacing w:after="0"/>
              <w:jc w:val="left"/>
              <w:rPr>
                <w:noProof/>
              </w:rPr>
            </w:pPr>
            <w:r>
              <w:rPr>
                <w:b/>
                <w:noProof/>
              </w:rPr>
              <w:t xml:space="preserve">Management/ Administrative costs  </w:t>
            </w:r>
          </w:p>
        </w:tc>
        <w:tc>
          <w:tcPr>
            <w:tcW w:w="1276" w:type="dxa"/>
            <w:tcBorders>
              <w:right w:val="double" w:sz="4" w:space="0" w:color="auto"/>
            </w:tcBorders>
            <w:tcMar>
              <w:top w:w="57" w:type="dxa"/>
              <w:left w:w="57" w:type="dxa"/>
              <w:bottom w:w="57" w:type="dxa"/>
              <w:right w:w="57" w:type="dxa"/>
            </w:tcMar>
            <w:vAlign w:val="center"/>
          </w:tcPr>
          <w:p>
            <w:pPr>
              <w:tabs>
                <w:tab w:val="num" w:pos="425"/>
              </w:tabs>
              <w:spacing w:after="0"/>
              <w:jc w:val="left"/>
              <w:rPr>
                <w:noProof/>
              </w:rPr>
            </w:pPr>
            <w:r>
              <w:rPr>
                <w:noProof/>
              </w:rPr>
              <w:t>Direct costs</w:t>
            </w:r>
          </w:p>
        </w:tc>
        <w:tc>
          <w:tcPr>
            <w:tcW w:w="709" w:type="dxa"/>
            <w:tcBorders>
              <w:left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567" w:type="dxa"/>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709" w:type="dxa"/>
            <w:tcMar>
              <w:top w:w="57" w:type="dxa"/>
              <w:left w:w="57" w:type="dxa"/>
              <w:bottom w:w="57" w:type="dxa"/>
              <w:right w:w="57" w:type="dxa"/>
            </w:tcMar>
          </w:tcPr>
          <w:p>
            <w:pPr>
              <w:tabs>
                <w:tab w:val="num" w:pos="425"/>
              </w:tabs>
              <w:spacing w:after="0"/>
              <w:jc w:val="left"/>
              <w:rPr>
                <w:noProof/>
              </w:rPr>
            </w:pPr>
          </w:p>
        </w:tc>
        <w:tc>
          <w:tcPr>
            <w:tcW w:w="2864" w:type="dxa"/>
            <w:tcMar>
              <w:top w:w="57" w:type="dxa"/>
              <w:left w:w="57" w:type="dxa"/>
              <w:bottom w:w="57" w:type="dxa"/>
              <w:right w:w="57" w:type="dxa"/>
            </w:tcMar>
          </w:tcPr>
          <w:p>
            <w:pPr>
              <w:tabs>
                <w:tab w:val="num" w:pos="425"/>
              </w:tabs>
              <w:spacing w:after="0"/>
              <w:jc w:val="left"/>
              <w:rPr>
                <w:noProof/>
              </w:rPr>
            </w:pPr>
            <w:r>
              <w:rPr>
                <w:noProof/>
              </w:rPr>
              <w:t>Running cost €2.29 million</w:t>
            </w:r>
            <w:r>
              <w:rPr>
                <w:noProof/>
                <w:vertAlign w:val="superscript"/>
              </w:rPr>
              <w:footnoteReference w:id="12"/>
            </w:r>
            <w:r>
              <w:rPr>
                <w:noProof/>
              </w:rPr>
              <w:t xml:space="preserve"> /year (EC 50%)</w:t>
            </w:r>
          </w:p>
        </w:tc>
      </w:tr>
      <w:tr>
        <w:trPr>
          <w:gridAfter w:val="2"/>
          <w:wAfter w:w="25" w:type="dxa"/>
        </w:trPr>
        <w:tc>
          <w:tcPr>
            <w:tcW w:w="2268" w:type="dxa"/>
            <w:vMerge/>
            <w:tcMar>
              <w:top w:w="57" w:type="dxa"/>
              <w:left w:w="57" w:type="dxa"/>
              <w:bottom w:w="57" w:type="dxa"/>
              <w:right w:w="57" w:type="dxa"/>
            </w:tcMar>
          </w:tcPr>
          <w:p>
            <w:pPr>
              <w:tabs>
                <w:tab w:val="num" w:pos="425"/>
              </w:tabs>
              <w:spacing w:after="0"/>
              <w:jc w:val="left"/>
              <w:rPr>
                <w:noProof/>
              </w:rPr>
            </w:pPr>
          </w:p>
        </w:tc>
        <w:tc>
          <w:tcPr>
            <w:tcW w:w="1276" w:type="dxa"/>
            <w:tcBorders>
              <w:right w:val="double" w:sz="4" w:space="0" w:color="auto"/>
            </w:tcBorders>
            <w:tcMar>
              <w:top w:w="57" w:type="dxa"/>
              <w:left w:w="57" w:type="dxa"/>
              <w:bottom w:w="57" w:type="dxa"/>
              <w:right w:w="57" w:type="dxa"/>
            </w:tcMar>
          </w:tcPr>
          <w:p>
            <w:pPr>
              <w:tabs>
                <w:tab w:val="num" w:pos="425"/>
              </w:tabs>
              <w:spacing w:after="0"/>
              <w:jc w:val="left"/>
              <w:rPr>
                <w:noProof/>
              </w:rPr>
            </w:pPr>
            <w:r>
              <w:rPr>
                <w:noProof/>
              </w:rPr>
              <w:t>Indirect costs</w:t>
            </w:r>
          </w:p>
        </w:tc>
        <w:tc>
          <w:tcPr>
            <w:tcW w:w="709" w:type="dxa"/>
            <w:tcBorders>
              <w:left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567" w:type="dxa"/>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709" w:type="dxa"/>
            <w:tcMar>
              <w:top w:w="57" w:type="dxa"/>
              <w:left w:w="57" w:type="dxa"/>
              <w:bottom w:w="57" w:type="dxa"/>
              <w:right w:w="57" w:type="dxa"/>
            </w:tcMar>
          </w:tcPr>
          <w:p>
            <w:pPr>
              <w:tabs>
                <w:tab w:val="num" w:pos="425"/>
              </w:tabs>
              <w:spacing w:after="0"/>
              <w:jc w:val="left"/>
              <w:rPr>
                <w:noProof/>
              </w:rPr>
            </w:pPr>
          </w:p>
        </w:tc>
        <w:tc>
          <w:tcPr>
            <w:tcW w:w="2864" w:type="dxa"/>
            <w:tcMar>
              <w:top w:w="57" w:type="dxa"/>
              <w:left w:w="57" w:type="dxa"/>
              <w:bottom w:w="57" w:type="dxa"/>
              <w:right w:w="57" w:type="dxa"/>
            </w:tcMar>
          </w:tcPr>
          <w:p>
            <w:pPr>
              <w:tabs>
                <w:tab w:val="num" w:pos="425"/>
              </w:tabs>
              <w:spacing w:after="0"/>
              <w:jc w:val="left"/>
              <w:rPr>
                <w:noProof/>
              </w:rPr>
            </w:pPr>
          </w:p>
        </w:tc>
      </w:tr>
      <w:tr>
        <w:trPr>
          <w:gridAfter w:val="2"/>
          <w:wAfter w:w="25" w:type="dxa"/>
        </w:trPr>
        <w:tc>
          <w:tcPr>
            <w:tcW w:w="2268" w:type="dxa"/>
            <w:vMerge w:val="restart"/>
            <w:tcBorders>
              <w:top w:val="double" w:sz="4" w:space="0" w:color="auto"/>
            </w:tcBorders>
            <w:tcMar>
              <w:top w:w="57" w:type="dxa"/>
              <w:left w:w="57" w:type="dxa"/>
              <w:bottom w:w="57" w:type="dxa"/>
              <w:right w:w="57" w:type="dxa"/>
            </w:tcMar>
          </w:tcPr>
          <w:p>
            <w:pPr>
              <w:tabs>
                <w:tab w:val="num" w:pos="425"/>
              </w:tabs>
              <w:spacing w:after="0"/>
              <w:jc w:val="left"/>
              <w:rPr>
                <w:b/>
                <w:noProof/>
              </w:rPr>
            </w:pPr>
            <w:r>
              <w:rPr>
                <w:b/>
                <w:noProof/>
              </w:rPr>
              <w:t xml:space="preserve">Personnel costs  </w:t>
            </w:r>
          </w:p>
        </w:tc>
        <w:tc>
          <w:tcPr>
            <w:tcW w:w="1276" w:type="dxa"/>
            <w:tcBorders>
              <w:top w:val="double" w:sz="4" w:space="0" w:color="auto"/>
              <w:right w:val="double" w:sz="4" w:space="0" w:color="auto"/>
            </w:tcBorders>
            <w:tcMar>
              <w:top w:w="57" w:type="dxa"/>
              <w:left w:w="57" w:type="dxa"/>
              <w:bottom w:w="57" w:type="dxa"/>
              <w:right w:w="57" w:type="dxa"/>
            </w:tcMar>
            <w:vAlign w:val="center"/>
          </w:tcPr>
          <w:p>
            <w:pPr>
              <w:tabs>
                <w:tab w:val="num" w:pos="425"/>
              </w:tabs>
              <w:spacing w:after="0"/>
              <w:jc w:val="left"/>
              <w:rPr>
                <w:noProof/>
              </w:rPr>
            </w:pPr>
            <w:r>
              <w:rPr>
                <w:noProof/>
              </w:rPr>
              <w:t>Direct costs</w:t>
            </w:r>
          </w:p>
        </w:tc>
        <w:tc>
          <w:tcPr>
            <w:tcW w:w="709" w:type="dxa"/>
            <w:tcBorders>
              <w:top w:val="double" w:sz="4" w:space="0" w:color="auto"/>
              <w:left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Borders>
              <w:top w:val="double" w:sz="4" w:space="0" w:color="auto"/>
            </w:tcBorders>
            <w:tcMar>
              <w:top w:w="57" w:type="dxa"/>
              <w:left w:w="57" w:type="dxa"/>
              <w:bottom w:w="57" w:type="dxa"/>
              <w:right w:w="57" w:type="dxa"/>
            </w:tcMar>
          </w:tcPr>
          <w:p>
            <w:pPr>
              <w:tabs>
                <w:tab w:val="num" w:pos="425"/>
              </w:tabs>
              <w:spacing w:after="0"/>
              <w:jc w:val="left"/>
              <w:rPr>
                <w:noProof/>
              </w:rPr>
            </w:pPr>
          </w:p>
        </w:tc>
        <w:tc>
          <w:tcPr>
            <w:tcW w:w="567" w:type="dxa"/>
            <w:tcBorders>
              <w:top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Borders>
              <w:top w:val="double" w:sz="4" w:space="0" w:color="auto"/>
            </w:tcBorders>
            <w:tcMar>
              <w:top w:w="57" w:type="dxa"/>
              <w:left w:w="57" w:type="dxa"/>
              <w:bottom w:w="57" w:type="dxa"/>
              <w:right w:w="57" w:type="dxa"/>
            </w:tcMar>
          </w:tcPr>
          <w:p>
            <w:pPr>
              <w:tabs>
                <w:tab w:val="num" w:pos="425"/>
              </w:tabs>
              <w:spacing w:after="0"/>
              <w:jc w:val="left"/>
              <w:rPr>
                <w:noProof/>
              </w:rPr>
            </w:pPr>
          </w:p>
        </w:tc>
        <w:tc>
          <w:tcPr>
            <w:tcW w:w="709" w:type="dxa"/>
            <w:tcBorders>
              <w:top w:val="double" w:sz="4" w:space="0" w:color="auto"/>
            </w:tcBorders>
            <w:tcMar>
              <w:top w:w="57" w:type="dxa"/>
              <w:left w:w="57" w:type="dxa"/>
              <w:bottom w:w="57" w:type="dxa"/>
              <w:right w:w="57" w:type="dxa"/>
            </w:tcMar>
          </w:tcPr>
          <w:p>
            <w:pPr>
              <w:tabs>
                <w:tab w:val="num" w:pos="425"/>
              </w:tabs>
              <w:spacing w:after="0"/>
              <w:jc w:val="left"/>
              <w:rPr>
                <w:noProof/>
              </w:rPr>
            </w:pPr>
          </w:p>
        </w:tc>
        <w:tc>
          <w:tcPr>
            <w:tcW w:w="2864" w:type="dxa"/>
            <w:tcBorders>
              <w:top w:val="double" w:sz="4" w:space="0" w:color="auto"/>
            </w:tcBorders>
            <w:tcMar>
              <w:top w:w="57" w:type="dxa"/>
              <w:left w:w="57" w:type="dxa"/>
              <w:bottom w:w="57" w:type="dxa"/>
              <w:right w:w="57" w:type="dxa"/>
            </w:tcMar>
          </w:tcPr>
          <w:p>
            <w:pPr>
              <w:tabs>
                <w:tab w:val="num" w:pos="425"/>
              </w:tabs>
              <w:spacing w:after="0"/>
              <w:jc w:val="left"/>
              <w:rPr>
                <w:noProof/>
              </w:rPr>
            </w:pPr>
            <w:r>
              <w:rPr>
                <w:noProof/>
              </w:rPr>
              <w:t>€ 3.24 million /year -</w:t>
            </w:r>
          </w:p>
          <w:p>
            <w:pPr>
              <w:tabs>
                <w:tab w:val="num" w:pos="425"/>
              </w:tabs>
              <w:spacing w:after="0"/>
              <w:jc w:val="left"/>
              <w:rPr>
                <w:noProof/>
              </w:rPr>
            </w:pPr>
            <w:r>
              <w:rPr>
                <w:noProof/>
              </w:rPr>
              <w:t>30 full time equivalent staff</w:t>
            </w:r>
          </w:p>
          <w:p>
            <w:pPr>
              <w:tabs>
                <w:tab w:val="num" w:pos="425"/>
              </w:tabs>
              <w:spacing w:after="0"/>
              <w:jc w:val="left"/>
              <w:rPr>
                <w:noProof/>
              </w:rPr>
            </w:pPr>
            <w:r>
              <w:rPr>
                <w:noProof/>
              </w:rPr>
              <w:t>(EC 50%)</w:t>
            </w:r>
          </w:p>
        </w:tc>
      </w:tr>
      <w:tr>
        <w:trPr>
          <w:gridAfter w:val="2"/>
          <w:wAfter w:w="25" w:type="dxa"/>
        </w:trPr>
        <w:tc>
          <w:tcPr>
            <w:tcW w:w="2268" w:type="dxa"/>
            <w:vMerge/>
            <w:tcMar>
              <w:top w:w="57" w:type="dxa"/>
              <w:left w:w="57" w:type="dxa"/>
              <w:bottom w:w="57" w:type="dxa"/>
              <w:right w:w="57" w:type="dxa"/>
            </w:tcMar>
          </w:tcPr>
          <w:p>
            <w:pPr>
              <w:tabs>
                <w:tab w:val="num" w:pos="425"/>
              </w:tabs>
              <w:spacing w:after="0"/>
              <w:jc w:val="left"/>
              <w:rPr>
                <w:noProof/>
              </w:rPr>
            </w:pPr>
          </w:p>
        </w:tc>
        <w:tc>
          <w:tcPr>
            <w:tcW w:w="1276" w:type="dxa"/>
            <w:tcBorders>
              <w:right w:val="double" w:sz="4" w:space="0" w:color="auto"/>
            </w:tcBorders>
            <w:tcMar>
              <w:top w:w="57" w:type="dxa"/>
              <w:left w:w="57" w:type="dxa"/>
              <w:bottom w:w="57" w:type="dxa"/>
              <w:right w:w="57" w:type="dxa"/>
            </w:tcMar>
          </w:tcPr>
          <w:p>
            <w:pPr>
              <w:tabs>
                <w:tab w:val="num" w:pos="425"/>
              </w:tabs>
              <w:spacing w:after="0"/>
              <w:jc w:val="left"/>
              <w:rPr>
                <w:noProof/>
              </w:rPr>
            </w:pPr>
            <w:r>
              <w:rPr>
                <w:noProof/>
              </w:rPr>
              <w:t>Indirect costs</w:t>
            </w:r>
          </w:p>
        </w:tc>
        <w:tc>
          <w:tcPr>
            <w:tcW w:w="709" w:type="dxa"/>
            <w:tcBorders>
              <w:left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567" w:type="dxa"/>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709" w:type="dxa"/>
            <w:tcMar>
              <w:top w:w="57" w:type="dxa"/>
              <w:left w:w="57" w:type="dxa"/>
              <w:bottom w:w="57" w:type="dxa"/>
              <w:right w:w="57" w:type="dxa"/>
            </w:tcMar>
          </w:tcPr>
          <w:p>
            <w:pPr>
              <w:tabs>
                <w:tab w:val="num" w:pos="425"/>
              </w:tabs>
              <w:spacing w:after="0"/>
              <w:jc w:val="left"/>
              <w:rPr>
                <w:noProof/>
              </w:rPr>
            </w:pPr>
          </w:p>
        </w:tc>
        <w:tc>
          <w:tcPr>
            <w:tcW w:w="2864" w:type="dxa"/>
            <w:tcMar>
              <w:top w:w="57" w:type="dxa"/>
              <w:left w:w="57" w:type="dxa"/>
              <w:bottom w:w="57" w:type="dxa"/>
              <w:right w:w="57" w:type="dxa"/>
            </w:tcMar>
          </w:tcPr>
          <w:p>
            <w:pPr>
              <w:tabs>
                <w:tab w:val="num" w:pos="425"/>
              </w:tabs>
              <w:spacing w:after="0"/>
              <w:jc w:val="left"/>
              <w:rPr>
                <w:noProof/>
              </w:rPr>
            </w:pPr>
          </w:p>
        </w:tc>
      </w:tr>
      <w:tr>
        <w:trPr>
          <w:gridAfter w:val="2"/>
          <w:wAfter w:w="25" w:type="dxa"/>
        </w:trPr>
        <w:tc>
          <w:tcPr>
            <w:tcW w:w="2268" w:type="dxa"/>
            <w:tcMar>
              <w:top w:w="57" w:type="dxa"/>
              <w:left w:w="57" w:type="dxa"/>
              <w:bottom w:w="57" w:type="dxa"/>
              <w:right w:w="57" w:type="dxa"/>
            </w:tcMar>
          </w:tcPr>
          <w:p>
            <w:pPr>
              <w:tabs>
                <w:tab w:val="num" w:pos="425"/>
              </w:tabs>
              <w:spacing w:after="0"/>
              <w:jc w:val="left"/>
              <w:rPr>
                <w:b/>
                <w:noProof/>
              </w:rPr>
            </w:pPr>
            <w:r>
              <w:rPr>
                <w:b/>
                <w:noProof/>
              </w:rPr>
              <w:t>Coordination costs (or transaction costs)</w:t>
            </w:r>
          </w:p>
        </w:tc>
        <w:tc>
          <w:tcPr>
            <w:tcW w:w="1276" w:type="dxa"/>
            <w:tcBorders>
              <w:right w:val="double" w:sz="4" w:space="0" w:color="auto"/>
            </w:tcBorders>
            <w:tcMar>
              <w:top w:w="57" w:type="dxa"/>
              <w:left w:w="57" w:type="dxa"/>
              <w:bottom w:w="57" w:type="dxa"/>
              <w:right w:w="57" w:type="dxa"/>
            </w:tcMar>
          </w:tcPr>
          <w:p>
            <w:pPr>
              <w:tabs>
                <w:tab w:val="num" w:pos="425"/>
              </w:tabs>
              <w:spacing w:after="0"/>
              <w:jc w:val="left"/>
              <w:rPr>
                <w:noProof/>
              </w:rPr>
            </w:pPr>
          </w:p>
        </w:tc>
        <w:tc>
          <w:tcPr>
            <w:tcW w:w="709" w:type="dxa"/>
            <w:tcBorders>
              <w:left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567" w:type="dxa"/>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709" w:type="dxa"/>
            <w:tcMar>
              <w:top w:w="57" w:type="dxa"/>
              <w:left w:w="57" w:type="dxa"/>
              <w:bottom w:w="57" w:type="dxa"/>
              <w:right w:w="57" w:type="dxa"/>
            </w:tcMar>
          </w:tcPr>
          <w:p>
            <w:pPr>
              <w:tabs>
                <w:tab w:val="num" w:pos="425"/>
              </w:tabs>
              <w:spacing w:after="0"/>
              <w:jc w:val="left"/>
              <w:rPr>
                <w:noProof/>
              </w:rPr>
            </w:pPr>
          </w:p>
        </w:tc>
        <w:tc>
          <w:tcPr>
            <w:tcW w:w="2864" w:type="dxa"/>
            <w:tcMar>
              <w:top w:w="57" w:type="dxa"/>
              <w:left w:w="57" w:type="dxa"/>
              <w:bottom w:w="57" w:type="dxa"/>
              <w:right w:w="57" w:type="dxa"/>
            </w:tcMar>
          </w:tcPr>
          <w:p>
            <w:pPr>
              <w:tabs>
                <w:tab w:val="num" w:pos="425"/>
              </w:tabs>
              <w:spacing w:after="0"/>
              <w:jc w:val="left"/>
              <w:rPr>
                <w:noProof/>
              </w:rPr>
            </w:pPr>
          </w:p>
        </w:tc>
      </w:tr>
      <w:tr>
        <w:trPr>
          <w:gridAfter w:val="2"/>
          <w:wAfter w:w="25" w:type="dxa"/>
        </w:trPr>
        <w:tc>
          <w:tcPr>
            <w:tcW w:w="2268" w:type="dxa"/>
            <w:tcMar>
              <w:top w:w="57" w:type="dxa"/>
              <w:left w:w="57" w:type="dxa"/>
              <w:bottom w:w="57" w:type="dxa"/>
              <w:right w:w="57" w:type="dxa"/>
            </w:tcMar>
          </w:tcPr>
          <w:p>
            <w:pPr>
              <w:tabs>
                <w:tab w:val="num" w:pos="425"/>
              </w:tabs>
              <w:spacing w:after="0"/>
              <w:jc w:val="left"/>
              <w:rPr>
                <w:b/>
                <w:noProof/>
              </w:rPr>
            </w:pPr>
            <w:r>
              <w:rPr>
                <w:b/>
                <w:noProof/>
              </w:rPr>
              <w:t>Budget expenditure/ investment costs</w:t>
            </w:r>
          </w:p>
        </w:tc>
        <w:tc>
          <w:tcPr>
            <w:tcW w:w="1276" w:type="dxa"/>
            <w:tcBorders>
              <w:right w:val="double" w:sz="4" w:space="0" w:color="auto"/>
            </w:tcBorders>
            <w:tcMar>
              <w:top w:w="57" w:type="dxa"/>
              <w:left w:w="57" w:type="dxa"/>
              <w:bottom w:w="57" w:type="dxa"/>
              <w:right w:w="57" w:type="dxa"/>
            </w:tcMar>
          </w:tcPr>
          <w:p>
            <w:pPr>
              <w:tabs>
                <w:tab w:val="num" w:pos="425"/>
              </w:tabs>
              <w:spacing w:after="0"/>
              <w:jc w:val="left"/>
              <w:rPr>
                <w:noProof/>
              </w:rPr>
            </w:pPr>
          </w:p>
        </w:tc>
        <w:tc>
          <w:tcPr>
            <w:tcW w:w="709" w:type="dxa"/>
            <w:tcBorders>
              <w:left w:val="double" w:sz="4" w:space="0" w:color="auto"/>
            </w:tcBorders>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567" w:type="dxa"/>
            <w:tcMar>
              <w:top w:w="57" w:type="dxa"/>
              <w:left w:w="57" w:type="dxa"/>
              <w:bottom w:w="57" w:type="dxa"/>
              <w:right w:w="57" w:type="dxa"/>
            </w:tcMar>
          </w:tcPr>
          <w:p>
            <w:pPr>
              <w:tabs>
                <w:tab w:val="num" w:pos="425"/>
              </w:tabs>
              <w:spacing w:after="0"/>
              <w:jc w:val="left"/>
              <w:rPr>
                <w:noProof/>
              </w:rPr>
            </w:pPr>
          </w:p>
        </w:tc>
        <w:tc>
          <w:tcPr>
            <w:tcW w:w="992" w:type="dxa"/>
            <w:tcMar>
              <w:top w:w="57" w:type="dxa"/>
              <w:left w:w="57" w:type="dxa"/>
              <w:bottom w:w="57" w:type="dxa"/>
              <w:right w:w="57" w:type="dxa"/>
            </w:tcMar>
          </w:tcPr>
          <w:p>
            <w:pPr>
              <w:tabs>
                <w:tab w:val="num" w:pos="425"/>
              </w:tabs>
              <w:spacing w:after="0"/>
              <w:jc w:val="left"/>
              <w:rPr>
                <w:noProof/>
              </w:rPr>
            </w:pPr>
          </w:p>
        </w:tc>
        <w:tc>
          <w:tcPr>
            <w:tcW w:w="709" w:type="dxa"/>
            <w:tcMar>
              <w:top w:w="57" w:type="dxa"/>
              <w:left w:w="57" w:type="dxa"/>
              <w:bottom w:w="57" w:type="dxa"/>
              <w:right w:w="57" w:type="dxa"/>
            </w:tcMar>
          </w:tcPr>
          <w:p>
            <w:pPr>
              <w:tabs>
                <w:tab w:val="num" w:pos="425"/>
              </w:tabs>
              <w:spacing w:after="0"/>
              <w:jc w:val="left"/>
              <w:rPr>
                <w:noProof/>
              </w:rPr>
            </w:pPr>
          </w:p>
        </w:tc>
        <w:tc>
          <w:tcPr>
            <w:tcW w:w="2864" w:type="dxa"/>
            <w:tcMar>
              <w:top w:w="57" w:type="dxa"/>
              <w:left w:w="57" w:type="dxa"/>
              <w:bottom w:w="57" w:type="dxa"/>
              <w:right w:w="57" w:type="dxa"/>
            </w:tcMar>
          </w:tcPr>
          <w:p>
            <w:pPr>
              <w:tabs>
                <w:tab w:val="num" w:pos="425"/>
              </w:tabs>
              <w:spacing w:after="0"/>
              <w:jc w:val="left"/>
              <w:rPr>
                <w:noProof/>
              </w:rPr>
            </w:pPr>
          </w:p>
        </w:tc>
      </w:tr>
    </w:tbl>
    <w:p>
      <w:pPr>
        <w:rPr>
          <w:i/>
          <w:noProof/>
          <w:sz w:val="20"/>
        </w:rPr>
      </w:pPr>
    </w:p>
    <w:p>
      <w:pPr>
        <w:rPr>
          <w:b/>
          <w:noProof/>
        </w:rPr>
      </w:pPr>
      <w:r>
        <w:rPr>
          <w:b/>
          <w:noProof/>
        </w:rPr>
        <w:t>REFIT Cost savings table</w:t>
      </w:r>
    </w:p>
    <w:p>
      <w:pPr>
        <w:rPr>
          <w:i/>
          <w:noProof/>
          <w:sz w:val="20"/>
        </w:rPr>
      </w:pPr>
      <w:r>
        <w:rPr>
          <w:noProof/>
          <w:szCs w:val="24"/>
        </w:rPr>
        <w:t>Not applicable for the proposed KDT Partnership. The initiative will benefit from the existing organisation/structure (e.g. the Programme Office) already in place for the ECSEL JU. There are no additional regulatory costs associated, and no specific simplification measures apply in this case.</w:t>
      </w:r>
    </w:p>
    <w:p>
      <w:pPr>
        <w:spacing w:after="0"/>
        <w:jc w:val="left"/>
        <w:rPr>
          <w:i/>
          <w:noProof/>
          <w:sz w:val="20"/>
        </w:rPr>
      </w:pPr>
      <w:r>
        <w:rPr>
          <w:i/>
          <w:noProof/>
          <w:sz w:val="20"/>
        </w:rPr>
        <w:br w:type="page"/>
      </w:r>
    </w:p>
    <w:p>
      <w:pPr>
        <w:pStyle w:val="AnnexTitle"/>
        <w:ind w:left="2268" w:hanging="2268"/>
        <w:rPr>
          <w:noProof/>
        </w:rPr>
      </w:pPr>
      <w:bookmarkStart w:id="84" w:name="_Toc43908654"/>
      <w:r>
        <w:rPr>
          <w:noProof/>
        </w:rPr>
        <w:t>Annex 4</w:t>
      </w:r>
      <w:r>
        <w:rPr>
          <w:noProof/>
        </w:rPr>
        <w:tab/>
        <w:t>Analytical Methods</w:t>
      </w:r>
      <w:bookmarkEnd w:id="84"/>
    </w:p>
    <w:p>
      <w:pPr>
        <w:pStyle w:val="Body"/>
        <w:spacing w:line="240" w:lineRule="auto"/>
        <w:rPr>
          <w:noProof/>
          <w:sz w:val="24"/>
        </w:rPr>
      </w:pPr>
      <w:r>
        <w:rPr>
          <w:noProof/>
          <w:sz w:val="24"/>
        </w:rPr>
        <w:t>The methodology for each impact assessment is based on the Commission Better Regulation Guidelines</w:t>
      </w:r>
      <w:r>
        <w:rPr>
          <w:rStyle w:val="FootnoteReference"/>
          <w:noProof/>
          <w:sz w:val="24"/>
        </w:rPr>
        <w:footnoteReference w:id="13"/>
      </w:r>
      <w:r>
        <w:rPr>
          <w:noProof/>
          <w:sz w:val="24"/>
        </w:rPr>
        <w:t xml:space="preserve"> to evaluate and compare options with regards to their </w:t>
      </w:r>
      <w:r>
        <w:rPr>
          <w:b/>
          <w:noProof/>
          <w:sz w:val="24"/>
        </w:rPr>
        <w:t>efficiency, effectiveness and coherence</w:t>
      </w:r>
      <w:r>
        <w:rPr>
          <w:noProof/>
          <w:sz w:val="24"/>
        </w:rPr>
        <w:t xml:space="preserve">. This is complemented by integrating the </w:t>
      </w:r>
      <w:r>
        <w:rPr>
          <w:b/>
          <w:noProof/>
          <w:sz w:val="24"/>
        </w:rPr>
        <w:t>conditions and</w:t>
      </w:r>
      <w:r>
        <w:rPr>
          <w:noProof/>
          <w:sz w:val="24"/>
        </w:rPr>
        <w:t xml:space="preserve"> </w:t>
      </w:r>
      <w:r>
        <w:rPr>
          <w:b/>
          <w:noProof/>
          <w:sz w:val="24"/>
        </w:rPr>
        <w:t>selection criteria for European Partnerships</w:t>
      </w:r>
      <w:r>
        <w:rPr>
          <w:noProof/>
          <w:sz w:val="24"/>
        </w:rPr>
        <w:t>, as well as requirements for setting up Institutionalised Partnerships.</w:t>
      </w:r>
      <w:r>
        <w:rPr>
          <w:rStyle w:val="FootnoteReference"/>
          <w:noProof/>
          <w:sz w:val="24"/>
        </w:rPr>
        <w:footnoteReference w:id="14"/>
      </w:r>
      <w:r>
        <w:rPr>
          <w:noProof/>
          <w:sz w:val="24"/>
        </w:rPr>
        <w:t xml:space="preserve"> </w:t>
      </w:r>
    </w:p>
    <w:p>
      <w:pPr>
        <w:pStyle w:val="Heading1"/>
        <w:numPr>
          <w:ilvl w:val="0"/>
          <w:numId w:val="62"/>
        </w:numPr>
        <w:rPr>
          <w:noProof/>
        </w:rPr>
      </w:pPr>
      <w:bookmarkStart w:id="85" w:name="_Toc33117155"/>
      <w:bookmarkStart w:id="86" w:name="_Toc33541375"/>
      <w:bookmarkStart w:id="87" w:name="_Toc43908655"/>
      <w:r>
        <w:rPr>
          <w:noProof/>
        </w:rPr>
        <w:t>Overview of the methodologies employed</w:t>
      </w:r>
      <w:bookmarkEnd w:id="85"/>
      <w:bookmarkEnd w:id="86"/>
      <w:bookmarkEnd w:id="87"/>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Institutionalised European Partnerships draw on an external study covering all initiatives in parallel to ensure a high level of coherence and comparability of analysis</w:t>
      </w:r>
      <w:r>
        <w:rPr>
          <w:rStyle w:val="FootnoteReference"/>
          <w:noProof/>
          <w:szCs w:val="24"/>
        </w:rPr>
        <w:footnoteReference w:id="15"/>
      </w:r>
      <w:r>
        <w:rPr>
          <w:noProof/>
          <w:szCs w:val="24"/>
        </w:rPr>
        <w:t>.</w:t>
      </w:r>
    </w:p>
    <w:p>
      <w:pPr>
        <w:pStyle w:val="Body"/>
        <w:spacing w:line="240" w:lineRule="auto"/>
        <w:rPr>
          <w:noProof/>
          <w:sz w:val="24"/>
          <w:lang w:eastAsia="ja-JP"/>
        </w:rPr>
      </w:pPr>
      <w:r>
        <w:rPr>
          <w:noProof/>
          <w:sz w:val="24"/>
        </w:rPr>
        <w:t xml:space="preserve">All impact assessments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pStyle w:val="Body"/>
        <w:spacing w:line="240" w:lineRule="auto"/>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spacing w:line="240" w:lineRule="auto"/>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spacing w:line="240" w:lineRule="auto"/>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spacing w:line="240" w:lineRule="auto"/>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spacing w:line="240" w:lineRule="auto"/>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spacing w:line="240" w:lineRule="auto"/>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66"/>
        </w:numPr>
        <w:rPr>
          <w:noProof/>
          <w:szCs w:val="24"/>
        </w:rPr>
      </w:pPr>
      <w:r>
        <w:rPr>
          <w:noProof/>
          <w:szCs w:val="24"/>
        </w:rPr>
        <w:t>The comments to the inception impact assessments of the individual candidate institutionalised European Partnerships;</w:t>
      </w:r>
    </w:p>
    <w:p>
      <w:pPr>
        <w:pStyle w:val="ListBullet"/>
        <w:numPr>
          <w:ilvl w:val="0"/>
          <w:numId w:val="66"/>
        </w:numPr>
        <w:rPr>
          <w:noProof/>
          <w:szCs w:val="24"/>
        </w:rPr>
      </w:pPr>
      <w:r>
        <w:rPr>
          <w:noProof/>
          <w:szCs w:val="24"/>
        </w:rPr>
        <w:t>The open public consultation organised by the European Commission from September to November 2019;</w:t>
      </w:r>
    </w:p>
    <w:p>
      <w:pPr>
        <w:pStyle w:val="ListBullet"/>
        <w:numPr>
          <w:ilvl w:val="0"/>
          <w:numId w:val="66"/>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spacing w:line="240" w:lineRule="auto"/>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spacing w:line="240" w:lineRule="auto"/>
        <w:rPr>
          <w:noProof/>
          <w:sz w:val="24"/>
          <w:szCs w:val="20"/>
          <w:lang w:eastAsia="fr-BE"/>
        </w:rPr>
      </w:pPr>
      <w:r>
        <w:rPr>
          <w:noProof/>
          <w:sz w:val="24"/>
          <w:szCs w:val="20"/>
          <w:lang w:eastAsia="fr-BE"/>
        </w:rPr>
        <w:t xml:space="preserve">Annex 2 includes also the main outcomes of the stakeholder consultation exercises. </w:t>
      </w:r>
    </w:p>
    <w:p>
      <w:pPr>
        <w:pStyle w:val="Heading1"/>
        <w:numPr>
          <w:ilvl w:val="0"/>
          <w:numId w:val="2"/>
        </w:numPr>
        <w:rPr>
          <w:noProof/>
        </w:rPr>
      </w:pPr>
      <w:bookmarkStart w:id="88" w:name="_Toc33117156"/>
      <w:bookmarkStart w:id="89" w:name="_Toc33541376"/>
      <w:bookmarkStart w:id="90" w:name="_Toc43908656"/>
      <w:r>
        <w:rPr>
          <w:noProof/>
        </w:rPr>
        <w:t>Method for assessing the effectiveness, efficiency and coherence of each option</w:t>
      </w:r>
      <w:bookmarkEnd w:id="88"/>
      <w:r>
        <w:rPr>
          <w:noProof/>
        </w:rPr>
        <w:t xml:space="preserve"> - The use of functionalities</w:t>
      </w:r>
      <w:bookmarkEnd w:id="89"/>
      <w:bookmarkEnd w:id="90"/>
    </w:p>
    <w:p>
      <w:pPr>
        <w:rPr>
          <w:noProof/>
        </w:rPr>
      </w:pPr>
      <w:r>
        <w:rPr>
          <w:noProof/>
        </w:rPr>
        <w:t>Given the focus of the impact assessment on comparing different forms of implementation, the Better Regulation framework has been adapted to introduce “</w:t>
      </w:r>
      <w:r>
        <w:rPr>
          <w:b/>
          <w:noProof/>
        </w:rPr>
        <w:t>key</w:t>
      </w:r>
      <w:r>
        <w:rPr>
          <w:noProof/>
        </w:rPr>
        <w:t xml:space="preserve"> </w:t>
      </w:r>
      <w:r>
        <w:rPr>
          <w:b/>
          <w:noProof/>
        </w:rPr>
        <w:t>functionalities needed</w:t>
      </w:r>
      <w:r>
        <w:rPr>
          <w:noProof/>
        </w:rPr>
        <w:t xml:space="preserve">” – so as to link the intended objectives of the candidate European Partnerships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w:t>
      </w:r>
      <w:r>
        <w:rPr>
          <w:rStyle w:val="FootnoteReference"/>
          <w:noProof/>
        </w:rPr>
        <w:footnoteReference w:id="16"/>
      </w:r>
      <w:r>
        <w:rPr>
          <w:noProof/>
        </w:rPr>
        <w:t xml:space="preserve">. </w:t>
      </w:r>
    </w:p>
    <w:p>
      <w:pPr>
        <w:pStyle w:val="Caption"/>
        <w:keepNext/>
        <w:rPr>
          <w:noProof/>
        </w:rPr>
      </w:pPr>
      <w:r>
        <w:rPr>
          <w:noProof/>
        </w:rPr>
        <w:t>Figure 3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 xml:space="preserve">Activities: </w:t>
            </w:r>
            <w:r>
              <w:rPr>
                <w:noProof/>
              </w:rPr>
              <w:t xml:space="preserve">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pStyle w:val="Body"/>
        <w:rPr>
          <w:noProof/>
          <w:sz w:val="24"/>
        </w:rPr>
      </w:pPr>
    </w:p>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17"/>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18"/>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19"/>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0"/>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80"/>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80"/>
        </w:numPr>
        <w:spacing w:after="120"/>
        <w:rPr>
          <w:noProof/>
          <w:szCs w:val="24"/>
          <w:lang w:val="en-IE"/>
        </w:rPr>
      </w:pPr>
      <w:r>
        <w:rPr>
          <w:noProof/>
          <w:szCs w:val="24"/>
          <w:lang w:val="en-IE"/>
        </w:rPr>
        <w:t>For a Co-Programmed partnership the costs of preparation and implementation increase only marginally compared to the baseline (&lt;1%),</w:t>
      </w:r>
      <w:r>
        <w:rPr>
          <w:rStyle w:val="FootnoteReference"/>
          <w:noProof/>
          <w:szCs w:val="24"/>
          <w:lang w:val="en-IE"/>
        </w:rPr>
        <w:footnoteReference w:id="21"/>
      </w:r>
      <w:r>
        <w:rPr>
          <w:noProof/>
          <w:szCs w:val="24"/>
          <w:lang w:val="en-IE"/>
        </w:rPr>
        <w:t xml:space="preserve"> but lead to an additional R&amp;I investment of at least the same amount than the Union contribution</w:t>
      </w:r>
      <w:r>
        <w:rPr>
          <w:rStyle w:val="FootnoteReference"/>
          <w:noProof/>
          <w:szCs w:val="24"/>
          <w:lang w:val="en-IE"/>
        </w:rPr>
        <w:footnoteReference w:id="22"/>
      </w:r>
      <w:r>
        <w:rPr>
          <w:noProof/>
          <w:szCs w:val="24"/>
          <w:lang w:val="en-IE"/>
        </w:rPr>
        <w:t xml:space="preserve"> (efficiency of 98% for the overall investment).</w:t>
      </w:r>
    </w:p>
    <w:p>
      <w:pPr>
        <w:pStyle w:val="ListParagraph"/>
        <w:widowControl w:val="0"/>
        <w:numPr>
          <w:ilvl w:val="0"/>
          <w:numId w:val="80"/>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23"/>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rStyle w:val="FootnoteReference"/>
          <w:noProof/>
          <w:szCs w:val="24"/>
          <w:lang w:val="en-IE"/>
        </w:rPr>
        <w:footnoteReference w:id="24"/>
      </w:r>
    </w:p>
    <w:p>
      <w:pPr>
        <w:pStyle w:val="ListParagraph"/>
        <w:widowControl w:val="0"/>
        <w:numPr>
          <w:ilvl w:val="0"/>
          <w:numId w:val="80"/>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25"/>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80"/>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26"/>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1"/>
        <w:gridCol w:w="1071"/>
        <w:gridCol w:w="1393"/>
        <w:gridCol w:w="1157"/>
        <w:gridCol w:w="1119"/>
        <w:gridCol w:w="1017"/>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pStyle w:val="Text2"/>
        <w:ind w:left="0"/>
        <w:rPr>
          <w:noProof/>
        </w:rPr>
      </w:pPr>
      <w:r>
        <w:rPr>
          <w:noProof/>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lang w:val="en-IE"/>
        </w:rPr>
        <w:t xml:space="preserve"> </w:t>
      </w:r>
      <w:r>
        <w:rPr>
          <w:noProof/>
          <w:lang w:val="en-IE"/>
        </w:rPr>
        <w:t>(</w:t>
      </w:r>
      <w:r>
        <w:rPr>
          <w:b/>
          <w:noProof/>
          <w:lang w:val="en-IE"/>
        </w:rPr>
        <w:t>cost-effectiveness</w:t>
      </w:r>
      <w:r>
        <w:rPr>
          <w:noProof/>
          <w:lang w:val="en-IE"/>
        </w:rPr>
        <w:t>). In carrying out the scoring of options, the results of fieldwork, desk research and stakeholder consultation undertaken and taken into account.</w:t>
      </w:r>
      <w:bookmarkStart w:id="91" w:name="_Toc31654369"/>
      <w:bookmarkStart w:id="92" w:name="_Toc31654838"/>
      <w:bookmarkStart w:id="93" w:name="_Toc31739521"/>
      <w:bookmarkStart w:id="94" w:name="_Toc21441382"/>
      <w:bookmarkEnd w:id="91"/>
      <w:bookmarkEnd w:id="92"/>
      <w:bookmarkEnd w:id="93"/>
      <w:bookmarkEnd w:id="94"/>
    </w:p>
    <w:p>
      <w:pPr>
        <w:pStyle w:val="Heading1"/>
        <w:numPr>
          <w:ilvl w:val="0"/>
          <w:numId w:val="2"/>
        </w:numPr>
        <w:rPr>
          <w:noProof/>
        </w:rPr>
      </w:pPr>
      <w:bookmarkStart w:id="95" w:name="_Toc33541377"/>
      <w:bookmarkStart w:id="96" w:name="_Toc43908657"/>
      <w:r>
        <w:rPr>
          <w:noProof/>
        </w:rPr>
        <w:t>Method for identifying the preferred option – The scorecard analysis</w:t>
      </w:r>
      <w:bookmarkEnd w:id="95"/>
      <w:bookmarkEnd w:id="96"/>
    </w:p>
    <w:p>
      <w:pPr>
        <w:pStyle w:val="Body"/>
        <w:spacing w:line="240" w:lineRule="auto"/>
        <w:rPr>
          <w:noProof/>
          <w:sz w:val="24"/>
        </w:rPr>
      </w:pPr>
      <w:r>
        <w:rPr>
          <w:noProof/>
          <w:sz w:val="24"/>
        </w:rPr>
        <w:t xml:space="preserve">For the </w:t>
      </w:r>
      <w:r>
        <w:rPr>
          <w:b/>
          <w:noProof/>
          <w:sz w:val="24"/>
        </w:rPr>
        <w:t>identification of the preferred option,</w:t>
      </w:r>
      <w:r>
        <w:rPr>
          <w:noProof/>
          <w:sz w:val="24"/>
        </w:rPr>
        <w:t xml:space="preserve"> a scorecard analysis is used to build a hierarchy of the options by individual criterion and overall</w:t>
      </w:r>
      <w:r>
        <w:rPr>
          <w:iCs/>
          <w:noProof/>
          <w:sz w:val="24"/>
        </w:rPr>
        <w:t xml:space="preserve"> in order to identify a single preferred policy option or in case of an inconclusive comparison of options, a number of ‘retained’ options or hybrid</w:t>
      </w:r>
      <w:r>
        <w:rPr>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szCs w:val="24"/>
          <w:lang w:val="en-IE"/>
        </w:rPr>
      </w:pPr>
      <w:r>
        <w:rPr>
          <w:rFonts w:eastAsiaTheme="minorEastAsia"/>
          <w:noProof/>
          <w:lang w:eastAsia="ja-JP"/>
        </w:rPr>
        <w:t xml:space="preserve">This scorecard approach also relies on a standard cost model developed for the external study supporting the impact assessment, as illustrated in </w:t>
      </w:r>
      <w:r>
        <w:rPr>
          <w:noProof/>
          <w:szCs w:val="24"/>
          <w:lang w:eastAsia="zh-CN"/>
        </w:rPr>
        <w:t>Figure 5</w:t>
      </w:r>
      <w:r>
        <w:rPr>
          <w:noProof/>
        </w:rPr>
        <w:t xml:space="preserve">. </w:t>
      </w:r>
      <w:r>
        <w:rPr>
          <w:noProof/>
          <w:szCs w:val="24"/>
          <w:lang w:val="en-IE"/>
        </w:rPr>
        <w:t>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Body"/>
        <w:spacing w:line="240" w:lineRule="auto"/>
        <w:rPr>
          <w:rFonts w:eastAsiaTheme="minorEastAsia"/>
          <w:noProof/>
          <w:sz w:val="24"/>
          <w:lang w:eastAsia="ja-JP"/>
        </w:rPr>
      </w:pPr>
      <w:r>
        <w:rPr>
          <w:noProof/>
          <w:sz w:val="24"/>
        </w:rPr>
        <w:t xml:space="preserve">These costs essentially refer to the administrative, operational and coordination costs of the various options. The figure shows how the scoring of costs </w:t>
      </w:r>
      <w:r>
        <w:rPr>
          <w:rFonts w:eastAsiaTheme="minorEastAsia"/>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and Co-Funded options, a score of 0 to the Article 185 option </w:t>
      </w:r>
      <w:r>
        <w:rPr>
          <w:rFonts w:eastAsiaTheme="minorEastAsia"/>
          <w:noProof/>
          <w:szCs w:val="24"/>
          <w:lang w:eastAsia="ja-JP"/>
        </w:rPr>
        <w:tab/>
        <w:t xml:space="preserve">and a score of (-) for the Article 187 Institutionalised Partnership policy </w:t>
      </w:r>
      <w:r>
        <w:rPr>
          <w:noProof/>
        </w:rPr>
        <w:t>option</w:t>
      </w:r>
      <w:r>
        <w:rPr>
          <w:rStyle w:val="FootnoteReference"/>
          <w:noProof/>
        </w:rPr>
        <w:footnoteReference w:id="27"/>
      </w:r>
      <w:r>
        <w:rPr>
          <w:noProof/>
        </w:rPr>
        <w:t>.</w:t>
      </w:r>
    </w:p>
    <w:p>
      <w:pPr>
        <w:pStyle w:val="Body"/>
        <w:spacing w:line="240" w:lineRule="auto"/>
        <w:rPr>
          <w:noProof/>
          <w:lang w:eastAsia="fr-BE"/>
        </w:rPr>
      </w:pPr>
      <w:r>
        <w:rPr>
          <w:rFonts w:eastAsiaTheme="minorEastAsia"/>
          <w:noProof/>
          <w:sz w:val="24"/>
          <w:lang w:eastAsia="ja-JP"/>
        </w:rPr>
        <w:t xml:space="preserve"> </w:t>
      </w:r>
    </w:p>
    <w:p>
      <w:pPr>
        <w:keepNext/>
        <w:spacing w:before="120" w:after="120"/>
        <w:rPr>
          <w:rFonts w:eastAsiaTheme="minorEastAsia"/>
          <w:b/>
          <w:noProof/>
          <w:szCs w:val="24"/>
          <w:lang w:eastAsia="ja-JP"/>
        </w:rPr>
      </w:pPr>
      <w:r>
        <w:rPr>
          <w:rFonts w:eastAsiaTheme="minorEastAsia"/>
          <w:b/>
          <w:noProof/>
          <w:szCs w:val="24"/>
          <w:lang w:eastAsia="ja-JP"/>
        </w:rPr>
        <w:t>Figure 5: Matrix on ‘overall costs’ and ‘adjusted cost scoring’</w:t>
      </w:r>
    </w:p>
    <w:tbl>
      <w:tblPr>
        <w:tblStyle w:val="Style1"/>
        <w:tblW w:w="5000" w:type="pct"/>
        <w:tblLook w:val="04A0" w:firstRow="1" w:lastRow="0" w:firstColumn="1" w:lastColumn="0" w:noHBand="0" w:noVBand="1"/>
      </w:tblPr>
      <w:tblGrid>
        <w:gridCol w:w="2124"/>
        <w:gridCol w:w="1490"/>
        <w:gridCol w:w="1338"/>
        <w:gridCol w:w="1122"/>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64" w:lineRule="auto"/>
        <w:rPr>
          <w:noProof/>
          <w:sz w:val="18"/>
          <w:szCs w:val="18"/>
        </w:rPr>
      </w:pPr>
      <w:r>
        <w:rPr>
          <w:noProof/>
          <w:sz w:val="18"/>
          <w:szCs w:val="18"/>
        </w:rPr>
        <w:t>Notes: Score 0 = same costs as for the baseline; score (-) = limited additional costs compared to baseline; score (- -) = substantial additional costs compared to baseline. ; score (+) = lower costs compared to baseline</w:t>
      </w:r>
    </w:p>
    <w:p>
      <w:pPr>
        <w:pStyle w:val="Body"/>
        <w:spacing w:line="240" w:lineRule="auto"/>
        <w:rPr>
          <w:noProof/>
          <w:sz w:val="24"/>
        </w:rPr>
      </w:pPr>
    </w:p>
    <w:p>
      <w:pPr>
        <w:pStyle w:val="Body"/>
        <w:spacing w:line="240" w:lineRule="auto"/>
        <w:rPr>
          <w:noProof/>
        </w:rPr>
      </w:pPr>
    </w:p>
    <w:p>
      <w:pPr>
        <w:spacing w:after="0"/>
        <w:jc w:val="left"/>
        <w:rPr>
          <w:i/>
          <w:noProof/>
          <w:sz w:val="20"/>
        </w:rPr>
      </w:pPr>
    </w:p>
    <w:p>
      <w:pPr>
        <w:spacing w:after="0"/>
        <w:jc w:val="left"/>
        <w:rPr>
          <w:i/>
          <w:noProof/>
          <w:sz w:val="20"/>
        </w:rPr>
      </w:pPr>
      <w:r>
        <w:rPr>
          <w:i/>
          <w:noProof/>
          <w:sz w:val="20"/>
        </w:rPr>
        <w:br w:type="page"/>
      </w:r>
    </w:p>
    <w:p>
      <w:pPr>
        <w:pStyle w:val="AnnexTitle"/>
        <w:ind w:left="2268" w:hanging="2268"/>
        <w:rPr>
          <w:noProof/>
        </w:rPr>
      </w:pPr>
      <w:bookmarkStart w:id="97" w:name="_Toc43908658"/>
      <w:r>
        <w:rPr>
          <w:noProof/>
        </w:rPr>
        <w:t>Annex 5</w:t>
      </w:r>
      <w:r>
        <w:rPr>
          <w:noProof/>
        </w:rPr>
        <w:tab/>
        <w:t>Subsidiarity Grid</w:t>
      </w:r>
      <w:bookmarkEnd w:id="97"/>
    </w:p>
    <w:tbl>
      <w:tblPr>
        <w:tblStyle w:val="TableGrid"/>
        <w:tblW w:w="0" w:type="auto"/>
        <w:tblCellMar>
          <w:top w:w="100" w:type="dxa"/>
          <w:bottom w:w="100" w:type="dxa"/>
        </w:tblCellMar>
        <w:tblLook w:val="04A0" w:firstRow="1" w:lastRow="0" w:firstColumn="1" w:lastColumn="0" w:noHBand="0" w:noVBand="1"/>
      </w:tblPr>
      <w:tblGrid>
        <w:gridCol w:w="9286"/>
      </w:tblGrid>
      <w:tr>
        <w:tc>
          <w:tcPr>
            <w:tcW w:w="9288" w:type="dxa"/>
            <w:shd w:val="clear" w:color="auto" w:fill="808080" w:themeFill="background1" w:themeFillShade="80"/>
          </w:tcPr>
          <w:p>
            <w:pPr>
              <w:numPr>
                <w:ilvl w:val="0"/>
                <w:numId w:val="67"/>
              </w:numPr>
              <w:rPr>
                <w:b/>
                <w:noProof/>
                <w:sz w:val="24"/>
                <w:szCs w:val="24"/>
                <w:lang w:val="en-IE"/>
              </w:rPr>
            </w:pPr>
            <w:r>
              <w:rPr>
                <w:b/>
                <w:noProof/>
                <w:sz w:val="24"/>
                <w:szCs w:val="24"/>
                <w:lang w:val="en-IE"/>
              </w:rPr>
              <w:t>Can the Union act? What is the legal basis and competence of the Unions’ intended action?</w:t>
            </w:r>
          </w:p>
        </w:tc>
      </w:tr>
      <w:tr>
        <w:tc>
          <w:tcPr>
            <w:tcW w:w="9288" w:type="dxa"/>
          </w:tcPr>
          <w:p>
            <w:pPr>
              <w:rPr>
                <w:b/>
                <w:noProof/>
                <w:color w:val="000000" w:themeColor="text1"/>
                <w:sz w:val="24"/>
                <w:szCs w:val="24"/>
                <w:lang w:val="en-IE"/>
              </w:rPr>
            </w:pPr>
            <w:r>
              <w:rPr>
                <w:b/>
                <w:noProof/>
                <w:color w:val="000000" w:themeColor="text1"/>
                <w:sz w:val="24"/>
                <w:szCs w:val="24"/>
                <w:lang w:val="en-IE"/>
              </w:rPr>
              <w:t>1.1 Which article(s) of the Treaty are used to support the legislative proposal or policy initiative?</w:t>
            </w:r>
          </w:p>
        </w:tc>
      </w:tr>
      <w:tr>
        <w:tc>
          <w:tcPr>
            <w:tcW w:w="9288" w:type="dxa"/>
          </w:tcPr>
          <w:p>
            <w:pPr>
              <w:rPr>
                <w:noProof/>
                <w:color w:val="000000" w:themeColor="text1"/>
                <w:sz w:val="24"/>
                <w:szCs w:val="24"/>
                <w:lang w:val="en-IE"/>
              </w:rPr>
            </w:pPr>
            <w:r>
              <w:rPr>
                <w:noProof/>
                <w:color w:val="000000" w:themeColor="text1"/>
                <w:sz w:val="24"/>
                <w:szCs w:val="24"/>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sz w:val="24"/>
                <w:szCs w:val="24"/>
                <w:lang w:val="en-IE"/>
              </w:rPr>
            </w:pPr>
            <w:r>
              <w:rPr>
                <w:noProof/>
                <w:color w:val="000000" w:themeColor="text1"/>
                <w:sz w:val="24"/>
                <w:szCs w:val="24"/>
                <w:lang w:val="en-IE"/>
              </w:rPr>
              <w:t>The proposal aims to implement Article 8 of the Commission proposal for Horizon Europe - the future EU research and innovation (R&amp;I) programme for 2021-2027, according to which, “</w:t>
            </w:r>
            <w:r>
              <w:rPr>
                <w:i/>
                <w:noProof/>
                <w:color w:val="000000" w:themeColor="text1"/>
                <w:sz w:val="24"/>
                <w:szCs w:val="24"/>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sz w:val="24"/>
                <w:szCs w:val="24"/>
                <w:lang w:val="en-IE"/>
              </w:rPr>
              <w:t>”. The Horizon Europe proposal has received the political agreement of the Council and the European Parliament.</w:t>
            </w:r>
          </w:p>
        </w:tc>
      </w:tr>
      <w:tr>
        <w:tc>
          <w:tcPr>
            <w:tcW w:w="9288" w:type="dxa"/>
          </w:tcPr>
          <w:p>
            <w:pPr>
              <w:rPr>
                <w:b/>
                <w:noProof/>
                <w:color w:val="000000" w:themeColor="text1"/>
                <w:sz w:val="24"/>
                <w:szCs w:val="24"/>
                <w:lang w:val="en-IE"/>
              </w:rPr>
            </w:pPr>
            <w:r>
              <w:rPr>
                <w:b/>
                <w:noProof/>
                <w:color w:val="000000" w:themeColor="text1"/>
                <w:sz w:val="24"/>
                <w:szCs w:val="24"/>
                <w:lang w:val="en-IE"/>
              </w:rPr>
              <w:t>1.2 Is the Union competence represented by this Treaty article exclusive, shared or supporting in nature?</w:t>
            </w:r>
          </w:p>
        </w:tc>
      </w:tr>
      <w:tr>
        <w:tc>
          <w:tcPr>
            <w:tcW w:w="9288" w:type="dxa"/>
          </w:tcPr>
          <w:p>
            <w:pPr>
              <w:rPr>
                <w:noProof/>
                <w:color w:val="000000" w:themeColor="text1"/>
                <w:sz w:val="24"/>
                <w:szCs w:val="24"/>
                <w:lang w:val="en-IE"/>
              </w:rPr>
            </w:pPr>
            <w:r>
              <w:rPr>
                <w:noProof/>
                <w:color w:val="000000" w:themeColor="text1"/>
                <w:sz w:val="24"/>
                <w:szCs w:val="24"/>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sz w:val="24"/>
                <w:szCs w:val="24"/>
                <w:lang w:val="en-IE"/>
              </w:rPr>
            </w:pPr>
            <w:r>
              <w:rPr>
                <w:i/>
                <w:noProof/>
                <w:color w:val="000000" w:themeColor="text1"/>
                <w:sz w:val="24"/>
                <w:szCs w:val="24"/>
                <w:lang w:val="en-IE"/>
              </w:rPr>
              <w:t xml:space="preserve">Subsidiarity does not apply for policy areas where the Union has </w:t>
            </w:r>
            <w:r>
              <w:rPr>
                <w:b/>
                <w:i/>
                <w:noProof/>
                <w:color w:val="000000" w:themeColor="text1"/>
                <w:sz w:val="24"/>
                <w:szCs w:val="24"/>
                <w:lang w:val="en-IE"/>
              </w:rPr>
              <w:t>exclusive</w:t>
            </w:r>
            <w:r>
              <w:rPr>
                <w:i/>
                <w:noProof/>
                <w:color w:val="000000" w:themeColor="text1"/>
                <w:sz w:val="24"/>
                <w:szCs w:val="24"/>
                <w:lang w:val="en-IE"/>
              </w:rPr>
              <w:t xml:space="preserve"> competence as defined in Article 3 TFEU</w:t>
            </w:r>
            <w:r>
              <w:rPr>
                <w:i/>
                <w:noProof/>
                <w:color w:val="000000" w:themeColor="text1"/>
                <w:sz w:val="24"/>
                <w:szCs w:val="24"/>
                <w:vertAlign w:val="superscript"/>
                <w:lang w:val="fr-BE"/>
              </w:rPr>
              <w:footnoteReference w:id="28"/>
            </w:r>
            <w:r>
              <w:rPr>
                <w:i/>
                <w:noProof/>
                <w:color w:val="000000" w:themeColor="text1"/>
                <w:sz w:val="24"/>
                <w:szCs w:val="24"/>
                <w:lang w:val="en-IE"/>
              </w:rPr>
              <w:t>. It is the specific legal basis which determines whether the proposal falls under the subsidiarity control mechanism. Article 4 TFEU</w:t>
            </w:r>
            <w:r>
              <w:rPr>
                <w:i/>
                <w:noProof/>
                <w:color w:val="000000" w:themeColor="text1"/>
                <w:sz w:val="24"/>
                <w:szCs w:val="24"/>
                <w:vertAlign w:val="superscript"/>
                <w:lang w:val="fr-BE"/>
              </w:rPr>
              <w:footnoteReference w:id="29"/>
            </w:r>
            <w:r>
              <w:rPr>
                <w:i/>
                <w:noProof/>
                <w:color w:val="000000" w:themeColor="text1"/>
                <w:sz w:val="24"/>
                <w:szCs w:val="24"/>
                <w:lang w:val="en-IE"/>
              </w:rPr>
              <w:t xml:space="preserve"> sets out the areas where competence is shared between the Union and the Member States. Article 6 TFEU</w:t>
            </w:r>
            <w:r>
              <w:rPr>
                <w:i/>
                <w:noProof/>
                <w:color w:val="000000" w:themeColor="text1"/>
                <w:sz w:val="24"/>
                <w:szCs w:val="24"/>
                <w:vertAlign w:val="superscript"/>
                <w:lang w:val="fr-BE"/>
              </w:rPr>
              <w:footnoteReference w:id="30"/>
            </w:r>
            <w:r>
              <w:rPr>
                <w:i/>
                <w:noProof/>
                <w:color w:val="000000" w:themeColor="text1"/>
                <w:sz w:val="24"/>
                <w:szCs w:val="24"/>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67"/>
              </w:numPr>
              <w:rPr>
                <w:b/>
                <w:noProof/>
                <w:color w:val="000000" w:themeColor="text1"/>
                <w:sz w:val="24"/>
                <w:szCs w:val="24"/>
                <w:lang w:val="en-IE"/>
              </w:rPr>
            </w:pPr>
            <w:r>
              <w:rPr>
                <w:b/>
                <w:noProof/>
                <w:color w:val="000000" w:themeColor="text1"/>
                <w:sz w:val="24"/>
                <w:szCs w:val="24"/>
                <w:lang w:val="en-IE"/>
              </w:rPr>
              <w:t>Subsidiarity Principle: Why should the EU act?</w:t>
            </w:r>
          </w:p>
        </w:tc>
      </w:tr>
      <w:tr>
        <w:tc>
          <w:tcPr>
            <w:tcW w:w="9288" w:type="dxa"/>
          </w:tcPr>
          <w:p>
            <w:pPr>
              <w:numPr>
                <w:ilvl w:val="1"/>
                <w:numId w:val="67"/>
              </w:numPr>
              <w:rPr>
                <w:b/>
                <w:noProof/>
                <w:color w:val="000000" w:themeColor="text1"/>
                <w:sz w:val="24"/>
                <w:szCs w:val="24"/>
                <w:lang w:val="en-IE"/>
              </w:rPr>
            </w:pPr>
            <w:r>
              <w:rPr>
                <w:b/>
                <w:noProof/>
                <w:color w:val="000000" w:themeColor="text1"/>
                <w:sz w:val="24"/>
                <w:szCs w:val="24"/>
                <w:lang w:val="en-IE"/>
              </w:rPr>
              <w:t>Does the proposal fulfil the procedural requirements of Protocol No. 2</w:t>
            </w:r>
            <w:r>
              <w:rPr>
                <w:b/>
                <w:noProof/>
                <w:color w:val="000000" w:themeColor="text1"/>
                <w:sz w:val="24"/>
                <w:szCs w:val="24"/>
                <w:vertAlign w:val="superscript"/>
                <w:lang w:val="fr-BE"/>
              </w:rPr>
              <w:footnoteReference w:id="31"/>
            </w:r>
            <w:r>
              <w:rPr>
                <w:b/>
                <w:noProof/>
                <w:color w:val="000000" w:themeColor="text1"/>
                <w:sz w:val="24"/>
                <w:szCs w:val="24"/>
                <w:lang w:val="en-IE"/>
              </w:rPr>
              <w:t>:</w:t>
            </w:r>
          </w:p>
          <w:p>
            <w:pPr>
              <w:numPr>
                <w:ilvl w:val="0"/>
                <w:numId w:val="65"/>
              </w:numPr>
              <w:rPr>
                <w:noProof/>
                <w:color w:val="000000" w:themeColor="text1"/>
                <w:sz w:val="24"/>
                <w:szCs w:val="24"/>
                <w:lang w:val="en-IE"/>
              </w:rPr>
            </w:pPr>
            <w:r>
              <w:rPr>
                <w:noProof/>
                <w:color w:val="000000" w:themeColor="text1"/>
                <w:sz w:val="24"/>
                <w:szCs w:val="24"/>
                <w:lang w:val="en-IE"/>
              </w:rPr>
              <w:t>Has there been a wide consultation before proposing the act?</w:t>
            </w:r>
          </w:p>
          <w:p>
            <w:pPr>
              <w:numPr>
                <w:ilvl w:val="0"/>
                <w:numId w:val="65"/>
              </w:numPr>
              <w:rPr>
                <w:noProof/>
                <w:color w:val="000000" w:themeColor="text1"/>
                <w:sz w:val="24"/>
                <w:szCs w:val="24"/>
                <w:lang w:val="en-IE"/>
              </w:rPr>
            </w:pPr>
            <w:r>
              <w:rPr>
                <w:noProof/>
                <w:color w:val="000000" w:themeColor="text1"/>
                <w:sz w:val="24"/>
                <w:szCs w:val="24"/>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sz w:val="24"/>
                <w:szCs w:val="24"/>
                <w:lang w:val="en-IE"/>
              </w:rPr>
            </w:pPr>
            <w:r>
              <w:rPr>
                <w:noProof/>
                <w:color w:val="000000" w:themeColor="text1"/>
                <w:sz w:val="24"/>
                <w:szCs w:val="24"/>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sz w:val="24"/>
                <w:szCs w:val="24"/>
                <w:lang w:val="en-IE"/>
              </w:rPr>
            </w:pPr>
            <w:r>
              <w:rPr>
                <w:noProof/>
                <w:color w:val="000000" w:themeColor="text1"/>
                <w:sz w:val="24"/>
                <w:szCs w:val="24"/>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67"/>
              </w:numPr>
              <w:rPr>
                <w:b/>
                <w:noProof/>
                <w:color w:val="000000" w:themeColor="text1"/>
                <w:sz w:val="24"/>
                <w:szCs w:val="24"/>
                <w:lang w:val="en-IE"/>
              </w:rPr>
            </w:pPr>
            <w:r>
              <w:rPr>
                <w:b/>
                <w:noProof/>
                <w:color w:val="000000" w:themeColor="text1"/>
                <w:sz w:val="24"/>
                <w:szCs w:val="24"/>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sz w:val="24"/>
                <w:szCs w:val="24"/>
                <w:lang w:val="fr-BE"/>
              </w:rPr>
            </w:pPr>
            <w:r>
              <w:rPr>
                <w:noProof/>
                <w:color w:val="000000" w:themeColor="text1"/>
                <w:sz w:val="24"/>
                <w:szCs w:val="24"/>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sz w:val="24"/>
                <w:szCs w:val="24"/>
                <w:lang w:val="fr-BE"/>
              </w:rPr>
              <w:t>This will also be reflected in the explanatory memorandum.</w:t>
            </w:r>
          </w:p>
        </w:tc>
      </w:tr>
      <w:tr>
        <w:tc>
          <w:tcPr>
            <w:tcW w:w="9288" w:type="dxa"/>
          </w:tcPr>
          <w:p>
            <w:pPr>
              <w:numPr>
                <w:ilvl w:val="1"/>
                <w:numId w:val="67"/>
              </w:numPr>
              <w:rPr>
                <w:b/>
                <w:noProof/>
                <w:color w:val="000000" w:themeColor="text1"/>
                <w:sz w:val="24"/>
                <w:szCs w:val="24"/>
                <w:lang w:val="en-IE"/>
              </w:rPr>
            </w:pPr>
            <w:r>
              <w:rPr>
                <w:b/>
                <w:noProof/>
                <w:color w:val="000000" w:themeColor="text1"/>
                <w:sz w:val="24"/>
                <w:szCs w:val="24"/>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sz w:val="24"/>
                <w:szCs w:val="24"/>
                <w:lang w:val="en-IE"/>
              </w:rPr>
            </w:pPr>
            <w:r>
              <w:rPr>
                <w:noProof/>
                <w:color w:val="000000" w:themeColor="text1"/>
                <w:sz w:val="24"/>
                <w:szCs w:val="24"/>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68"/>
              </w:numPr>
              <w:rPr>
                <w:noProof/>
                <w:color w:val="000000" w:themeColor="text1"/>
                <w:sz w:val="24"/>
                <w:szCs w:val="24"/>
                <w:lang w:val="fr-BE"/>
              </w:rPr>
            </w:pPr>
            <w:r>
              <w:rPr>
                <w:noProof/>
                <w:color w:val="000000" w:themeColor="text1"/>
                <w:sz w:val="24"/>
                <w:szCs w:val="24"/>
                <w:lang w:val="en-IE"/>
              </w:rPr>
              <w:t xml:space="preserve">Are there significant/appreciable transnational/cross-border aspects to the problems being tackled? </w:t>
            </w:r>
            <w:r>
              <w:rPr>
                <w:noProof/>
                <w:color w:val="000000" w:themeColor="text1"/>
                <w:sz w:val="24"/>
                <w:szCs w:val="24"/>
                <w:lang w:val="fr-BE"/>
              </w:rPr>
              <w:t>Have these been quantified?</w:t>
            </w:r>
          </w:p>
        </w:tc>
      </w:tr>
      <w:tr>
        <w:tc>
          <w:tcPr>
            <w:tcW w:w="9288" w:type="dxa"/>
          </w:tcPr>
          <w:p>
            <w:pPr>
              <w:rPr>
                <w:noProof/>
                <w:color w:val="000000" w:themeColor="text1"/>
                <w:sz w:val="24"/>
                <w:szCs w:val="24"/>
                <w:lang w:val="en-IE"/>
              </w:rPr>
            </w:pPr>
            <w:r>
              <w:rPr>
                <w:noProof/>
                <w:color w:val="000000" w:themeColor="text1"/>
                <w:sz w:val="24"/>
                <w:szCs w:val="24"/>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68"/>
              </w:numPr>
              <w:rPr>
                <w:noProof/>
                <w:color w:val="000000" w:themeColor="text1"/>
                <w:sz w:val="24"/>
                <w:szCs w:val="24"/>
                <w:lang w:val="en-IE"/>
              </w:rPr>
            </w:pPr>
            <w:r>
              <w:rPr>
                <w:noProof/>
                <w:color w:val="000000" w:themeColor="text1"/>
                <w:sz w:val="24"/>
                <w:szCs w:val="24"/>
                <w:lang w:val="en-IE"/>
              </w:rPr>
              <w:t>Would national action or the absence of the EU level action conflict with core objectives of the Treaty</w:t>
            </w:r>
            <w:r>
              <w:rPr>
                <w:noProof/>
                <w:color w:val="000000" w:themeColor="text1"/>
                <w:sz w:val="24"/>
                <w:szCs w:val="24"/>
                <w:vertAlign w:val="superscript"/>
                <w:lang w:val="fr-BE"/>
              </w:rPr>
              <w:footnoteReference w:id="32"/>
            </w:r>
            <w:r>
              <w:rPr>
                <w:noProof/>
                <w:color w:val="000000" w:themeColor="text1"/>
                <w:sz w:val="24"/>
                <w:szCs w:val="24"/>
                <w:lang w:val="en-IE"/>
              </w:rPr>
              <w:t xml:space="preserve"> or significantly damage the interests of other Member States?</w:t>
            </w:r>
          </w:p>
        </w:tc>
      </w:tr>
      <w:tr>
        <w:tc>
          <w:tcPr>
            <w:tcW w:w="9288" w:type="dxa"/>
          </w:tcPr>
          <w:p>
            <w:pPr>
              <w:rPr>
                <w:noProof/>
                <w:color w:val="000000" w:themeColor="text1"/>
                <w:sz w:val="24"/>
                <w:szCs w:val="24"/>
                <w:lang w:val="en-IE"/>
              </w:rPr>
            </w:pPr>
            <w:r>
              <w:rPr>
                <w:noProof/>
                <w:color w:val="000000" w:themeColor="text1"/>
                <w:sz w:val="24"/>
                <w:szCs w:val="24"/>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68"/>
              </w:numPr>
              <w:rPr>
                <w:noProof/>
                <w:color w:val="000000" w:themeColor="text1"/>
                <w:sz w:val="24"/>
                <w:szCs w:val="24"/>
                <w:lang w:val="en-IE"/>
              </w:rPr>
            </w:pPr>
            <w:r>
              <w:rPr>
                <w:noProof/>
                <w:color w:val="000000" w:themeColor="text1"/>
                <w:sz w:val="24"/>
                <w:szCs w:val="24"/>
                <w:lang w:val="en-IE"/>
              </w:rPr>
              <w:t>To what extent do Member States have the ability or possibility to enact appropriate measures?</w:t>
            </w:r>
          </w:p>
        </w:tc>
      </w:tr>
      <w:tr>
        <w:tc>
          <w:tcPr>
            <w:tcW w:w="9288" w:type="dxa"/>
          </w:tcPr>
          <w:p>
            <w:pPr>
              <w:rPr>
                <w:noProof/>
                <w:color w:val="000000" w:themeColor="text1"/>
                <w:sz w:val="24"/>
                <w:szCs w:val="24"/>
                <w:lang w:val="en-IE"/>
              </w:rPr>
            </w:pPr>
            <w:r>
              <w:rPr>
                <w:noProof/>
                <w:color w:val="000000" w:themeColor="text1"/>
                <w:sz w:val="24"/>
                <w:szCs w:val="24"/>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68"/>
              </w:numPr>
              <w:rPr>
                <w:noProof/>
                <w:color w:val="000000" w:themeColor="text1"/>
                <w:sz w:val="24"/>
                <w:szCs w:val="24"/>
                <w:lang w:val="en-IE"/>
              </w:rPr>
            </w:pPr>
            <w:r>
              <w:rPr>
                <w:noProof/>
                <w:color w:val="000000" w:themeColor="text1"/>
                <w:sz w:val="24"/>
                <w:szCs w:val="24"/>
                <w:lang w:val="en-IE"/>
              </w:rPr>
              <w:t>How does the problem and its causes (e.g. negative externalities, spill-over effects) vary across the national, regional and local levels of the EU?</w:t>
            </w:r>
          </w:p>
        </w:tc>
      </w:tr>
      <w:tr>
        <w:tc>
          <w:tcPr>
            <w:tcW w:w="9288" w:type="dxa"/>
          </w:tcPr>
          <w:p>
            <w:pPr>
              <w:rPr>
                <w:noProof/>
                <w:color w:val="000000" w:themeColor="text1"/>
                <w:sz w:val="24"/>
                <w:szCs w:val="24"/>
                <w:lang w:val="en-IE"/>
              </w:rPr>
            </w:pPr>
            <w:r>
              <w:rPr>
                <w:noProof/>
                <w:color w:val="000000" w:themeColor="text1"/>
                <w:sz w:val="24"/>
                <w:szCs w:val="24"/>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68"/>
              </w:numPr>
              <w:rPr>
                <w:noProof/>
                <w:color w:val="000000" w:themeColor="text1"/>
                <w:sz w:val="24"/>
                <w:szCs w:val="24"/>
                <w:lang w:val="en-IE"/>
              </w:rPr>
            </w:pPr>
            <w:r>
              <w:rPr>
                <w:noProof/>
                <w:color w:val="000000" w:themeColor="text1"/>
                <w:sz w:val="24"/>
                <w:szCs w:val="24"/>
                <w:lang w:val="en-IE"/>
              </w:rPr>
              <w:t>Is the problem widespread across the EU or limited to a few Member States?</w:t>
            </w:r>
          </w:p>
        </w:tc>
      </w:tr>
      <w:tr>
        <w:tc>
          <w:tcPr>
            <w:tcW w:w="9288" w:type="dxa"/>
          </w:tcPr>
          <w:p>
            <w:pPr>
              <w:rPr>
                <w:noProof/>
                <w:color w:val="000000" w:themeColor="text1"/>
                <w:sz w:val="24"/>
                <w:szCs w:val="24"/>
                <w:lang w:val="en-IE"/>
              </w:rPr>
            </w:pPr>
            <w:r>
              <w:rPr>
                <w:noProof/>
                <w:color w:val="000000" w:themeColor="text1"/>
                <w:sz w:val="24"/>
                <w:szCs w:val="24"/>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68"/>
              </w:numPr>
              <w:rPr>
                <w:noProof/>
                <w:color w:val="000000" w:themeColor="text1"/>
                <w:sz w:val="24"/>
                <w:szCs w:val="24"/>
                <w:lang w:val="en-IE"/>
              </w:rPr>
            </w:pPr>
            <w:r>
              <w:rPr>
                <w:noProof/>
                <w:color w:val="000000" w:themeColor="text1"/>
                <w:sz w:val="24"/>
                <w:szCs w:val="24"/>
                <w:lang w:val="en-IE"/>
              </w:rPr>
              <w:t>Are Member States overstretched in achieving the objectives of the planned measure?</w:t>
            </w:r>
          </w:p>
        </w:tc>
      </w:tr>
      <w:tr>
        <w:tc>
          <w:tcPr>
            <w:tcW w:w="9288" w:type="dxa"/>
          </w:tcPr>
          <w:p>
            <w:pPr>
              <w:rPr>
                <w:noProof/>
                <w:color w:val="000000" w:themeColor="text1"/>
                <w:sz w:val="24"/>
                <w:szCs w:val="24"/>
                <w:lang w:val="en-IE"/>
              </w:rPr>
            </w:pPr>
            <w:r>
              <w:rPr>
                <w:noProof/>
                <w:color w:val="000000" w:themeColor="text1"/>
                <w:sz w:val="24"/>
                <w:szCs w:val="24"/>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68"/>
              </w:numPr>
              <w:rPr>
                <w:noProof/>
                <w:color w:val="000000" w:themeColor="text1"/>
                <w:sz w:val="24"/>
                <w:szCs w:val="24"/>
                <w:lang w:val="en-IE"/>
              </w:rPr>
            </w:pPr>
            <w:r>
              <w:rPr>
                <w:noProof/>
                <w:color w:val="000000" w:themeColor="text1"/>
                <w:sz w:val="24"/>
                <w:szCs w:val="24"/>
                <w:lang w:val="en-IE"/>
              </w:rPr>
              <w:t>How do the views/preferred courses of action of national, regional and local authorities differ across the EU?</w:t>
            </w:r>
          </w:p>
        </w:tc>
      </w:tr>
      <w:tr>
        <w:tc>
          <w:tcPr>
            <w:tcW w:w="9288" w:type="dxa"/>
          </w:tcPr>
          <w:p>
            <w:pPr>
              <w:rPr>
                <w:noProof/>
                <w:color w:val="000000" w:themeColor="text1"/>
                <w:sz w:val="24"/>
                <w:szCs w:val="24"/>
                <w:lang w:val="en-IE"/>
              </w:rPr>
            </w:pPr>
            <w:r>
              <w:rPr>
                <w:noProof/>
                <w:color w:val="000000" w:themeColor="text1"/>
                <w:sz w:val="24"/>
                <w:szCs w:val="24"/>
                <w:lang w:val="en-IE"/>
              </w:rPr>
              <w:t>No specific differences between the views of national, regional and local authorities emerged from the stakeholder consultation.</w:t>
            </w:r>
          </w:p>
        </w:tc>
      </w:tr>
      <w:tr>
        <w:tc>
          <w:tcPr>
            <w:tcW w:w="9288" w:type="dxa"/>
          </w:tcPr>
          <w:p>
            <w:pPr>
              <w:numPr>
                <w:ilvl w:val="1"/>
                <w:numId w:val="67"/>
              </w:numPr>
              <w:rPr>
                <w:b/>
                <w:noProof/>
                <w:color w:val="000000" w:themeColor="text1"/>
                <w:sz w:val="24"/>
                <w:szCs w:val="24"/>
                <w:lang w:val="en-IE"/>
              </w:rPr>
            </w:pPr>
            <w:r>
              <w:rPr>
                <w:b/>
                <w:noProof/>
                <w:color w:val="000000" w:themeColor="text1"/>
                <w:sz w:val="24"/>
                <w:szCs w:val="24"/>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sz w:val="24"/>
                <w:szCs w:val="24"/>
                <w:lang w:val="en-IE"/>
              </w:rPr>
            </w:pPr>
            <w:r>
              <w:rPr>
                <w:noProof/>
                <w:color w:val="000000" w:themeColor="text1"/>
                <w:sz w:val="24"/>
                <w:szCs w:val="24"/>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69"/>
              </w:numPr>
              <w:rPr>
                <w:noProof/>
                <w:color w:val="000000" w:themeColor="text1"/>
                <w:sz w:val="24"/>
                <w:szCs w:val="24"/>
                <w:lang w:val="en-IE"/>
              </w:rPr>
            </w:pPr>
            <w:r>
              <w:rPr>
                <w:noProof/>
                <w:color w:val="000000" w:themeColor="text1"/>
                <w:sz w:val="24"/>
                <w:szCs w:val="24"/>
                <w:lang w:val="en-IE"/>
              </w:rPr>
              <w:t xml:space="preserve">Are there clear benefits from EU level action? </w:t>
            </w:r>
          </w:p>
        </w:tc>
      </w:tr>
      <w:tr>
        <w:tc>
          <w:tcPr>
            <w:tcW w:w="9288" w:type="dxa"/>
          </w:tcPr>
          <w:p>
            <w:pPr>
              <w:rPr>
                <w:noProof/>
                <w:color w:val="000000" w:themeColor="text1"/>
                <w:sz w:val="24"/>
                <w:szCs w:val="24"/>
                <w:lang w:val="en-IE"/>
              </w:rPr>
            </w:pPr>
            <w:r>
              <w:rPr>
                <w:noProof/>
                <w:color w:val="000000" w:themeColor="text1"/>
                <w:sz w:val="24"/>
                <w:szCs w:val="24"/>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69"/>
              </w:numPr>
              <w:rPr>
                <w:noProof/>
                <w:color w:val="000000" w:themeColor="text1"/>
                <w:sz w:val="24"/>
                <w:szCs w:val="24"/>
                <w:lang w:val="fr-BE"/>
              </w:rPr>
            </w:pPr>
            <w:r>
              <w:rPr>
                <w:noProof/>
                <w:color w:val="000000" w:themeColor="text1"/>
                <w:sz w:val="24"/>
                <w:szCs w:val="24"/>
                <w:lang w:val="en-IE"/>
              </w:rPr>
              <w:t xml:space="preserve">Are there economies of scale? Can the objectives be met more efficiently at EU level (larger benefits per unit cost)? </w:t>
            </w:r>
            <w:r>
              <w:rPr>
                <w:noProof/>
                <w:color w:val="000000" w:themeColor="text1"/>
                <w:sz w:val="24"/>
                <w:szCs w:val="24"/>
                <w:lang w:val="fr-BE"/>
              </w:rPr>
              <w:t>Will the functioning of the internal market be improved?</w:t>
            </w:r>
          </w:p>
        </w:tc>
      </w:tr>
      <w:tr>
        <w:tc>
          <w:tcPr>
            <w:tcW w:w="9288" w:type="dxa"/>
          </w:tcPr>
          <w:p>
            <w:pPr>
              <w:rPr>
                <w:noProof/>
                <w:color w:val="000000" w:themeColor="text1"/>
                <w:sz w:val="24"/>
                <w:szCs w:val="24"/>
                <w:lang w:val="en-IE"/>
              </w:rPr>
            </w:pPr>
            <w:r>
              <w:rPr>
                <w:noProof/>
                <w:color w:val="000000" w:themeColor="text1"/>
                <w:sz w:val="24"/>
                <w:szCs w:val="24"/>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69"/>
              </w:numPr>
              <w:rPr>
                <w:noProof/>
                <w:color w:val="000000" w:themeColor="text1"/>
                <w:sz w:val="24"/>
                <w:szCs w:val="24"/>
                <w:lang w:val="en-IE"/>
              </w:rPr>
            </w:pPr>
            <w:r>
              <w:rPr>
                <w:noProof/>
                <w:color w:val="000000" w:themeColor="text1"/>
                <w:sz w:val="24"/>
                <w:szCs w:val="24"/>
                <w:lang w:val="en-IE"/>
              </w:rPr>
              <w:t>What are the benefits in replacing different national policies and rules with a more homogenous policy approach?</w:t>
            </w:r>
          </w:p>
        </w:tc>
      </w:tr>
      <w:tr>
        <w:tc>
          <w:tcPr>
            <w:tcW w:w="9288" w:type="dxa"/>
          </w:tcPr>
          <w:p>
            <w:pPr>
              <w:rPr>
                <w:noProof/>
                <w:color w:val="000000" w:themeColor="text1"/>
                <w:sz w:val="24"/>
                <w:szCs w:val="24"/>
                <w:lang w:val="en-IE"/>
              </w:rPr>
            </w:pPr>
            <w:r>
              <w:rPr>
                <w:noProof/>
                <w:color w:val="000000" w:themeColor="text1"/>
                <w:sz w:val="24"/>
                <w:szCs w:val="24"/>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69"/>
              </w:numPr>
              <w:rPr>
                <w:noProof/>
                <w:color w:val="000000" w:themeColor="text1"/>
                <w:sz w:val="24"/>
                <w:szCs w:val="24"/>
                <w:lang w:val="en-IE"/>
              </w:rPr>
            </w:pPr>
            <w:r>
              <w:rPr>
                <w:noProof/>
                <w:color w:val="000000" w:themeColor="text1"/>
                <w:sz w:val="24"/>
                <w:szCs w:val="24"/>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sz w:val="24"/>
                <w:szCs w:val="24"/>
                <w:lang w:val="en-IE"/>
              </w:rPr>
            </w:pPr>
            <w:r>
              <w:rPr>
                <w:noProof/>
                <w:color w:val="000000" w:themeColor="text1"/>
                <w:sz w:val="24"/>
                <w:szCs w:val="24"/>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69"/>
              </w:numPr>
              <w:rPr>
                <w:noProof/>
                <w:color w:val="000000" w:themeColor="text1"/>
                <w:sz w:val="24"/>
                <w:szCs w:val="24"/>
                <w:lang w:val="en-IE"/>
              </w:rPr>
            </w:pPr>
            <w:r>
              <w:rPr>
                <w:noProof/>
                <w:color w:val="000000" w:themeColor="text1"/>
                <w:sz w:val="24"/>
                <w:szCs w:val="24"/>
                <w:lang w:val="en-IE"/>
              </w:rPr>
              <w:t>Will there be improved legal clarity for those having to implement the legislation?</w:t>
            </w:r>
          </w:p>
        </w:tc>
      </w:tr>
      <w:tr>
        <w:tc>
          <w:tcPr>
            <w:tcW w:w="9288" w:type="dxa"/>
          </w:tcPr>
          <w:p>
            <w:pPr>
              <w:rPr>
                <w:noProof/>
                <w:color w:val="000000" w:themeColor="text1"/>
                <w:sz w:val="24"/>
                <w:szCs w:val="24"/>
                <w:lang w:val="en-IE"/>
              </w:rPr>
            </w:pPr>
            <w:r>
              <w:rPr>
                <w:noProof/>
                <w:color w:val="000000" w:themeColor="text1"/>
                <w:sz w:val="24"/>
                <w:szCs w:val="24"/>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sz w:val="24"/>
                <w:szCs w:val="24"/>
                <w:lang w:val="en-IE"/>
              </w:rPr>
            </w:pPr>
            <w:r>
              <w:rPr>
                <w:b/>
                <w:noProof/>
                <w:color w:val="000000" w:themeColor="text1"/>
                <w:sz w:val="24"/>
                <w:szCs w:val="24"/>
                <w:lang w:val="en-IE"/>
              </w:rPr>
              <w:t>3.  Proportionality: How the EU should act</w:t>
            </w:r>
          </w:p>
        </w:tc>
      </w:tr>
      <w:tr>
        <w:tc>
          <w:tcPr>
            <w:tcW w:w="9288" w:type="dxa"/>
          </w:tcPr>
          <w:p>
            <w:pPr>
              <w:numPr>
                <w:ilvl w:val="1"/>
                <w:numId w:val="70"/>
              </w:numPr>
              <w:rPr>
                <w:b/>
                <w:noProof/>
                <w:color w:val="000000" w:themeColor="text1"/>
                <w:sz w:val="24"/>
                <w:szCs w:val="24"/>
                <w:lang w:val="en-IE"/>
              </w:rPr>
            </w:pPr>
            <w:r>
              <w:rPr>
                <w:b/>
                <w:noProof/>
                <w:color w:val="000000" w:themeColor="text1"/>
                <w:sz w:val="24"/>
                <w:szCs w:val="24"/>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sz w:val="24"/>
                <w:szCs w:val="24"/>
                <w:lang w:val="fr-BE"/>
              </w:rPr>
            </w:pPr>
            <w:r>
              <w:rPr>
                <w:noProof/>
                <w:color w:val="000000" w:themeColor="text1"/>
                <w:sz w:val="24"/>
                <w:szCs w:val="24"/>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sz w:val="24"/>
                <w:szCs w:val="24"/>
                <w:lang w:val="fr-BE"/>
              </w:rPr>
              <w:t>This will also be reflected in the explanatory memorandum.</w:t>
            </w:r>
          </w:p>
        </w:tc>
      </w:tr>
      <w:tr>
        <w:tc>
          <w:tcPr>
            <w:tcW w:w="9288" w:type="dxa"/>
          </w:tcPr>
          <w:p>
            <w:pPr>
              <w:numPr>
                <w:ilvl w:val="1"/>
                <w:numId w:val="70"/>
              </w:numPr>
              <w:rPr>
                <w:b/>
                <w:noProof/>
                <w:color w:val="000000" w:themeColor="text1"/>
                <w:sz w:val="24"/>
                <w:szCs w:val="24"/>
                <w:lang w:val="en-IE"/>
              </w:rPr>
            </w:pPr>
            <w:r>
              <w:rPr>
                <w:b/>
                <w:noProof/>
                <w:color w:val="000000" w:themeColor="text1"/>
                <w:sz w:val="24"/>
                <w:szCs w:val="24"/>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sz w:val="24"/>
                <w:szCs w:val="24"/>
                <w:lang w:val="fr-BE"/>
              </w:rPr>
            </w:pPr>
            <w:r>
              <w:rPr>
                <w:noProof/>
                <w:color w:val="000000" w:themeColor="text1"/>
                <w:sz w:val="24"/>
                <w:szCs w:val="24"/>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sz w:val="24"/>
                <w:szCs w:val="24"/>
                <w:lang w:val="fr-BE"/>
              </w:rPr>
              <w:t>This will also be reflected in the explanatory memorandum.</w:t>
            </w:r>
          </w:p>
        </w:tc>
      </w:tr>
      <w:tr>
        <w:tc>
          <w:tcPr>
            <w:tcW w:w="9288" w:type="dxa"/>
          </w:tcPr>
          <w:p>
            <w:pPr>
              <w:numPr>
                <w:ilvl w:val="0"/>
                <w:numId w:val="71"/>
              </w:numPr>
              <w:rPr>
                <w:noProof/>
                <w:color w:val="000000" w:themeColor="text1"/>
                <w:sz w:val="24"/>
                <w:szCs w:val="24"/>
                <w:lang w:val="en-IE"/>
              </w:rPr>
            </w:pPr>
            <w:r>
              <w:rPr>
                <w:noProof/>
                <w:color w:val="000000" w:themeColor="text1"/>
                <w:sz w:val="24"/>
                <w:szCs w:val="24"/>
                <w:lang w:val="en-IE"/>
              </w:rPr>
              <w:t>Is the initiative limited to those aspects that Member States cannot achieve satisfactorily on their own, and where the Union can do better?</w:t>
            </w:r>
          </w:p>
        </w:tc>
      </w:tr>
      <w:tr>
        <w:tc>
          <w:tcPr>
            <w:tcW w:w="9288" w:type="dxa"/>
          </w:tcPr>
          <w:p>
            <w:pPr>
              <w:rPr>
                <w:noProof/>
                <w:color w:val="000000" w:themeColor="text1"/>
                <w:sz w:val="24"/>
                <w:szCs w:val="24"/>
                <w:lang w:val="en-IE"/>
              </w:rPr>
            </w:pPr>
            <w:r>
              <w:rPr>
                <w:noProof/>
                <w:color w:val="000000" w:themeColor="text1"/>
                <w:sz w:val="24"/>
                <w:szCs w:val="24"/>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71"/>
              </w:numPr>
              <w:rPr>
                <w:noProof/>
                <w:color w:val="000000" w:themeColor="text1"/>
                <w:sz w:val="24"/>
                <w:szCs w:val="24"/>
                <w:lang w:val="en-IE"/>
              </w:rPr>
            </w:pPr>
            <w:r>
              <w:rPr>
                <w:noProof/>
                <w:color w:val="000000" w:themeColor="text1"/>
                <w:sz w:val="24"/>
                <w:szCs w:val="24"/>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sz w:val="24"/>
                <w:szCs w:val="24"/>
                <w:lang w:val="en-IE"/>
              </w:rPr>
            </w:pPr>
            <w:r>
              <w:rPr>
                <w:noProof/>
                <w:color w:val="000000" w:themeColor="text1"/>
                <w:sz w:val="24"/>
                <w:szCs w:val="24"/>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71"/>
              </w:numPr>
              <w:rPr>
                <w:noProof/>
                <w:color w:val="000000" w:themeColor="text1"/>
                <w:sz w:val="24"/>
                <w:szCs w:val="24"/>
                <w:lang w:val="en-IE"/>
              </w:rPr>
            </w:pPr>
            <w:r>
              <w:rPr>
                <w:noProof/>
                <w:color w:val="000000" w:themeColor="text1"/>
                <w:sz w:val="24"/>
                <w:szCs w:val="24"/>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sz w:val="24"/>
                <w:szCs w:val="24"/>
                <w:lang w:val="en-IE"/>
              </w:rPr>
            </w:pPr>
            <w:r>
              <w:rPr>
                <w:noProof/>
                <w:color w:val="000000" w:themeColor="text1"/>
                <w:sz w:val="24"/>
                <w:szCs w:val="24"/>
                <w:lang w:val="en-IE"/>
              </w:rPr>
              <w:t>The proposed approach leaves full freedom to the Member States to pursue their own actions in the policy areas covered by the present proposal.</w:t>
            </w:r>
          </w:p>
        </w:tc>
      </w:tr>
      <w:tr>
        <w:tc>
          <w:tcPr>
            <w:tcW w:w="9288" w:type="dxa"/>
          </w:tcPr>
          <w:p>
            <w:pPr>
              <w:numPr>
                <w:ilvl w:val="0"/>
                <w:numId w:val="71"/>
              </w:numPr>
              <w:rPr>
                <w:noProof/>
                <w:color w:val="000000" w:themeColor="text1"/>
                <w:sz w:val="24"/>
                <w:szCs w:val="24"/>
                <w:lang w:val="en-IE"/>
              </w:rPr>
            </w:pPr>
            <w:r>
              <w:rPr>
                <w:noProof/>
                <w:color w:val="000000" w:themeColor="text1"/>
                <w:sz w:val="24"/>
                <w:szCs w:val="24"/>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sz w:val="24"/>
                <w:szCs w:val="24"/>
                <w:lang w:val="en-IE"/>
              </w:rPr>
            </w:pPr>
            <w:r>
              <w:rPr>
                <w:noProof/>
                <w:color w:val="000000" w:themeColor="text1"/>
                <w:sz w:val="24"/>
                <w:szCs w:val="24"/>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71"/>
              </w:numPr>
              <w:rPr>
                <w:noProof/>
                <w:color w:val="000000" w:themeColor="text1"/>
                <w:sz w:val="24"/>
                <w:szCs w:val="24"/>
                <w:lang w:val="en-IE"/>
              </w:rPr>
            </w:pPr>
            <w:r>
              <w:rPr>
                <w:noProof/>
                <w:color w:val="000000" w:themeColor="text1"/>
                <w:sz w:val="24"/>
                <w:szCs w:val="24"/>
                <w:lang w:val="en-IE"/>
              </w:rPr>
              <w:t>While respecting the Union law, have special circumstances applying in individual Member States been taken into account?</w:t>
            </w:r>
          </w:p>
        </w:tc>
      </w:tr>
      <w:tr>
        <w:tc>
          <w:tcPr>
            <w:tcW w:w="9288" w:type="dxa"/>
          </w:tcPr>
          <w:p>
            <w:pPr>
              <w:rPr>
                <w:noProof/>
                <w:color w:val="000000" w:themeColor="text1"/>
                <w:sz w:val="24"/>
                <w:szCs w:val="24"/>
                <w:lang w:val="en-IE"/>
              </w:rPr>
            </w:pPr>
            <w:r>
              <w:rPr>
                <w:noProof/>
                <w:color w:val="000000" w:themeColor="text1"/>
                <w:sz w:val="24"/>
                <w:szCs w:val="24"/>
                <w:lang w:val="en-IE"/>
              </w:rPr>
              <w:t>Where relevant, differences between Member States in capacity and stage of advancement of R&amp;I in specific thematic areas have been taken into account in the individual impact assessments.</w:t>
            </w:r>
          </w:p>
        </w:tc>
      </w:tr>
    </w:tbl>
    <w:p>
      <w:pPr>
        <w:spacing w:after="0"/>
        <w:jc w:val="left"/>
        <w:rPr>
          <w:i/>
          <w:noProof/>
          <w:sz w:val="20"/>
        </w:rPr>
      </w:pPr>
    </w:p>
    <w:p>
      <w:pPr>
        <w:spacing w:after="0"/>
        <w:jc w:val="left"/>
        <w:rPr>
          <w:i/>
          <w:noProof/>
          <w:sz w:val="20"/>
        </w:rPr>
      </w:pPr>
    </w:p>
    <w:p>
      <w:pPr>
        <w:spacing w:after="0"/>
        <w:jc w:val="left"/>
        <w:rPr>
          <w:i/>
          <w:noProof/>
          <w:sz w:val="20"/>
        </w:rPr>
      </w:pPr>
      <w:r>
        <w:rPr>
          <w:i/>
          <w:noProof/>
          <w:sz w:val="20"/>
        </w:rPr>
        <w:br w:type="page"/>
      </w:r>
    </w:p>
    <w:p>
      <w:pPr>
        <w:pStyle w:val="AnnexTitle"/>
        <w:ind w:left="2268" w:hanging="2268"/>
        <w:rPr>
          <w:noProof/>
        </w:rPr>
      </w:pPr>
      <w:bookmarkStart w:id="98" w:name="_Toc43908659"/>
      <w:r>
        <w:rPr>
          <w:noProof/>
        </w:rPr>
        <w:t>Annex 6</w:t>
      </w:r>
      <w:r>
        <w:rPr>
          <w:noProof/>
        </w:rPr>
        <w:tab/>
        <w:t>Additional background information</w:t>
      </w:r>
      <w:bookmarkEnd w:id="98"/>
    </w:p>
    <w:p>
      <w:pPr>
        <w:pStyle w:val="Heading1"/>
        <w:numPr>
          <w:ilvl w:val="0"/>
          <w:numId w:val="79"/>
        </w:numPr>
        <w:rPr>
          <w:noProof/>
        </w:rPr>
      </w:pPr>
      <w:bookmarkStart w:id="99" w:name="_Toc33541380"/>
      <w:bookmarkStart w:id="100" w:name="_Toc43908660"/>
      <w:r>
        <w:rPr>
          <w:noProof/>
        </w:rPr>
        <w:t>Background information for all initiatives</w:t>
      </w:r>
      <w:bookmarkEnd w:id="99"/>
      <w:bookmarkEnd w:id="100"/>
    </w:p>
    <w:p>
      <w:pPr>
        <w:pStyle w:val="Heading2"/>
        <w:numPr>
          <w:ilvl w:val="1"/>
          <w:numId w:val="79"/>
        </w:numPr>
        <w:rPr>
          <w:noProof/>
        </w:rPr>
      </w:pPr>
      <w:bookmarkStart w:id="101" w:name="_Toc33541381"/>
      <w:bookmarkStart w:id="102" w:name="_Toc43908661"/>
      <w:r>
        <w:rPr>
          <w:noProof/>
        </w:rPr>
        <w:t>Selection criteria of European Partnerships</w:t>
      </w:r>
      <w:bookmarkEnd w:id="101"/>
      <w:bookmarkEnd w:id="102"/>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72"/>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72"/>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03" w:name="_Toc31272813"/>
      <w:r>
        <w:rPr>
          <w:noProof/>
        </w:rPr>
        <w:t>Figure 6 Horizon Europe selection criteria for the European Partnerships</w:t>
      </w:r>
      <w:bookmarkEnd w:id="103"/>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73"/>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73"/>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73"/>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73"/>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73"/>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numPr>
          <w:ilvl w:val="1"/>
          <w:numId w:val="79"/>
        </w:numPr>
        <w:tabs>
          <w:tab w:val="clear" w:pos="1077"/>
          <w:tab w:val="num" w:pos="1146"/>
        </w:tabs>
        <w:ind w:left="1146" w:hanging="720"/>
        <w:rPr>
          <w:noProof/>
        </w:rPr>
      </w:pPr>
      <w:bookmarkStart w:id="104" w:name="_Toc33541382"/>
      <w:bookmarkStart w:id="105" w:name="_Toc43908662"/>
      <w:r>
        <w:rPr>
          <w:noProof/>
        </w:rPr>
        <w:t>Overview of potential functions for a common back office among Joint Undertakings</w:t>
      </w:r>
      <w:bookmarkEnd w:id="104"/>
      <w:bookmarkEnd w:id="105"/>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lang w:val="en-US"/>
              </w:rPr>
            </w:pPr>
            <w:r>
              <w:rPr>
                <w:b/>
                <w:noProof/>
                <w:lang w:val="en-US"/>
              </w:rPr>
              <w:t>Functions</w:t>
            </w:r>
          </w:p>
        </w:tc>
        <w:tc>
          <w:tcPr>
            <w:tcW w:w="2835" w:type="dxa"/>
          </w:tcPr>
          <w:p>
            <w:pPr>
              <w:spacing w:after="120"/>
              <w:rPr>
                <w:b/>
                <w:noProof/>
                <w:lang w:val="en-US"/>
              </w:rPr>
            </w:pPr>
            <w:r>
              <w:rPr>
                <w:b/>
                <w:noProof/>
                <w:lang w:val="en-US"/>
              </w:rPr>
              <w:t>Current situation</w:t>
            </w:r>
          </w:p>
        </w:tc>
        <w:tc>
          <w:tcPr>
            <w:tcW w:w="2214" w:type="dxa"/>
          </w:tcPr>
          <w:p>
            <w:pPr>
              <w:spacing w:after="120"/>
              <w:rPr>
                <w:b/>
                <w:noProof/>
                <w:lang w:val="en-US"/>
              </w:rPr>
            </w:pPr>
            <w:r>
              <w:rPr>
                <w:b/>
                <w:noProof/>
                <w:lang w:val="en-US"/>
              </w:rPr>
              <w:t>Option of joint back- office</w:t>
            </w:r>
          </w:p>
        </w:tc>
        <w:tc>
          <w:tcPr>
            <w:tcW w:w="2785" w:type="dxa"/>
          </w:tcPr>
          <w:p>
            <w:pPr>
              <w:spacing w:after="120"/>
              <w:rPr>
                <w:b/>
                <w:noProof/>
                <w:lang w:val="en-US"/>
              </w:rPr>
            </w:pPr>
            <w:r>
              <w:rPr>
                <w:b/>
                <w:noProof/>
                <w:lang w:val="en-US"/>
              </w:rPr>
              <w:t>Comments</w:t>
            </w:r>
          </w:p>
        </w:tc>
      </w:tr>
      <w:tr>
        <w:tc>
          <w:tcPr>
            <w:tcW w:w="1701" w:type="dxa"/>
          </w:tcPr>
          <w:p>
            <w:pPr>
              <w:spacing w:after="120"/>
              <w:rPr>
                <w:b/>
                <w:noProof/>
                <w:lang w:val="en-US"/>
              </w:rPr>
            </w:pPr>
            <w:r>
              <w:rPr>
                <w:b/>
                <w:noProof/>
                <w:lang w:val="en-US"/>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lang w:val="en-US"/>
              </w:rPr>
            </w:pPr>
            <w:r>
              <w:rPr>
                <w:b/>
                <w:noProof/>
                <w:lang w:val="en-US"/>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Quite some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COM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lang w:val="en-US"/>
              </w:rPr>
            </w:pPr>
            <w:r>
              <w:rPr>
                <w:b/>
                <w:noProof/>
                <w:lang w:val="en-US"/>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lang w:val="en-US"/>
              </w:rPr>
            </w:pPr>
            <w:r>
              <w:rPr>
                <w:b/>
                <w:noProof/>
                <w:lang w:val="en-US"/>
              </w:rPr>
              <w:t>Communication (internal and external)</w:t>
            </w:r>
          </w:p>
        </w:tc>
        <w:tc>
          <w:tcPr>
            <w:tcW w:w="2835" w:type="dxa"/>
          </w:tcPr>
          <w:p>
            <w:pPr>
              <w:spacing w:after="120"/>
              <w:rPr>
                <w:noProof/>
              </w:rPr>
            </w:pPr>
            <w:r>
              <w:rPr>
                <w:noProof/>
              </w:rPr>
              <w:t>Each JU has a separate communication strategies, teams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lang w:val="en-US"/>
              </w:rPr>
            </w:pPr>
            <w:r>
              <w:rPr>
                <w:b/>
                <w:noProof/>
                <w:lang w:val="en-US"/>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rPr>
          <w:b/>
          <w:noProof/>
        </w:rPr>
      </w:pPr>
      <w:r>
        <w:rPr>
          <w:noProof/>
        </w:rPr>
        <w:br w:type="page"/>
      </w:r>
    </w:p>
    <w:p>
      <w:pPr>
        <w:pStyle w:val="Heading1"/>
        <w:numPr>
          <w:ilvl w:val="0"/>
          <w:numId w:val="79"/>
        </w:numPr>
        <w:rPr>
          <w:noProof/>
        </w:rPr>
      </w:pPr>
      <w:bookmarkStart w:id="106" w:name="_Toc33210241"/>
      <w:bookmarkStart w:id="107" w:name="_Toc43908663"/>
      <w:r>
        <w:rPr>
          <w:noProof/>
        </w:rPr>
        <w:t>Background information for this specific initiative</w:t>
      </w:r>
      <w:bookmarkEnd w:id="106"/>
      <w:bookmarkEnd w:id="107"/>
    </w:p>
    <w:p>
      <w:pPr>
        <w:spacing w:before="120" w:after="0"/>
        <w:jc w:val="left"/>
        <w:rPr>
          <w:b/>
          <w:i/>
          <w:noProof/>
          <w:sz w:val="22"/>
          <w:szCs w:val="22"/>
          <w:lang w:eastAsia="zh-CN"/>
        </w:rPr>
      </w:pPr>
      <w:r>
        <w:rPr>
          <w:b/>
          <w:i/>
          <w:noProof/>
          <w:sz w:val="22"/>
          <w:szCs w:val="22"/>
          <w:lang w:eastAsia="zh-CN"/>
        </w:rPr>
        <w:t>Table 1: EU28 share of the world production of electronics for downstream industries and mass-market consumer devices — shares in 2018</w:t>
      </w:r>
    </w:p>
    <w:tbl>
      <w:tblPr>
        <w:tblStyle w:val="Style1"/>
        <w:tblW w:w="0" w:type="auto"/>
        <w:jc w:val="left"/>
        <w:tblInd w:w="113" w:type="dxa"/>
        <w:tblLayout w:type="fixed"/>
        <w:tblLook w:val="04A0" w:firstRow="1" w:lastRow="0" w:firstColumn="1" w:lastColumn="0" w:noHBand="0" w:noVBand="1"/>
      </w:tblPr>
      <w:tblGrid>
        <w:gridCol w:w="2495"/>
        <w:gridCol w:w="1474"/>
        <w:gridCol w:w="1021"/>
        <w:gridCol w:w="1275"/>
        <w:gridCol w:w="1276"/>
        <w:gridCol w:w="1100"/>
      </w:tblGrid>
      <w:tr>
        <w:trPr>
          <w:cnfStyle w:val="100000000000" w:firstRow="1" w:lastRow="0" w:firstColumn="0" w:lastColumn="0" w:oddVBand="0" w:evenVBand="0" w:oddHBand="0" w:evenHBand="0" w:firstRowFirstColumn="0" w:firstRowLastColumn="0" w:lastRowFirstColumn="0" w:lastRowLastColumn="0"/>
          <w:trHeight w:val="1170"/>
          <w:jc w:val="left"/>
        </w:trPr>
        <w:tc>
          <w:tcPr>
            <w:tcW w:w="2495" w:type="dxa"/>
            <w:shd w:val="clear" w:color="auto" w:fill="ED7D31" w:themeFill="accent2"/>
            <w:vAlign w:val="top"/>
          </w:tcPr>
          <w:p>
            <w:pPr>
              <w:pStyle w:val="Body"/>
              <w:rPr>
                <w:noProof/>
                <w:sz w:val="18"/>
                <w:szCs w:val="20"/>
              </w:rPr>
            </w:pPr>
          </w:p>
          <w:p>
            <w:pPr>
              <w:pStyle w:val="Body"/>
              <w:rPr>
                <w:noProof/>
                <w:sz w:val="18"/>
                <w:szCs w:val="20"/>
              </w:rPr>
            </w:pPr>
          </w:p>
          <w:p>
            <w:pPr>
              <w:pStyle w:val="Body"/>
              <w:rPr>
                <w:noProof/>
                <w:sz w:val="18"/>
                <w:szCs w:val="20"/>
              </w:rPr>
            </w:pPr>
            <w:r>
              <w:rPr>
                <w:noProof/>
                <w:sz w:val="18"/>
                <w:szCs w:val="20"/>
              </w:rPr>
              <w:t>Sector</w:t>
            </w:r>
          </w:p>
        </w:tc>
        <w:tc>
          <w:tcPr>
            <w:tcW w:w="1474" w:type="dxa"/>
            <w:shd w:val="clear" w:color="auto" w:fill="ED7D31" w:themeFill="accent2"/>
            <w:vAlign w:val="top"/>
          </w:tcPr>
          <w:p>
            <w:pPr>
              <w:pStyle w:val="Body"/>
              <w:jc w:val="center"/>
              <w:rPr>
                <w:b w:val="0"/>
                <w:noProof/>
                <w:sz w:val="18"/>
                <w:szCs w:val="20"/>
              </w:rPr>
            </w:pPr>
            <w:r>
              <w:rPr>
                <w:noProof/>
                <w:sz w:val="18"/>
                <w:szCs w:val="20"/>
              </w:rPr>
              <w:t>Semiconductors</w:t>
            </w:r>
          </w:p>
        </w:tc>
        <w:tc>
          <w:tcPr>
            <w:tcW w:w="1021" w:type="dxa"/>
            <w:shd w:val="clear" w:color="auto" w:fill="ED7D31" w:themeFill="accent2"/>
            <w:vAlign w:val="top"/>
          </w:tcPr>
          <w:p>
            <w:pPr>
              <w:pStyle w:val="Body"/>
              <w:jc w:val="center"/>
              <w:rPr>
                <w:b w:val="0"/>
                <w:noProof/>
                <w:sz w:val="18"/>
                <w:szCs w:val="20"/>
              </w:rPr>
            </w:pPr>
            <w:r>
              <w:rPr>
                <w:noProof/>
                <w:sz w:val="18"/>
                <w:szCs w:val="20"/>
              </w:rPr>
              <w:t>Electronic boards</w:t>
            </w:r>
          </w:p>
        </w:tc>
        <w:tc>
          <w:tcPr>
            <w:tcW w:w="1275" w:type="dxa"/>
            <w:shd w:val="clear" w:color="auto" w:fill="ED7D31" w:themeFill="accent2"/>
            <w:vAlign w:val="top"/>
          </w:tcPr>
          <w:p>
            <w:pPr>
              <w:pStyle w:val="Body"/>
              <w:jc w:val="center"/>
              <w:rPr>
                <w:b w:val="0"/>
                <w:noProof/>
                <w:sz w:val="18"/>
                <w:szCs w:val="20"/>
              </w:rPr>
            </w:pPr>
            <w:r>
              <w:rPr>
                <w:noProof/>
                <w:sz w:val="18"/>
                <w:szCs w:val="20"/>
              </w:rPr>
              <w:t>Electronic equipment (embedded and stand-alone)</w:t>
            </w:r>
          </w:p>
        </w:tc>
        <w:tc>
          <w:tcPr>
            <w:tcW w:w="1276" w:type="dxa"/>
            <w:shd w:val="clear" w:color="auto" w:fill="ED7D31" w:themeFill="accent2"/>
            <w:vAlign w:val="top"/>
          </w:tcPr>
          <w:p>
            <w:pPr>
              <w:pStyle w:val="Body"/>
              <w:jc w:val="center"/>
              <w:rPr>
                <w:b w:val="0"/>
                <w:noProof/>
                <w:sz w:val="18"/>
                <w:szCs w:val="20"/>
              </w:rPr>
            </w:pPr>
            <w:r>
              <w:rPr>
                <w:noProof/>
                <w:sz w:val="18"/>
                <w:szCs w:val="16"/>
              </w:rPr>
              <w:t>Downstream industries</w:t>
            </w:r>
            <w:r>
              <w:rPr>
                <w:noProof/>
                <w:sz w:val="18"/>
                <w:szCs w:val="20"/>
              </w:rPr>
              <w:t xml:space="preserve"> (auto, aerospace, etc)</w:t>
            </w:r>
          </w:p>
        </w:tc>
        <w:tc>
          <w:tcPr>
            <w:tcW w:w="1100" w:type="dxa"/>
            <w:shd w:val="clear" w:color="auto" w:fill="ED7D31" w:themeFill="accent2"/>
            <w:vAlign w:val="top"/>
          </w:tcPr>
          <w:p>
            <w:pPr>
              <w:pStyle w:val="Body"/>
              <w:jc w:val="center"/>
              <w:rPr>
                <w:b w:val="0"/>
                <w:noProof/>
                <w:sz w:val="18"/>
                <w:szCs w:val="20"/>
              </w:rPr>
            </w:pPr>
            <w:r>
              <w:rPr>
                <w:noProof/>
                <w:sz w:val="18"/>
                <w:szCs w:val="20"/>
              </w:rPr>
              <w:t>Services related to end user equipment</w:t>
            </w:r>
          </w:p>
        </w:tc>
      </w:tr>
      <w:tr>
        <w:tc>
          <w:tcPr>
            <w:tcW w:w="2495" w:type="dxa"/>
          </w:tcPr>
          <w:p>
            <w:pPr>
              <w:pStyle w:val="Body"/>
              <w:jc w:val="left"/>
              <w:rPr>
                <w:noProof/>
                <w:sz w:val="18"/>
                <w:szCs w:val="20"/>
              </w:rPr>
            </w:pPr>
            <w:r>
              <w:rPr>
                <w:noProof/>
                <w:sz w:val="18"/>
                <w:szCs w:val="20"/>
              </w:rPr>
              <w:t>Automotive</w:t>
            </w:r>
          </w:p>
        </w:tc>
        <w:tc>
          <w:tcPr>
            <w:tcW w:w="1474" w:type="dxa"/>
            <w:shd w:val="clear" w:color="auto" w:fill="5B9BD5" w:themeFill="accent1"/>
          </w:tcPr>
          <w:p>
            <w:pPr>
              <w:pStyle w:val="Body"/>
              <w:jc w:val="center"/>
              <w:rPr>
                <w:noProof/>
                <w:sz w:val="18"/>
                <w:szCs w:val="20"/>
              </w:rPr>
            </w:pPr>
            <w:r>
              <w:rPr>
                <w:noProof/>
                <w:sz w:val="18"/>
                <w:szCs w:val="20"/>
              </w:rPr>
              <w:t>22%</w:t>
            </w:r>
          </w:p>
        </w:tc>
        <w:tc>
          <w:tcPr>
            <w:tcW w:w="1021" w:type="dxa"/>
            <w:shd w:val="clear" w:color="auto" w:fill="5B9BD5" w:themeFill="accent1"/>
          </w:tcPr>
          <w:p>
            <w:pPr>
              <w:pStyle w:val="Body"/>
              <w:jc w:val="center"/>
              <w:rPr>
                <w:noProof/>
                <w:sz w:val="18"/>
                <w:szCs w:val="20"/>
              </w:rPr>
            </w:pPr>
            <w:r>
              <w:rPr>
                <w:noProof/>
                <w:sz w:val="18"/>
                <w:szCs w:val="20"/>
              </w:rPr>
              <w:t>22%</w:t>
            </w:r>
          </w:p>
        </w:tc>
        <w:tc>
          <w:tcPr>
            <w:tcW w:w="1275" w:type="dxa"/>
            <w:shd w:val="clear" w:color="auto" w:fill="5B9BD5" w:themeFill="accent1"/>
          </w:tcPr>
          <w:p>
            <w:pPr>
              <w:pStyle w:val="Body"/>
              <w:jc w:val="center"/>
              <w:rPr>
                <w:noProof/>
                <w:sz w:val="18"/>
                <w:szCs w:val="20"/>
              </w:rPr>
            </w:pPr>
            <w:r>
              <w:rPr>
                <w:noProof/>
                <w:sz w:val="18"/>
                <w:szCs w:val="20"/>
              </w:rPr>
              <w:t>27%</w:t>
            </w:r>
          </w:p>
        </w:tc>
        <w:tc>
          <w:tcPr>
            <w:tcW w:w="1276" w:type="dxa"/>
          </w:tcPr>
          <w:p>
            <w:pPr>
              <w:pStyle w:val="Body"/>
              <w:jc w:val="center"/>
              <w:rPr>
                <w:noProof/>
                <w:sz w:val="18"/>
                <w:szCs w:val="20"/>
              </w:rPr>
            </w:pPr>
            <w:r>
              <w:rPr>
                <w:noProof/>
                <w:sz w:val="18"/>
                <w:szCs w:val="20"/>
              </w:rPr>
              <w:t>20%</w:t>
            </w:r>
          </w:p>
        </w:tc>
        <w:tc>
          <w:tcPr>
            <w:tcW w:w="1100" w:type="dxa"/>
          </w:tcPr>
          <w:p>
            <w:pPr>
              <w:pStyle w:val="Body"/>
              <w:jc w:val="center"/>
              <w:rPr>
                <w:noProof/>
                <w:sz w:val="18"/>
                <w:szCs w:val="20"/>
              </w:rPr>
            </w:pPr>
            <w:r>
              <w:rPr>
                <w:noProof/>
                <w:sz w:val="18"/>
                <w:szCs w:val="20"/>
              </w:rPr>
              <w:t>22%</w:t>
            </w:r>
          </w:p>
        </w:tc>
      </w:tr>
      <w:tr>
        <w:tc>
          <w:tcPr>
            <w:tcW w:w="2495" w:type="dxa"/>
          </w:tcPr>
          <w:p>
            <w:pPr>
              <w:pStyle w:val="Body"/>
              <w:jc w:val="left"/>
              <w:rPr>
                <w:noProof/>
                <w:sz w:val="18"/>
                <w:szCs w:val="20"/>
              </w:rPr>
            </w:pPr>
            <w:r>
              <w:rPr>
                <w:noProof/>
                <w:sz w:val="18"/>
                <w:szCs w:val="20"/>
              </w:rPr>
              <w:t>Industrial equipment</w:t>
            </w:r>
          </w:p>
        </w:tc>
        <w:tc>
          <w:tcPr>
            <w:tcW w:w="1474" w:type="dxa"/>
            <w:shd w:val="clear" w:color="auto" w:fill="5B9BD5" w:themeFill="accent1"/>
          </w:tcPr>
          <w:p>
            <w:pPr>
              <w:pStyle w:val="Body"/>
              <w:jc w:val="center"/>
              <w:rPr>
                <w:noProof/>
                <w:sz w:val="18"/>
                <w:szCs w:val="20"/>
              </w:rPr>
            </w:pPr>
            <w:r>
              <w:rPr>
                <w:noProof/>
                <w:sz w:val="18"/>
                <w:szCs w:val="20"/>
              </w:rPr>
              <w:t>14%</w:t>
            </w:r>
          </w:p>
        </w:tc>
        <w:tc>
          <w:tcPr>
            <w:tcW w:w="1021" w:type="dxa"/>
            <w:shd w:val="clear" w:color="auto" w:fill="5B9BD5" w:themeFill="accent1"/>
          </w:tcPr>
          <w:p>
            <w:pPr>
              <w:pStyle w:val="Body"/>
              <w:jc w:val="center"/>
              <w:rPr>
                <w:noProof/>
                <w:sz w:val="18"/>
                <w:szCs w:val="20"/>
              </w:rPr>
            </w:pPr>
            <w:r>
              <w:rPr>
                <w:noProof/>
                <w:sz w:val="18"/>
                <w:szCs w:val="20"/>
              </w:rPr>
              <w:t>17%</w:t>
            </w:r>
          </w:p>
        </w:tc>
        <w:tc>
          <w:tcPr>
            <w:tcW w:w="1275" w:type="dxa"/>
            <w:shd w:val="clear" w:color="auto" w:fill="5B9BD5" w:themeFill="accent1"/>
          </w:tcPr>
          <w:p>
            <w:pPr>
              <w:pStyle w:val="Body"/>
              <w:jc w:val="center"/>
              <w:rPr>
                <w:noProof/>
                <w:sz w:val="18"/>
                <w:szCs w:val="20"/>
              </w:rPr>
            </w:pPr>
            <w:r>
              <w:rPr>
                <w:noProof/>
                <w:sz w:val="18"/>
                <w:szCs w:val="20"/>
              </w:rPr>
              <w:t>20%</w:t>
            </w:r>
          </w:p>
        </w:tc>
        <w:tc>
          <w:tcPr>
            <w:tcW w:w="1276" w:type="dxa"/>
          </w:tcPr>
          <w:p>
            <w:pPr>
              <w:pStyle w:val="Body"/>
              <w:jc w:val="center"/>
              <w:rPr>
                <w:noProof/>
                <w:sz w:val="18"/>
                <w:szCs w:val="20"/>
              </w:rPr>
            </w:pPr>
            <w:r>
              <w:rPr>
                <w:noProof/>
                <w:sz w:val="18"/>
                <w:szCs w:val="20"/>
              </w:rPr>
              <w:t>18%</w:t>
            </w:r>
          </w:p>
        </w:tc>
        <w:tc>
          <w:tcPr>
            <w:tcW w:w="1100" w:type="dxa"/>
          </w:tcPr>
          <w:p>
            <w:pPr>
              <w:pStyle w:val="Body"/>
              <w:jc w:val="center"/>
              <w:rPr>
                <w:noProof/>
                <w:sz w:val="18"/>
                <w:szCs w:val="20"/>
              </w:rPr>
            </w:pPr>
            <w:r>
              <w:rPr>
                <w:noProof/>
                <w:sz w:val="18"/>
                <w:szCs w:val="20"/>
              </w:rPr>
              <w:t>13%</w:t>
            </w:r>
          </w:p>
        </w:tc>
      </w:tr>
      <w:tr>
        <w:tc>
          <w:tcPr>
            <w:tcW w:w="2495" w:type="dxa"/>
          </w:tcPr>
          <w:p>
            <w:pPr>
              <w:pStyle w:val="Body"/>
              <w:jc w:val="left"/>
              <w:rPr>
                <w:noProof/>
                <w:sz w:val="18"/>
                <w:szCs w:val="20"/>
              </w:rPr>
            </w:pPr>
            <w:r>
              <w:rPr>
                <w:noProof/>
                <w:sz w:val="18"/>
                <w:szCs w:val="20"/>
              </w:rPr>
              <w:t xml:space="preserve">Aerospace, defence &amp; security  </w:t>
            </w:r>
          </w:p>
        </w:tc>
        <w:tc>
          <w:tcPr>
            <w:tcW w:w="1474" w:type="dxa"/>
            <w:shd w:val="clear" w:color="auto" w:fill="5B9BD5" w:themeFill="accent1"/>
          </w:tcPr>
          <w:p>
            <w:pPr>
              <w:pStyle w:val="Body"/>
              <w:jc w:val="center"/>
              <w:rPr>
                <w:noProof/>
                <w:sz w:val="18"/>
                <w:szCs w:val="20"/>
              </w:rPr>
            </w:pPr>
            <w:r>
              <w:rPr>
                <w:noProof/>
                <w:sz w:val="18"/>
                <w:szCs w:val="20"/>
              </w:rPr>
              <w:t>15%</w:t>
            </w:r>
          </w:p>
        </w:tc>
        <w:tc>
          <w:tcPr>
            <w:tcW w:w="1021" w:type="dxa"/>
            <w:shd w:val="clear" w:color="auto" w:fill="5B9BD5" w:themeFill="accent1"/>
          </w:tcPr>
          <w:p>
            <w:pPr>
              <w:pStyle w:val="Body"/>
              <w:jc w:val="center"/>
              <w:rPr>
                <w:noProof/>
                <w:sz w:val="18"/>
                <w:szCs w:val="20"/>
              </w:rPr>
            </w:pPr>
            <w:r>
              <w:rPr>
                <w:noProof/>
                <w:sz w:val="18"/>
                <w:szCs w:val="20"/>
              </w:rPr>
              <w:t>15%</w:t>
            </w:r>
          </w:p>
        </w:tc>
        <w:tc>
          <w:tcPr>
            <w:tcW w:w="1275" w:type="dxa"/>
            <w:shd w:val="clear" w:color="auto" w:fill="5B9BD5" w:themeFill="accent1"/>
          </w:tcPr>
          <w:p>
            <w:pPr>
              <w:pStyle w:val="Body"/>
              <w:jc w:val="center"/>
              <w:rPr>
                <w:noProof/>
                <w:sz w:val="18"/>
                <w:szCs w:val="20"/>
              </w:rPr>
            </w:pPr>
            <w:r>
              <w:rPr>
                <w:noProof/>
                <w:sz w:val="18"/>
                <w:szCs w:val="20"/>
              </w:rPr>
              <w:t>22%</w:t>
            </w:r>
          </w:p>
        </w:tc>
        <w:tc>
          <w:tcPr>
            <w:tcW w:w="1276" w:type="dxa"/>
          </w:tcPr>
          <w:p>
            <w:pPr>
              <w:pStyle w:val="Body"/>
              <w:jc w:val="center"/>
              <w:rPr>
                <w:noProof/>
                <w:sz w:val="18"/>
                <w:szCs w:val="20"/>
              </w:rPr>
            </w:pPr>
            <w:r>
              <w:rPr>
                <w:noProof/>
                <w:sz w:val="18"/>
                <w:szCs w:val="20"/>
              </w:rPr>
              <w:t>22%</w:t>
            </w:r>
          </w:p>
        </w:tc>
        <w:tc>
          <w:tcPr>
            <w:tcW w:w="1100" w:type="dxa"/>
          </w:tcPr>
          <w:p>
            <w:pPr>
              <w:pStyle w:val="Body"/>
              <w:jc w:val="center"/>
              <w:rPr>
                <w:noProof/>
                <w:sz w:val="18"/>
                <w:szCs w:val="20"/>
              </w:rPr>
            </w:pPr>
            <w:r>
              <w:rPr>
                <w:noProof/>
                <w:sz w:val="18"/>
                <w:szCs w:val="20"/>
              </w:rPr>
              <w:t>19%</w:t>
            </w:r>
          </w:p>
        </w:tc>
      </w:tr>
      <w:tr>
        <w:tc>
          <w:tcPr>
            <w:tcW w:w="2495" w:type="dxa"/>
          </w:tcPr>
          <w:p>
            <w:pPr>
              <w:pStyle w:val="Body"/>
              <w:jc w:val="left"/>
              <w:rPr>
                <w:noProof/>
                <w:sz w:val="18"/>
                <w:szCs w:val="20"/>
              </w:rPr>
            </w:pPr>
            <w:r>
              <w:rPr>
                <w:noProof/>
                <w:sz w:val="18"/>
                <w:szCs w:val="20"/>
              </w:rPr>
              <w:t xml:space="preserve">Health and care  </w:t>
            </w:r>
          </w:p>
        </w:tc>
        <w:tc>
          <w:tcPr>
            <w:tcW w:w="1474" w:type="dxa"/>
            <w:shd w:val="clear" w:color="auto" w:fill="5B9BD5" w:themeFill="accent1"/>
          </w:tcPr>
          <w:p>
            <w:pPr>
              <w:pStyle w:val="Body"/>
              <w:jc w:val="center"/>
              <w:rPr>
                <w:noProof/>
                <w:sz w:val="18"/>
                <w:szCs w:val="20"/>
              </w:rPr>
            </w:pPr>
            <w:r>
              <w:rPr>
                <w:noProof/>
                <w:sz w:val="18"/>
                <w:szCs w:val="20"/>
              </w:rPr>
              <w:t>20%</w:t>
            </w:r>
          </w:p>
        </w:tc>
        <w:tc>
          <w:tcPr>
            <w:tcW w:w="1021" w:type="dxa"/>
            <w:shd w:val="clear" w:color="auto" w:fill="5B9BD5" w:themeFill="accent1"/>
          </w:tcPr>
          <w:p>
            <w:pPr>
              <w:pStyle w:val="Body"/>
              <w:jc w:val="center"/>
              <w:rPr>
                <w:noProof/>
                <w:sz w:val="18"/>
                <w:szCs w:val="20"/>
              </w:rPr>
            </w:pPr>
            <w:r>
              <w:rPr>
                <w:noProof/>
                <w:sz w:val="18"/>
                <w:szCs w:val="20"/>
              </w:rPr>
              <w:t>20%</w:t>
            </w:r>
          </w:p>
        </w:tc>
        <w:tc>
          <w:tcPr>
            <w:tcW w:w="1275" w:type="dxa"/>
            <w:shd w:val="clear" w:color="auto" w:fill="5B9BD5" w:themeFill="accent1"/>
          </w:tcPr>
          <w:p>
            <w:pPr>
              <w:pStyle w:val="Body"/>
              <w:jc w:val="center"/>
              <w:rPr>
                <w:noProof/>
                <w:sz w:val="18"/>
                <w:szCs w:val="20"/>
              </w:rPr>
            </w:pPr>
            <w:r>
              <w:rPr>
                <w:noProof/>
                <w:sz w:val="18"/>
                <w:szCs w:val="20"/>
              </w:rPr>
              <w:t>19%</w:t>
            </w:r>
          </w:p>
        </w:tc>
        <w:tc>
          <w:tcPr>
            <w:tcW w:w="1276" w:type="dxa"/>
          </w:tcPr>
          <w:p>
            <w:pPr>
              <w:pStyle w:val="Body"/>
              <w:jc w:val="center"/>
              <w:rPr>
                <w:noProof/>
                <w:sz w:val="18"/>
                <w:szCs w:val="20"/>
              </w:rPr>
            </w:pPr>
          </w:p>
        </w:tc>
        <w:tc>
          <w:tcPr>
            <w:tcW w:w="1100" w:type="dxa"/>
          </w:tcPr>
          <w:p>
            <w:pPr>
              <w:pStyle w:val="Body"/>
              <w:jc w:val="center"/>
              <w:rPr>
                <w:noProof/>
                <w:sz w:val="18"/>
                <w:szCs w:val="20"/>
              </w:rPr>
            </w:pPr>
            <w:r>
              <w:rPr>
                <w:noProof/>
                <w:sz w:val="18"/>
                <w:szCs w:val="20"/>
              </w:rPr>
              <w:t>20%</w:t>
            </w:r>
          </w:p>
        </w:tc>
      </w:tr>
      <w:tr>
        <w:tc>
          <w:tcPr>
            <w:tcW w:w="2495" w:type="dxa"/>
          </w:tcPr>
          <w:p>
            <w:pPr>
              <w:pStyle w:val="Body"/>
              <w:jc w:val="left"/>
              <w:rPr>
                <w:noProof/>
                <w:sz w:val="18"/>
                <w:szCs w:val="20"/>
              </w:rPr>
            </w:pPr>
            <w:r>
              <w:rPr>
                <w:noProof/>
                <w:sz w:val="18"/>
                <w:szCs w:val="20"/>
              </w:rPr>
              <w:t>Home appliances</w:t>
            </w:r>
          </w:p>
        </w:tc>
        <w:tc>
          <w:tcPr>
            <w:tcW w:w="1474" w:type="dxa"/>
          </w:tcPr>
          <w:p>
            <w:pPr>
              <w:pStyle w:val="Body"/>
              <w:jc w:val="center"/>
              <w:rPr>
                <w:noProof/>
                <w:sz w:val="18"/>
                <w:szCs w:val="20"/>
              </w:rPr>
            </w:pPr>
            <w:r>
              <w:rPr>
                <w:noProof/>
                <w:sz w:val="18"/>
                <w:szCs w:val="20"/>
              </w:rPr>
              <w:t>4%</w:t>
            </w:r>
          </w:p>
        </w:tc>
        <w:tc>
          <w:tcPr>
            <w:tcW w:w="1021" w:type="dxa"/>
          </w:tcPr>
          <w:p>
            <w:pPr>
              <w:pStyle w:val="Body"/>
              <w:jc w:val="center"/>
              <w:rPr>
                <w:noProof/>
                <w:sz w:val="18"/>
                <w:szCs w:val="20"/>
              </w:rPr>
            </w:pPr>
            <w:r>
              <w:rPr>
                <w:noProof/>
                <w:sz w:val="18"/>
                <w:szCs w:val="20"/>
              </w:rPr>
              <w:t>8%</w:t>
            </w:r>
          </w:p>
        </w:tc>
        <w:tc>
          <w:tcPr>
            <w:tcW w:w="1275" w:type="dxa"/>
          </w:tcPr>
          <w:p>
            <w:pPr>
              <w:pStyle w:val="Body"/>
              <w:jc w:val="center"/>
              <w:rPr>
                <w:noProof/>
                <w:sz w:val="18"/>
                <w:szCs w:val="20"/>
              </w:rPr>
            </w:pPr>
            <w:r>
              <w:rPr>
                <w:noProof/>
                <w:sz w:val="18"/>
                <w:szCs w:val="20"/>
              </w:rPr>
              <w:t>17%</w:t>
            </w:r>
          </w:p>
        </w:tc>
        <w:tc>
          <w:tcPr>
            <w:tcW w:w="1276" w:type="dxa"/>
          </w:tcPr>
          <w:p>
            <w:pPr>
              <w:pStyle w:val="Body"/>
              <w:jc w:val="center"/>
              <w:rPr>
                <w:noProof/>
                <w:sz w:val="18"/>
                <w:szCs w:val="20"/>
              </w:rPr>
            </w:pPr>
          </w:p>
        </w:tc>
        <w:tc>
          <w:tcPr>
            <w:tcW w:w="1100" w:type="dxa"/>
          </w:tcPr>
          <w:p>
            <w:pPr>
              <w:pStyle w:val="Body"/>
              <w:jc w:val="center"/>
              <w:rPr>
                <w:noProof/>
                <w:sz w:val="18"/>
                <w:szCs w:val="20"/>
              </w:rPr>
            </w:pPr>
          </w:p>
        </w:tc>
      </w:tr>
      <w:tr>
        <w:tc>
          <w:tcPr>
            <w:tcW w:w="2495" w:type="dxa"/>
          </w:tcPr>
          <w:p>
            <w:pPr>
              <w:pStyle w:val="Body"/>
              <w:jc w:val="left"/>
              <w:rPr>
                <w:noProof/>
                <w:sz w:val="18"/>
                <w:szCs w:val="20"/>
              </w:rPr>
            </w:pPr>
            <w:r>
              <w:rPr>
                <w:noProof/>
                <w:sz w:val="18"/>
                <w:szCs w:val="20"/>
              </w:rPr>
              <w:t>Audio &amp; video</w:t>
            </w:r>
          </w:p>
        </w:tc>
        <w:tc>
          <w:tcPr>
            <w:tcW w:w="1474" w:type="dxa"/>
          </w:tcPr>
          <w:p>
            <w:pPr>
              <w:pStyle w:val="Body"/>
              <w:jc w:val="center"/>
              <w:rPr>
                <w:noProof/>
                <w:sz w:val="18"/>
                <w:szCs w:val="20"/>
              </w:rPr>
            </w:pPr>
            <w:r>
              <w:rPr>
                <w:noProof/>
                <w:sz w:val="18"/>
                <w:szCs w:val="20"/>
              </w:rPr>
              <w:t>5%</w:t>
            </w:r>
          </w:p>
        </w:tc>
        <w:tc>
          <w:tcPr>
            <w:tcW w:w="1021" w:type="dxa"/>
          </w:tcPr>
          <w:p>
            <w:pPr>
              <w:pStyle w:val="Body"/>
              <w:jc w:val="center"/>
              <w:rPr>
                <w:noProof/>
                <w:sz w:val="18"/>
                <w:szCs w:val="20"/>
              </w:rPr>
            </w:pPr>
            <w:r>
              <w:rPr>
                <w:noProof/>
                <w:sz w:val="18"/>
                <w:szCs w:val="20"/>
              </w:rPr>
              <w:t>7%</w:t>
            </w:r>
          </w:p>
        </w:tc>
        <w:tc>
          <w:tcPr>
            <w:tcW w:w="1275" w:type="dxa"/>
          </w:tcPr>
          <w:p>
            <w:pPr>
              <w:pStyle w:val="Body"/>
              <w:jc w:val="center"/>
              <w:rPr>
                <w:noProof/>
                <w:sz w:val="18"/>
                <w:szCs w:val="20"/>
              </w:rPr>
            </w:pPr>
            <w:r>
              <w:rPr>
                <w:noProof/>
                <w:sz w:val="18"/>
                <w:szCs w:val="20"/>
              </w:rPr>
              <w:t>11%</w:t>
            </w:r>
          </w:p>
        </w:tc>
        <w:tc>
          <w:tcPr>
            <w:tcW w:w="1276" w:type="dxa"/>
          </w:tcPr>
          <w:p>
            <w:pPr>
              <w:pStyle w:val="Body"/>
              <w:jc w:val="center"/>
              <w:rPr>
                <w:noProof/>
                <w:sz w:val="18"/>
                <w:szCs w:val="20"/>
              </w:rPr>
            </w:pPr>
          </w:p>
        </w:tc>
        <w:tc>
          <w:tcPr>
            <w:tcW w:w="1100" w:type="dxa"/>
          </w:tcPr>
          <w:p>
            <w:pPr>
              <w:pStyle w:val="Body"/>
              <w:jc w:val="center"/>
              <w:rPr>
                <w:noProof/>
                <w:sz w:val="18"/>
                <w:szCs w:val="20"/>
              </w:rPr>
            </w:pPr>
          </w:p>
        </w:tc>
      </w:tr>
      <w:tr>
        <w:tc>
          <w:tcPr>
            <w:tcW w:w="2495" w:type="dxa"/>
          </w:tcPr>
          <w:p>
            <w:pPr>
              <w:pStyle w:val="Body"/>
              <w:jc w:val="left"/>
              <w:rPr>
                <w:noProof/>
                <w:sz w:val="18"/>
                <w:szCs w:val="20"/>
              </w:rPr>
            </w:pPr>
            <w:r>
              <w:rPr>
                <w:noProof/>
                <w:sz w:val="18"/>
                <w:szCs w:val="20"/>
              </w:rPr>
              <w:t xml:space="preserve">Computers &amp; data processing  </w:t>
            </w:r>
          </w:p>
        </w:tc>
        <w:tc>
          <w:tcPr>
            <w:tcW w:w="1474" w:type="dxa"/>
          </w:tcPr>
          <w:p>
            <w:pPr>
              <w:pStyle w:val="Body"/>
              <w:jc w:val="center"/>
              <w:rPr>
                <w:noProof/>
                <w:sz w:val="18"/>
                <w:szCs w:val="20"/>
              </w:rPr>
            </w:pPr>
            <w:r>
              <w:rPr>
                <w:noProof/>
                <w:sz w:val="18"/>
                <w:szCs w:val="20"/>
              </w:rPr>
              <w:t>4%</w:t>
            </w:r>
          </w:p>
        </w:tc>
        <w:tc>
          <w:tcPr>
            <w:tcW w:w="1021" w:type="dxa"/>
          </w:tcPr>
          <w:p>
            <w:pPr>
              <w:pStyle w:val="Body"/>
              <w:jc w:val="center"/>
              <w:rPr>
                <w:noProof/>
                <w:sz w:val="18"/>
                <w:szCs w:val="20"/>
              </w:rPr>
            </w:pPr>
            <w:r>
              <w:rPr>
                <w:noProof/>
                <w:sz w:val="18"/>
                <w:szCs w:val="20"/>
              </w:rPr>
              <w:t>5%</w:t>
            </w:r>
          </w:p>
        </w:tc>
        <w:tc>
          <w:tcPr>
            <w:tcW w:w="1275" w:type="dxa"/>
          </w:tcPr>
          <w:p>
            <w:pPr>
              <w:pStyle w:val="Body"/>
              <w:jc w:val="center"/>
              <w:rPr>
                <w:noProof/>
                <w:sz w:val="18"/>
                <w:szCs w:val="20"/>
              </w:rPr>
            </w:pPr>
            <w:r>
              <w:rPr>
                <w:noProof/>
                <w:sz w:val="18"/>
                <w:szCs w:val="20"/>
              </w:rPr>
              <w:t>5%</w:t>
            </w:r>
          </w:p>
        </w:tc>
        <w:tc>
          <w:tcPr>
            <w:tcW w:w="1276" w:type="dxa"/>
          </w:tcPr>
          <w:p>
            <w:pPr>
              <w:pStyle w:val="Body"/>
              <w:jc w:val="center"/>
              <w:rPr>
                <w:noProof/>
                <w:sz w:val="18"/>
                <w:szCs w:val="20"/>
              </w:rPr>
            </w:pPr>
          </w:p>
        </w:tc>
        <w:tc>
          <w:tcPr>
            <w:tcW w:w="1100" w:type="dxa"/>
          </w:tcPr>
          <w:p>
            <w:pPr>
              <w:pStyle w:val="Body"/>
              <w:jc w:val="center"/>
              <w:rPr>
                <w:noProof/>
                <w:sz w:val="18"/>
                <w:szCs w:val="20"/>
              </w:rPr>
            </w:pPr>
            <w:r>
              <w:rPr>
                <w:noProof/>
                <w:sz w:val="18"/>
                <w:szCs w:val="20"/>
              </w:rPr>
              <w:t>5%</w:t>
            </w:r>
          </w:p>
        </w:tc>
      </w:tr>
      <w:tr>
        <w:tc>
          <w:tcPr>
            <w:tcW w:w="2495" w:type="dxa"/>
          </w:tcPr>
          <w:p>
            <w:pPr>
              <w:pStyle w:val="Body"/>
              <w:jc w:val="left"/>
              <w:rPr>
                <w:noProof/>
                <w:sz w:val="18"/>
                <w:szCs w:val="20"/>
              </w:rPr>
            </w:pPr>
            <w:r>
              <w:rPr>
                <w:noProof/>
                <w:sz w:val="18"/>
                <w:szCs w:val="20"/>
              </w:rPr>
              <w:t xml:space="preserve">Telecommunications  </w:t>
            </w:r>
          </w:p>
        </w:tc>
        <w:tc>
          <w:tcPr>
            <w:tcW w:w="1474" w:type="dxa"/>
          </w:tcPr>
          <w:p>
            <w:pPr>
              <w:pStyle w:val="Body"/>
              <w:jc w:val="center"/>
              <w:rPr>
                <w:noProof/>
                <w:sz w:val="18"/>
                <w:szCs w:val="20"/>
              </w:rPr>
            </w:pPr>
            <w:r>
              <w:rPr>
                <w:noProof/>
                <w:sz w:val="18"/>
                <w:szCs w:val="20"/>
              </w:rPr>
              <w:t>5%</w:t>
            </w:r>
          </w:p>
        </w:tc>
        <w:tc>
          <w:tcPr>
            <w:tcW w:w="1021" w:type="dxa"/>
          </w:tcPr>
          <w:p>
            <w:pPr>
              <w:pStyle w:val="Body"/>
              <w:jc w:val="center"/>
              <w:rPr>
                <w:noProof/>
                <w:sz w:val="18"/>
                <w:szCs w:val="20"/>
              </w:rPr>
            </w:pPr>
            <w:r>
              <w:rPr>
                <w:noProof/>
                <w:sz w:val="18"/>
                <w:szCs w:val="20"/>
              </w:rPr>
              <w:t>4%</w:t>
            </w:r>
          </w:p>
        </w:tc>
        <w:tc>
          <w:tcPr>
            <w:tcW w:w="1275" w:type="dxa"/>
          </w:tcPr>
          <w:p>
            <w:pPr>
              <w:pStyle w:val="Body"/>
              <w:jc w:val="center"/>
              <w:rPr>
                <w:noProof/>
                <w:sz w:val="18"/>
                <w:szCs w:val="20"/>
              </w:rPr>
            </w:pPr>
            <w:r>
              <w:rPr>
                <w:noProof/>
                <w:sz w:val="18"/>
                <w:szCs w:val="20"/>
              </w:rPr>
              <w:t>4%</w:t>
            </w:r>
          </w:p>
        </w:tc>
        <w:tc>
          <w:tcPr>
            <w:tcW w:w="1276" w:type="dxa"/>
          </w:tcPr>
          <w:p>
            <w:pPr>
              <w:pStyle w:val="Body"/>
              <w:jc w:val="center"/>
              <w:rPr>
                <w:noProof/>
                <w:sz w:val="18"/>
                <w:szCs w:val="20"/>
              </w:rPr>
            </w:pPr>
          </w:p>
        </w:tc>
        <w:tc>
          <w:tcPr>
            <w:tcW w:w="1100" w:type="dxa"/>
          </w:tcPr>
          <w:p>
            <w:pPr>
              <w:pStyle w:val="Body"/>
              <w:jc w:val="center"/>
              <w:rPr>
                <w:noProof/>
                <w:sz w:val="18"/>
                <w:szCs w:val="20"/>
              </w:rPr>
            </w:pPr>
            <w:r>
              <w:rPr>
                <w:noProof/>
                <w:sz w:val="18"/>
                <w:szCs w:val="20"/>
              </w:rPr>
              <w:t>18%</w:t>
            </w:r>
          </w:p>
        </w:tc>
      </w:tr>
    </w:tbl>
    <w:p>
      <w:pPr>
        <w:spacing w:after="120" w:line="264" w:lineRule="auto"/>
        <w:jc w:val="left"/>
        <w:rPr>
          <w:noProof/>
          <w:sz w:val="18"/>
          <w:szCs w:val="24"/>
          <w:lang w:eastAsia="zh-CN"/>
        </w:rPr>
      </w:pPr>
      <w:r>
        <w:rPr>
          <w:noProof/>
          <w:sz w:val="18"/>
          <w:szCs w:val="24"/>
          <w:lang w:eastAsia="zh-CN"/>
        </w:rPr>
        <w:t>Source: European Commission. (2019). Study on Emerging technologies in electronic components and systems (ECS) - Opportunities ahead. SMART 2018-0005.</w:t>
      </w:r>
    </w:p>
    <w:p>
      <w:pPr>
        <w:rPr>
          <w:noProof/>
        </w:rPr>
      </w:pPr>
      <w:r>
        <w:rPr>
          <w:noProof/>
        </w:rPr>
        <w:t>The darker area presents segments where Europe has a strong position with the highest spillover to downstream industries.</w:t>
      </w:r>
    </w:p>
    <w:p>
      <w:pPr>
        <w:rPr>
          <w:b/>
          <w:noProof/>
        </w:rPr>
      </w:pPr>
      <w:r>
        <w:rPr>
          <w:b/>
          <w:noProof/>
        </w:rPr>
        <w:t>Europe risks to be a follower in emerging key digital technologies</w:t>
      </w:r>
    </w:p>
    <w:p>
      <w:pPr>
        <w:rPr>
          <w:b/>
          <w:noProof/>
          <w:sz w:val="20"/>
        </w:rPr>
      </w:pPr>
      <w:r>
        <w:rPr>
          <w:noProof/>
          <w:szCs w:val="24"/>
          <w:lang w:eastAsia="en-GB"/>
        </w:rPr>
        <mc:AlternateContent>
          <mc:Choice Requires="wpg">
            <w:drawing>
              <wp:anchor distT="0" distB="0" distL="114300" distR="114300" simplePos="0" relativeHeight="251657216" behindDoc="1" locked="0" layoutInCell="1" allowOverlap="1">
                <wp:simplePos x="0" y="0"/>
                <wp:positionH relativeFrom="column">
                  <wp:posOffset>2757805</wp:posOffset>
                </wp:positionH>
                <wp:positionV relativeFrom="paragraph">
                  <wp:posOffset>2520950</wp:posOffset>
                </wp:positionV>
                <wp:extent cx="3360420" cy="2614930"/>
                <wp:effectExtent l="0" t="0" r="0" b="0"/>
                <wp:wrapTight wrapText="bothSides">
                  <wp:wrapPolygon edited="0">
                    <wp:start x="0" y="0"/>
                    <wp:lineTo x="0" y="21401"/>
                    <wp:lineTo x="21429" y="21401"/>
                    <wp:lineTo x="21429" y="19670"/>
                    <wp:lineTo x="21306"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360420" cy="2614930"/>
                          <a:chOff x="0" y="0"/>
                          <a:chExt cx="3520440" cy="2842260"/>
                        </a:xfrm>
                      </wpg:grpSpPr>
                      <wpg:graphicFrame>
                        <wpg:cNvPr id="15" name="Chart 1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5800EF2-CD1D-E041-BB5E-F8D1A914DDF7}"/>
                            </a:ext>
                          </a:extLst>
                        </wpg:cNvPr>
                        <wpg:cNvFrPr/>
                        <wpg:xfrm>
                          <a:off x="0" y="457200"/>
                          <a:ext cx="3436620" cy="2095500"/>
                        </wpg:xfrm>
                        <a:graphic>
                          <a:graphicData uri="http://schemas.openxmlformats.org/drawingml/2006/chart">
                            <c:chart xmlns:c="http://schemas.openxmlformats.org/drawingml/2006/chart" xmlns:r="http://schemas.openxmlformats.org/officeDocument/2006/relationships" r:id="rId40"/>
                          </a:graphicData>
                        </a:graphic>
                      </wpg:graphicFrame>
                      <wps:wsp>
                        <wps:cNvPr id="17" name="Text Box 17"/>
                        <wps:cNvSpPr txBox="1"/>
                        <wps:spPr>
                          <a:xfrm>
                            <a:off x="22860" y="0"/>
                            <a:ext cx="3436620" cy="416246"/>
                          </a:xfrm>
                          <a:prstGeom prst="rect">
                            <a:avLst/>
                          </a:prstGeom>
                          <a:solidFill>
                            <a:prstClr val="white"/>
                          </a:solidFill>
                          <a:ln>
                            <a:noFill/>
                          </a:ln>
                        </wps:spPr>
                        <wps:txbx>
                          <w:txbxContent>
                            <w:p>
                              <w:pPr>
                                <w:pStyle w:val="Caption"/>
                                <w:rPr>
                                  <w:noProof/>
                                  <w:sz w:val="20"/>
                                </w:rPr>
                              </w:pPr>
                              <w:r>
                                <w:rPr>
                                  <w:sz w:val="20"/>
                                </w:rPr>
                                <w:t xml:space="preserve">Figure 4: Growth in production of publications on </w:t>
                              </w:r>
                              <w:r>
                                <w:rPr>
                                  <w:sz w:val="20"/>
                                  <w:u w:val="single"/>
                                </w:rPr>
                                <w:t>AI</w:t>
                              </w:r>
                              <w:r>
                                <w:rPr>
                                  <w:sz w:val="20"/>
                                </w:rPr>
                                <w:t xml:space="preserve"> per country and year — number of publications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2860" y="2598420"/>
                            <a:ext cx="3497580" cy="243840"/>
                          </a:xfrm>
                          <a:prstGeom prst="rect">
                            <a:avLst/>
                          </a:prstGeom>
                          <a:solidFill>
                            <a:sysClr val="window" lastClr="FFFFFF"/>
                          </a:solidFill>
                          <a:ln w="6350">
                            <a:noFill/>
                          </a:ln>
                        </wps:spPr>
                        <wps:txbx>
                          <w:txbxContent>
                            <w:p>
                              <w:pPr>
                                <w:rPr>
                                  <w14:textOutline w14:w="9525" w14:cap="rnd" w14:cmpd="sng" w14:algn="ctr">
                                    <w14:noFill/>
                                    <w14:prstDash w14:val="solid"/>
                                    <w14:bevel/>
                                  </w14:textOutline>
                                </w:rPr>
                              </w:pPr>
                              <w:r>
                                <w:rPr>
                                  <w:sz w:val="18"/>
                                </w:rPr>
                                <w:t>Source: Calculations by Technopolis Group based on Scopus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217.15pt;margin-top:198.5pt;width:264.6pt;height:205.9pt;z-index:-251659264;mso-width-relative:margin;mso-height-relative:margin" coordsize="35204,2842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">
                <v:shape id="Chart 15" o:spid="_x0000_s1027" type="#_x0000_t75" style="position:absolute;left:-63;top:4505;width:34485;height:21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">
                  <v:imagedata r:id="rId41" o:title=""/>
                  <o:lock v:ext="edit" aspectratio="f"/>
                </v:shape>
                <v:shapetype id="_x0000_t202" coordsize="21600,21600" o:spt="202" path="m,l,21600r21600,l21600,xe">
                  <v:stroke joinstyle="miter"/>
                  <v:path gradientshapeok="t" o:connecttype="rect"/>
                </v:shapetype>
                <v:shape id="Text Box 17" o:spid="_x0000_s1028" type="#_x0000_t202" style="position:absolute;left:228;width:34366;height: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pPr>
                          <w:pStyle w:val="Caption"/>
                          <w:rPr>
                            <w:noProof/>
                            <w:sz w:val="20"/>
                          </w:rPr>
                        </w:pPr>
                        <w:r>
                          <w:rPr>
                            <w:sz w:val="20"/>
                          </w:rPr>
                          <w:t xml:space="preserve">Figure 4: Growth in production of publications on </w:t>
                        </w:r>
                        <w:r>
                          <w:rPr>
                            <w:sz w:val="20"/>
                            <w:u w:val="single"/>
                          </w:rPr>
                          <w:t>AI</w:t>
                        </w:r>
                        <w:r>
                          <w:rPr>
                            <w:sz w:val="20"/>
                          </w:rPr>
                          <w:t xml:space="preserve"> per country and year — number of publications</w:t>
                        </w:r>
                      </w:p>
                    </w:txbxContent>
                  </v:textbox>
                </v:shape>
                <v:shape id="Text Box 19" o:spid="_x0000_s1029" type="#_x0000_t202" style="position:absolute;left:228;top:25984;width:3497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pPr>
                          <w:rPr>
                            <w14:textOutline w14:w="9525" w14:cap="rnd" w14:cmpd="sng" w14:algn="ctr">
                              <w14:noFill/>
                              <w14:prstDash w14:val="solid"/>
                              <w14:bevel/>
                            </w14:textOutline>
                          </w:rPr>
                        </w:pPr>
                        <w:r>
                          <w:rPr>
                            <w:sz w:val="18"/>
                          </w:rPr>
                          <w:t>Source: Calculations by Technopolis Group based on Scopus data</w:t>
                        </w:r>
                      </w:p>
                    </w:txbxContent>
                  </v:textbox>
                </v:shape>
                <w10:wrap type="tight"/>
              </v:group>
            </w:pict>
          </mc:Fallback>
        </mc:AlternateContent>
      </w:r>
      <w:r>
        <w:rPr>
          <w:noProof/>
          <w:szCs w:val="24"/>
          <w:lang w:eastAsia="en-GB"/>
        </w:rPr>
        <mc:AlternateContent>
          <mc:Choice Requires="wpg">
            <w:drawing>
              <wp:anchor distT="0" distB="0" distL="114300" distR="114300" simplePos="0" relativeHeight="251655168" behindDoc="0" locked="0" layoutInCell="1" allowOverlap="1">
                <wp:simplePos x="0" y="0"/>
                <wp:positionH relativeFrom="column">
                  <wp:posOffset>-658495</wp:posOffset>
                </wp:positionH>
                <wp:positionV relativeFrom="paragraph">
                  <wp:posOffset>2653030</wp:posOffset>
                </wp:positionV>
                <wp:extent cx="3296285" cy="2380615"/>
                <wp:effectExtent l="0" t="0" r="0" b="635"/>
                <wp:wrapSquare wrapText="bothSides"/>
                <wp:docPr id="7" name="Group 7"/>
                <wp:cNvGraphicFramePr/>
                <a:graphic xmlns:a="http://schemas.openxmlformats.org/drawingml/2006/main">
                  <a:graphicData uri="http://schemas.microsoft.com/office/word/2010/wordprocessingGroup">
                    <wpg:wgp>
                      <wpg:cNvGrpSpPr/>
                      <wpg:grpSpPr>
                        <a:xfrm>
                          <a:off x="0" y="0"/>
                          <a:ext cx="3296285" cy="2380615"/>
                          <a:chOff x="0" y="-106341"/>
                          <a:chExt cx="3482532" cy="3009224"/>
                        </a:xfrm>
                      </wpg:grpSpPr>
                      <wpg:graphicFrame>
                        <wpg:cNvPr id="8" name="Chart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033C591-316E-624E-9F9D-77772BAEE404}"/>
                            </a:ext>
                          </a:extLst>
                        </wpg:cNvPr>
                        <wpg:cNvFrPr/>
                        <wpg:xfrm>
                          <a:off x="0" y="457200"/>
                          <a:ext cx="3459480" cy="2124075"/>
                        </wpg:xfrm>
                        <a:graphic>
                          <a:graphicData uri="http://schemas.openxmlformats.org/drawingml/2006/chart">
                            <c:chart xmlns:c="http://schemas.openxmlformats.org/drawingml/2006/chart" xmlns:r="http://schemas.openxmlformats.org/officeDocument/2006/relationships" r:id="rId42"/>
                          </a:graphicData>
                        </a:graphic>
                      </wpg:graphicFrame>
                      <wps:wsp>
                        <wps:cNvPr id="9" name="Text Box 9"/>
                        <wps:cNvSpPr txBox="1"/>
                        <wps:spPr>
                          <a:xfrm>
                            <a:off x="23052" y="-106341"/>
                            <a:ext cx="3459480" cy="493654"/>
                          </a:xfrm>
                          <a:prstGeom prst="rect">
                            <a:avLst/>
                          </a:prstGeom>
                          <a:solidFill>
                            <a:prstClr val="white"/>
                          </a:solidFill>
                          <a:ln>
                            <a:noFill/>
                          </a:ln>
                        </wps:spPr>
                        <wps:txbx>
                          <w:txbxContent>
                            <w:p>
                              <w:pPr>
                                <w:pStyle w:val="Caption"/>
                                <w:spacing w:after="0"/>
                                <w:rPr>
                                  <w:sz w:val="20"/>
                                </w:rPr>
                              </w:pPr>
                              <w:r>
                                <w:rPr>
                                  <w:sz w:val="20"/>
                                </w:rPr>
                                <w:t xml:space="preserve">Figure 3: Growth in production of publications on </w:t>
                              </w:r>
                              <w:r>
                                <w:rPr>
                                  <w:sz w:val="20"/>
                                  <w:u w:val="single"/>
                                </w:rPr>
                                <w:t>computer architectures</w:t>
                              </w:r>
                              <w:r>
                                <w:rPr>
                                  <w:sz w:val="20"/>
                                </w:rPr>
                                <w:t xml:space="preserve"> per country and year — number of publications</w:t>
                              </w:r>
                            </w:p>
                            <w:p>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0" y="2620942"/>
                            <a:ext cx="3459480" cy="281941"/>
                          </a:xfrm>
                          <a:prstGeom prst="rect">
                            <a:avLst/>
                          </a:prstGeom>
                          <a:solidFill>
                            <a:sysClr val="window" lastClr="FFFFFF"/>
                          </a:solidFill>
                          <a:ln w="6350">
                            <a:noFill/>
                          </a:ln>
                        </wps:spPr>
                        <wps:txbx>
                          <w:txbxContent>
                            <w:p>
                              <w:r>
                                <w:rPr>
                                  <w:sz w:val="18"/>
                                </w:rPr>
                                <w:t>Source: Calculations by Technopolis Group based on Scopus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30" style="position:absolute;left:0;text-align:left;margin-left:-51.85pt;margin-top:208.9pt;width:259.55pt;height:187.45pt;z-index:251655168;mso-width-relative:margin;mso-height-relative:margin" coordorigin=",-1063" coordsize="34825,3009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">
                <v:shape id="Chart 8" o:spid="_x0000_s1031" type="#_x0000_t75" style="position:absolute;left:-64;top:4484;width:34713;height:214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">
                  <v:imagedata r:id="rId43" o:title=""/>
                  <o:lock v:ext="edit" aspectratio="f"/>
                </v:shape>
                <v:shape id="Text Box 9" o:spid="_x0000_s1032" type="#_x0000_t202" style="position:absolute;left:230;top:-1063;width:34595;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pPr>
                          <w:pStyle w:val="Caption"/>
                          <w:spacing w:after="0"/>
                          <w:rPr>
                            <w:sz w:val="20"/>
                          </w:rPr>
                        </w:pPr>
                        <w:r>
                          <w:rPr>
                            <w:sz w:val="20"/>
                          </w:rPr>
                          <w:t xml:space="preserve">Figure 3: Growth in production of publications on </w:t>
                        </w:r>
                        <w:r>
                          <w:rPr>
                            <w:sz w:val="20"/>
                            <w:u w:val="single"/>
                          </w:rPr>
                          <w:t>computer architectures</w:t>
                        </w:r>
                        <w:r>
                          <w:rPr>
                            <w:sz w:val="20"/>
                          </w:rPr>
                          <w:t xml:space="preserve"> per country and year — number of publications</w:t>
                        </w:r>
                      </w:p>
                      <w:p>
                        <w:pPr>
                          <w:pStyle w:val="Caption"/>
                          <w:rPr>
                            <w:noProof/>
                          </w:rPr>
                        </w:pPr>
                      </w:p>
                    </w:txbxContent>
                  </v:textbox>
                </v:shape>
                <v:shape id="Text Box 11" o:spid="_x0000_s1033" type="#_x0000_t202" style="position:absolute;top:26209;width:3459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
                          <w:rPr>
                            <w:sz w:val="18"/>
                          </w:rPr>
                          <w:t>Source: Calculations by Technopolis Group based on Scopus data</w:t>
                        </w:r>
                      </w:p>
                    </w:txbxContent>
                  </v:textbox>
                </v:shape>
                <w10:wrap type="square"/>
              </v:group>
            </w:pict>
          </mc:Fallback>
        </mc:AlternateContent>
      </w:r>
      <w:r>
        <w:rPr>
          <w:rFonts w:asciiTheme="minorHAnsi" w:eastAsiaTheme="minorEastAsia" w:hAnsiTheme="minorHAnsi" w:cstheme="minorBidi"/>
          <w:noProof/>
          <w:sz w:val="22"/>
          <w:szCs w:val="24"/>
          <w:lang w:eastAsia="en-GB"/>
        </w:rPr>
        <mc:AlternateContent>
          <mc:Choice Requires="wpg">
            <w:drawing>
              <wp:anchor distT="0" distB="0" distL="114300" distR="114300" simplePos="0" relativeHeight="251661312" behindDoc="0" locked="0" layoutInCell="1" allowOverlap="1">
                <wp:simplePos x="0" y="0"/>
                <wp:positionH relativeFrom="column">
                  <wp:posOffset>2678430</wp:posOffset>
                </wp:positionH>
                <wp:positionV relativeFrom="paragraph">
                  <wp:posOffset>205105</wp:posOffset>
                </wp:positionV>
                <wp:extent cx="3274695" cy="2385060"/>
                <wp:effectExtent l="0" t="0" r="1905" b="0"/>
                <wp:wrapSquare wrapText="bothSides"/>
                <wp:docPr id="3" name="Group 3"/>
                <wp:cNvGraphicFramePr/>
                <a:graphic xmlns:a="http://schemas.openxmlformats.org/drawingml/2006/main">
                  <a:graphicData uri="http://schemas.microsoft.com/office/word/2010/wordprocessingGroup">
                    <wpg:wgp>
                      <wpg:cNvGrpSpPr/>
                      <wpg:grpSpPr>
                        <a:xfrm>
                          <a:off x="0" y="0"/>
                          <a:ext cx="3274695" cy="2385060"/>
                          <a:chOff x="0" y="-3485"/>
                          <a:chExt cx="3700145" cy="2704681"/>
                        </a:xfrm>
                      </wpg:grpSpPr>
                      <wpg:graphicFrame>
                        <wpg:cNvPr id="4" name="Chart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2A873B0-BDA8-8648-87B9-E00923D61BEF}"/>
                            </a:ext>
                          </a:extLst>
                        </wpg:cNvPr>
                        <wpg:cNvFrPr/>
                        <wpg:xfrm>
                          <a:off x="0" y="537246"/>
                          <a:ext cx="3700145" cy="1869440"/>
                        </wpg:xfrm>
                        <a:graphic>
                          <a:graphicData uri="http://schemas.openxmlformats.org/drawingml/2006/chart">
                            <c:chart xmlns:c="http://schemas.openxmlformats.org/drawingml/2006/chart" xmlns:r="http://schemas.openxmlformats.org/officeDocument/2006/relationships" r:id="rId44"/>
                          </a:graphicData>
                        </a:graphic>
                      </wpg:graphicFrame>
                      <wps:wsp>
                        <wps:cNvPr id="5" name="Text Box 5"/>
                        <wps:cNvSpPr txBox="1"/>
                        <wps:spPr>
                          <a:xfrm>
                            <a:off x="10396" y="-3485"/>
                            <a:ext cx="3652718" cy="522702"/>
                          </a:xfrm>
                          <a:prstGeom prst="rect">
                            <a:avLst/>
                          </a:prstGeom>
                          <a:solidFill>
                            <a:prstClr val="white"/>
                          </a:solidFill>
                          <a:ln>
                            <a:noFill/>
                          </a:ln>
                        </wps:spPr>
                        <wps:txbx>
                          <w:txbxContent>
                            <w:p>
                              <w:pPr>
                                <w:pStyle w:val="Caption"/>
                                <w:rPr>
                                  <w:noProof/>
                                </w:rPr>
                              </w:pPr>
                              <w:r>
                                <w:rPr>
                                  <w:sz w:val="20"/>
                                </w:rPr>
                                <w:t xml:space="preserve">Figure 2: Growth in production of publications on </w:t>
                              </w:r>
                              <w:r>
                                <w:rPr>
                                  <w:sz w:val="20"/>
                                  <w:u w:val="single"/>
                                </w:rPr>
                                <w:t xml:space="preserve">edge computing </w:t>
                              </w:r>
                              <w:r>
                                <w:rPr>
                                  <w:sz w:val="20"/>
                                </w:rPr>
                                <w:t>per country and year — number of publications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45720" y="2442116"/>
                            <a:ext cx="3654425" cy="259080"/>
                          </a:xfrm>
                          <a:prstGeom prst="rect">
                            <a:avLst/>
                          </a:prstGeom>
                          <a:solidFill>
                            <a:sysClr val="window" lastClr="FFFFFF"/>
                          </a:solidFill>
                          <a:ln w="6350">
                            <a:noFill/>
                          </a:ln>
                        </wps:spPr>
                        <wps:txbx>
                          <w:txbxContent>
                            <w:p>
                              <w:pPr>
                                <w:rPr>
                                  <w:sz w:val="18"/>
                                </w:rPr>
                              </w:pPr>
                              <w:r>
                                <w:rPr>
                                  <w:sz w:val="18"/>
                                </w:rPr>
                                <w:t>Source: Calculations by Technopolis Group based on Scopus data</w:t>
                              </w:r>
                            </w:p>
                            <w:p>
                              <w:pPr>
                                <w:rPr>
                                  <w:sz w:val="18"/>
                                </w:rPr>
                              </w:pPr>
                            </w:p>
                            <w:p>
                              <w:pPr>
                                <w:rPr>
                                  <w:sz w:val="18"/>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34" style="position:absolute;left:0;text-align:left;margin-left:210.9pt;margin-top:16.15pt;width:257.85pt;height:187.8pt;z-index:251661312;mso-width-relative:margin;mso-height-relative:margin" coordorigin=",-34" coordsize="37001,2704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">
                <v:shape id="Chart 4" o:spid="_x0000_s1035" type="#_x0000_t75" style="position:absolute;left:-68;top:5288;width:37125;height:18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">
                  <v:imagedata r:id="rId45" o:title=""/>
                  <o:lock v:ext="edit" aspectratio="f"/>
                </v:shape>
                <v:shape id="Text Box 5" o:spid="_x0000_s1036" type="#_x0000_t202" style="position:absolute;left:103;top:-34;width:36528;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pPr>
                          <w:pStyle w:val="Caption"/>
                          <w:rPr>
                            <w:noProof/>
                          </w:rPr>
                        </w:pPr>
                        <w:r>
                          <w:rPr>
                            <w:sz w:val="20"/>
                          </w:rPr>
                          <w:t xml:space="preserve">Figure 2: Growth in production of publications on </w:t>
                        </w:r>
                        <w:r>
                          <w:rPr>
                            <w:sz w:val="20"/>
                            <w:u w:val="single"/>
                          </w:rPr>
                          <w:t xml:space="preserve">edge computing </w:t>
                        </w:r>
                        <w:r>
                          <w:rPr>
                            <w:sz w:val="20"/>
                          </w:rPr>
                          <w:t>per country and year — number of publications</w:t>
                        </w:r>
                      </w:p>
                    </w:txbxContent>
                  </v:textbox>
                </v:shape>
                <v:shape id="Text Box 6" o:spid="_x0000_s1037" type="#_x0000_t202" style="position:absolute;left:457;top:24421;width:3654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AsQA&#10;AADaAAAADwAAAGRycy9kb3ducmV2LnhtbESPQWvCQBSE7wX/w/KE3nRjD1Kiq4hUqmCwxkKvj+wz&#10;ic2+DbtbE/313YLQ4zAz3zDzZW8acSXna8sKJuMEBHFhdc2lgs/TZvQKwgdkjY1lUnAjD8vF4GmO&#10;qbYdH+mah1JECPsUFVQhtKmUvqjIoB/bljh6Z+sMhihdKbXDLsJNI1+SZCoN1hwXKmxpXVHxnf8Y&#10;BV9d/u4Ou93lo91m98M9z/b0lin1POxXMxCB+vAffrS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ALEAAAA2gAAAA8AAAAAAAAAAAAAAAAAmAIAAGRycy9k&#10;b3ducmV2LnhtbFBLBQYAAAAABAAEAPUAAACJAwAAAAA=&#10;" fillcolor="window" stroked="f" strokeweight=".5pt">
                  <v:textbox>
                    <w:txbxContent>
                      <w:p>
                        <w:pPr>
                          <w:rPr>
                            <w:sz w:val="18"/>
                          </w:rPr>
                        </w:pPr>
                        <w:r>
                          <w:rPr>
                            <w:sz w:val="18"/>
                          </w:rPr>
                          <w:t>Source: Calculations by Technopolis Group based on Scopus data</w:t>
                        </w:r>
                      </w:p>
                      <w:p>
                        <w:pPr>
                          <w:rPr>
                            <w:sz w:val="18"/>
                          </w:rPr>
                        </w:pPr>
                      </w:p>
                      <w:p>
                        <w:pPr>
                          <w:rPr>
                            <w:sz w:val="18"/>
                          </w:rPr>
                        </w:pPr>
                      </w:p>
                      <w:p/>
                    </w:txbxContent>
                  </v:textbox>
                </v:shape>
                <w10:wrap type="square"/>
              </v:group>
            </w:pict>
          </mc:Fallback>
        </mc:AlternateContent>
      </w:r>
      <w:r>
        <w:rPr>
          <w:noProof/>
          <w:szCs w:val="24"/>
          <w:lang w:eastAsia="en-GB"/>
        </w:rPr>
        <mc:AlternateContent>
          <mc:Choice Requires="wpg">
            <w:drawing>
              <wp:anchor distT="0" distB="0" distL="114300" distR="114300" simplePos="0" relativeHeight="251659264" behindDoc="0" locked="0" layoutInCell="1" allowOverlap="1">
                <wp:simplePos x="0" y="0"/>
                <wp:positionH relativeFrom="column">
                  <wp:posOffset>-631825</wp:posOffset>
                </wp:positionH>
                <wp:positionV relativeFrom="paragraph">
                  <wp:posOffset>302895</wp:posOffset>
                </wp:positionV>
                <wp:extent cx="3165475" cy="2377440"/>
                <wp:effectExtent l="0" t="0" r="15875" b="3810"/>
                <wp:wrapSquare wrapText="bothSides"/>
                <wp:docPr id="28" name="Group 28"/>
                <wp:cNvGraphicFramePr/>
                <a:graphic xmlns:a="http://schemas.openxmlformats.org/drawingml/2006/main">
                  <a:graphicData uri="http://schemas.microsoft.com/office/word/2010/wordprocessingGroup">
                    <wpg:wgp>
                      <wpg:cNvGrpSpPr/>
                      <wpg:grpSpPr>
                        <a:xfrm>
                          <a:off x="0" y="0"/>
                          <a:ext cx="3165475" cy="2377440"/>
                          <a:chOff x="0" y="74700"/>
                          <a:chExt cx="4130040" cy="2796654"/>
                        </a:xfrm>
                      </wpg:grpSpPr>
                      <wpg:graphicFrame>
                        <wpg:cNvPr id="29" name="Chart 2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B402EFD-C44D-6644-9458-E67FEFB37CAA}"/>
                            </a:ext>
                          </a:extLst>
                        </wpg:cNvPr>
                        <wpg:cNvFrPr/>
                        <wpg:xfrm>
                          <a:off x="0" y="457200"/>
                          <a:ext cx="4130040" cy="2133600"/>
                        </wpg:xfrm>
                        <a:graphic>
                          <a:graphicData uri="http://schemas.openxmlformats.org/drawingml/2006/chart">
                            <c:chart xmlns:c="http://schemas.openxmlformats.org/drawingml/2006/chart" xmlns:r="http://schemas.openxmlformats.org/officeDocument/2006/relationships" r:id="rId46"/>
                          </a:graphicData>
                        </a:graphic>
                      </wpg:graphicFrame>
                      <wps:wsp>
                        <wps:cNvPr id="34" name="Text Box 34"/>
                        <wps:cNvSpPr txBox="1"/>
                        <wps:spPr>
                          <a:xfrm>
                            <a:off x="38102" y="74700"/>
                            <a:ext cx="4075966" cy="373485"/>
                          </a:xfrm>
                          <a:prstGeom prst="rect">
                            <a:avLst/>
                          </a:prstGeom>
                          <a:solidFill>
                            <a:prstClr val="white"/>
                          </a:solidFill>
                          <a:ln>
                            <a:noFill/>
                          </a:ln>
                        </wps:spPr>
                        <wps:txbx>
                          <w:txbxContent>
                            <w:p>
                              <w:pPr>
                                <w:pStyle w:val="Caption"/>
                                <w:spacing w:before="0" w:after="0"/>
                                <w:rPr>
                                  <w:noProof/>
                                  <w:sz w:val="20"/>
                                </w:rPr>
                              </w:pPr>
                              <w:r>
                                <w:rPr>
                                  <w:sz w:val="20"/>
                                </w:rPr>
                                <w:t>Figure 1: Production of publications on microelectronics per country and year — number of publications (2009-2018)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0" y="2603572"/>
                            <a:ext cx="4130040" cy="267782"/>
                          </a:xfrm>
                          <a:prstGeom prst="rect">
                            <a:avLst/>
                          </a:prstGeom>
                          <a:solidFill>
                            <a:sysClr val="window" lastClr="FFFFFF"/>
                          </a:solidFill>
                          <a:ln w="6350">
                            <a:noFill/>
                          </a:ln>
                        </wps:spPr>
                        <wps:txbx>
                          <w:txbxContent>
                            <w:p>
                              <w:pPr>
                                <w:pStyle w:val="Body"/>
                                <w:rPr>
                                  <w:sz w:val="18"/>
                                  <w:szCs w:val="20"/>
                                </w:rPr>
                              </w:pPr>
                              <w:r>
                                <w:rPr>
                                  <w:sz w:val="18"/>
                                  <w:szCs w:val="20"/>
                                </w:rPr>
                                <w:t>Source: Calculations by Technopolis Group based on Scopus data</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8" style="position:absolute;left:0;text-align:left;margin-left:-49.75pt;margin-top:23.85pt;width:249.25pt;height:187.2pt;z-index:251659264;mso-width-relative:margin;mso-height-relative:margin" coordorigin=",747" coordsize="41300,279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">
                <v:shape id="Chart 29" o:spid="_x0000_s1039" type="#_x0000_t75" style="position:absolute;left:-79;top:4475;width:41437;height:215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">
                  <v:imagedata r:id="rId47" o:title=""/>
                  <o:lock v:ext="edit" aspectratio="f"/>
                </v:shape>
                <v:shape id="Text Box 34" o:spid="_x0000_s1040" type="#_x0000_t202" style="position:absolute;left:381;top:747;width:40759;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pPr>
                          <w:pStyle w:val="Caption"/>
                          <w:spacing w:before="0" w:after="0"/>
                          <w:rPr>
                            <w:noProof/>
                            <w:sz w:val="20"/>
                          </w:rPr>
                        </w:pPr>
                        <w:r>
                          <w:rPr>
                            <w:sz w:val="20"/>
                          </w:rPr>
                          <w:t>Figure 1: Production of publications on microelectronics per country and year — number of publications (2009-2018)</w:t>
                        </w:r>
                      </w:p>
                    </w:txbxContent>
                  </v:textbox>
                </v:shape>
                <v:shape id="Text Box 35" o:spid="_x0000_s1041" type="#_x0000_t202" style="position:absolute;top:26035;width:41300;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QgsYA&#10;AADbAAAADwAAAGRycy9kb3ducmV2LnhtbESPQWvCQBSE70L/w/IK3uqml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QgsYAAADbAAAADwAAAAAAAAAAAAAAAACYAgAAZHJz&#10;L2Rvd25yZXYueG1sUEsFBgAAAAAEAAQA9QAAAIsDAAAAAA==&#10;" fillcolor="window" stroked="f" strokeweight=".5pt">
                  <v:textbox>
                    <w:txbxContent>
                      <w:p>
                        <w:pPr>
                          <w:pStyle w:val="Body"/>
                          <w:rPr>
                            <w:sz w:val="18"/>
                            <w:szCs w:val="20"/>
                          </w:rPr>
                        </w:pPr>
                        <w:r>
                          <w:rPr>
                            <w:sz w:val="18"/>
                            <w:szCs w:val="20"/>
                          </w:rPr>
                          <w:t>Source: Calculations by Technopolis Group based on Scopus data</w:t>
                        </w:r>
                      </w:p>
                      <w:p/>
                    </w:txbxContent>
                  </v:textbox>
                </v:shape>
                <w10:wrap type="square"/>
              </v:group>
            </w:pict>
          </mc:Fallback>
        </mc:AlternateContent>
      </w:r>
      <w:r>
        <w:rPr>
          <w:noProof/>
          <w:sz w:val="20"/>
        </w:rPr>
        <w:t>Scientific publications produced per region</w:t>
      </w:r>
    </w:p>
    <w:p>
      <w:pPr>
        <w:spacing w:before="120" w:after="120"/>
        <w:rPr>
          <w:noProof/>
          <w:szCs w:val="22"/>
          <w:lang w:eastAsia="zh-CN"/>
        </w:rPr>
      </w:pPr>
      <w:r>
        <w:rPr>
          <w:noProof/>
          <w:szCs w:val="22"/>
          <w:lang w:eastAsia="zh-CN"/>
        </w:rPr>
        <w:t>The analysis of scientific publications indicate that Europe retains a strong position in microelectronics research</w:t>
      </w:r>
      <w:r>
        <w:rPr>
          <w:noProof/>
          <w:szCs w:val="22"/>
          <w:vertAlign w:val="superscript"/>
          <w:lang w:eastAsia="zh-CN"/>
        </w:rPr>
        <w:footnoteReference w:id="33"/>
      </w:r>
      <w:r>
        <w:rPr>
          <w:noProof/>
          <w:szCs w:val="22"/>
          <w:lang w:eastAsia="zh-CN"/>
        </w:rPr>
        <w:t>, producing 31% of publications in the period 2009-2018 (Figure 5). China (25%) comes second followed by the US (24%).</w:t>
      </w:r>
    </w:p>
    <w:p>
      <w:pPr>
        <w:spacing w:before="120" w:after="120"/>
        <w:rPr>
          <w:i/>
          <w:noProof/>
          <w:sz w:val="20"/>
          <w:szCs w:val="22"/>
          <w:lang w:eastAsia="zh-CN"/>
        </w:rPr>
      </w:pPr>
      <w:bookmarkStart w:id="108" w:name="_Ref26121695"/>
      <w:bookmarkStart w:id="109" w:name="_Ref30973982"/>
      <w:bookmarkStart w:id="110" w:name="_Toc30973845"/>
      <w:bookmarkStart w:id="111" w:name="_Toc31877930"/>
      <w:r>
        <w:rPr>
          <w:i/>
          <w:noProof/>
          <w:sz w:val="20"/>
          <w:szCs w:val="22"/>
          <w:lang w:eastAsia="zh-CN"/>
        </w:rPr>
        <w:t>Figure 5</w:t>
      </w:r>
      <w:bookmarkEnd w:id="108"/>
      <w:bookmarkEnd w:id="109"/>
      <w:r>
        <w:rPr>
          <w:i/>
          <w:noProof/>
          <w:sz w:val="20"/>
          <w:szCs w:val="22"/>
          <w:lang w:eastAsia="zh-CN"/>
        </w:rPr>
        <w:t>: Publications in the area of microelectronics by country (2009-2018)</w:t>
      </w:r>
      <w:bookmarkEnd w:id="110"/>
      <w:bookmarkEnd w:id="111"/>
    </w:p>
    <w:p>
      <w:pPr>
        <w:spacing w:after="0" w:line="264" w:lineRule="auto"/>
        <w:rPr>
          <w:noProof/>
          <w:sz w:val="22"/>
          <w:szCs w:val="24"/>
          <w:lang w:eastAsia="zh-CN"/>
        </w:rPr>
      </w:pPr>
      <w:r>
        <w:rPr>
          <w:noProof/>
          <w:sz w:val="22"/>
          <w:szCs w:val="24"/>
          <w:lang w:eastAsia="en-GB"/>
        </w:rPr>
        <w:drawing>
          <wp:inline distT="0" distB="0" distL="0" distR="0">
            <wp:extent cx="5450840" cy="2633784"/>
            <wp:effectExtent l="0" t="0" r="10160" b="8255"/>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9579AB-4ECF-254A-A3C0-B2A73685A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before="120" w:after="120" w:line="264" w:lineRule="auto"/>
        <w:rPr>
          <w:noProof/>
          <w:sz w:val="18"/>
          <w:szCs w:val="24"/>
          <w:lang w:eastAsia="zh-CN"/>
        </w:rPr>
      </w:pPr>
      <w:r>
        <w:rPr>
          <w:noProof/>
          <w:sz w:val="18"/>
          <w:szCs w:val="24"/>
          <w:lang w:eastAsia="zh-CN"/>
        </w:rPr>
        <w:t>Source: Calculations by Technopolis Group based on Scopus data.</w:t>
      </w:r>
    </w:p>
    <w:p>
      <w:pPr>
        <w:spacing w:line="264" w:lineRule="auto"/>
        <w:rPr>
          <w:noProof/>
          <w:szCs w:val="24"/>
          <w:lang w:eastAsia="zh-CN"/>
        </w:rPr>
      </w:pPr>
      <w:r>
        <w:rPr>
          <w:noProof/>
          <w:szCs w:val="24"/>
          <w:lang w:eastAsia="zh-CN"/>
        </w:rPr>
        <w:t xml:space="preserve">However, looking at the performance of MS, and comparing their performance against other countries, China is the leader followed by the US (Figure 2). The two top European countries, Germany and France, remain far behind. Comparing the two figures and observing the significant differences in the capacity of individual countries, illustrates the limitations of thinking national, while it also sketches out possibilities and the </w:t>
      </w:r>
      <w:r>
        <w:rPr>
          <w:b/>
          <w:noProof/>
          <w:szCs w:val="24"/>
          <w:lang w:eastAsia="zh-CN"/>
        </w:rPr>
        <w:t>added value</w:t>
      </w:r>
      <w:r>
        <w:rPr>
          <w:noProof/>
          <w:szCs w:val="24"/>
          <w:lang w:eastAsia="zh-CN"/>
        </w:rPr>
        <w:t xml:space="preserve"> </w:t>
      </w:r>
      <w:r>
        <w:rPr>
          <w:b/>
          <w:noProof/>
          <w:szCs w:val="24"/>
          <w:lang w:eastAsia="zh-CN"/>
        </w:rPr>
        <w:t>of pooling together resources at the European level</w:t>
      </w:r>
      <w:r>
        <w:rPr>
          <w:noProof/>
          <w:szCs w:val="24"/>
          <w:lang w:eastAsia="zh-CN"/>
        </w:rPr>
        <w:t>.</w:t>
      </w:r>
    </w:p>
    <w:p>
      <w:pPr>
        <w:spacing w:after="120"/>
        <w:rPr>
          <w:b/>
          <w:noProof/>
          <w:szCs w:val="24"/>
          <w:lang w:eastAsia="zh-CN"/>
        </w:rPr>
      </w:pPr>
      <w:r>
        <w:rPr>
          <w:b/>
          <w:noProof/>
          <w:szCs w:val="24"/>
          <w:lang w:eastAsia="zh-CN"/>
        </w:rPr>
        <w:t>Targeted impacts for the initiative</w:t>
      </w:r>
    </w:p>
    <w:p>
      <w:pPr>
        <w:spacing w:after="120"/>
        <w:rPr>
          <w:noProof/>
          <w:szCs w:val="24"/>
          <w:lang w:eastAsia="zh-CN"/>
        </w:rPr>
      </w:pPr>
      <w:r>
        <w:rPr>
          <w:noProof/>
          <w:szCs w:val="24"/>
          <w:lang w:eastAsia="zh-CN"/>
        </w:rPr>
        <w:t>The initiative is estimated to lead to two key scientific impacts, as illustrated below:</w:t>
      </w:r>
    </w:p>
    <w:p>
      <w:pPr>
        <w:spacing w:before="120" w:after="120"/>
        <w:rPr>
          <w:i/>
          <w:noProof/>
          <w:sz w:val="20"/>
          <w:szCs w:val="22"/>
          <w:lang w:eastAsia="zh-CN"/>
        </w:rPr>
      </w:pPr>
      <w:bookmarkStart w:id="112" w:name="_Ref27932082"/>
      <w:r>
        <w:rPr>
          <w:i/>
          <w:noProof/>
          <w:sz w:val="20"/>
          <w:szCs w:val="22"/>
          <w:lang w:eastAsia="zh-CN"/>
        </w:rPr>
        <w:t>Figure</w:t>
      </w:r>
      <w:bookmarkEnd w:id="112"/>
      <w:r>
        <w:rPr>
          <w:i/>
          <w:noProof/>
          <w:sz w:val="20"/>
          <w:szCs w:val="22"/>
          <w:lang w:eastAsia="zh-CN"/>
        </w:rPr>
        <w:t xml:space="preserve"> 6: Impact pathway leading to scientific impacts</w:t>
      </w:r>
    </w:p>
    <w:p>
      <w:pPr>
        <w:rPr>
          <w:b/>
          <w:noProof/>
          <w:sz w:val="20"/>
        </w:rPr>
      </w:pPr>
      <w:r>
        <w:rPr>
          <w:noProof/>
          <w:sz w:val="22"/>
          <w:szCs w:val="24"/>
          <w:lang w:eastAsia="en-GB"/>
        </w:rPr>
        <w:drawing>
          <wp:inline distT="0" distB="0" distL="0" distR="0">
            <wp:extent cx="5794192" cy="24120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4192" cy="2412000"/>
                    </a:xfrm>
                    <a:prstGeom prst="rect">
                      <a:avLst/>
                    </a:prstGeom>
                    <a:noFill/>
                  </pic:spPr>
                </pic:pic>
              </a:graphicData>
            </a:graphic>
          </wp:inline>
        </w:drawing>
      </w:r>
    </w:p>
    <w:p>
      <w:pPr>
        <w:spacing w:after="120"/>
        <w:jc w:val="left"/>
        <w:rPr>
          <w:noProof/>
          <w:szCs w:val="24"/>
          <w:lang w:eastAsia="zh-CN"/>
        </w:rPr>
      </w:pPr>
      <w:r>
        <w:rPr>
          <w:noProof/>
          <w:szCs w:val="24"/>
          <w:lang w:eastAsia="zh-CN"/>
        </w:rPr>
        <w:t>The expected key economic/technological impacts of the initiative are mapped in Figure 7.</w:t>
      </w:r>
    </w:p>
    <w:p>
      <w:pPr>
        <w:spacing w:before="120" w:after="120"/>
        <w:rPr>
          <w:i/>
          <w:noProof/>
          <w:sz w:val="20"/>
          <w:szCs w:val="22"/>
          <w:lang w:eastAsia="zh-CN"/>
        </w:rPr>
      </w:pPr>
      <w:bookmarkStart w:id="113" w:name="_Ref26030679"/>
      <w:r>
        <w:rPr>
          <w:i/>
          <w:noProof/>
          <w:sz w:val="20"/>
          <w:szCs w:val="22"/>
          <w:lang w:eastAsia="zh-CN"/>
        </w:rPr>
        <w:t>Figure</w:t>
      </w:r>
      <w:bookmarkEnd w:id="113"/>
      <w:r>
        <w:rPr>
          <w:i/>
          <w:noProof/>
          <w:sz w:val="20"/>
          <w:szCs w:val="22"/>
          <w:lang w:eastAsia="zh-CN"/>
        </w:rPr>
        <w:t xml:space="preserve"> 7: Impact pathway leading to economic/technological impacts</w:t>
      </w:r>
    </w:p>
    <w:p>
      <w:pPr>
        <w:spacing w:after="120" w:line="264" w:lineRule="auto"/>
        <w:jc w:val="center"/>
        <w:rPr>
          <w:noProof/>
          <w:sz w:val="22"/>
          <w:szCs w:val="24"/>
          <w:lang w:eastAsia="zh-CN"/>
        </w:rPr>
      </w:pPr>
      <w:r>
        <w:rPr>
          <w:noProof/>
          <w:sz w:val="22"/>
          <w:szCs w:val="24"/>
          <w:lang w:eastAsia="en-GB"/>
        </w:rPr>
        <w:drawing>
          <wp:inline distT="0" distB="0" distL="0" distR="0">
            <wp:extent cx="5359110" cy="30636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59110" cy="3063600"/>
                    </a:xfrm>
                    <a:prstGeom prst="rect">
                      <a:avLst/>
                    </a:prstGeom>
                    <a:noFill/>
                  </pic:spPr>
                </pic:pic>
              </a:graphicData>
            </a:graphic>
          </wp:inline>
        </w:drawing>
      </w:r>
    </w:p>
    <w:p>
      <w:pPr>
        <w:spacing w:after="120"/>
        <w:rPr>
          <w:noProof/>
          <w:szCs w:val="24"/>
          <w:lang w:eastAsia="zh-CN"/>
        </w:rPr>
      </w:pPr>
      <w:r>
        <w:rPr>
          <w:noProof/>
          <w:szCs w:val="24"/>
          <w:lang w:eastAsia="zh-CN"/>
        </w:rPr>
        <w:t>The scientific and economic/technological impacts will also support the attainment of societal impacts as shown in Figure 8.</w:t>
      </w:r>
    </w:p>
    <w:p>
      <w:pPr>
        <w:spacing w:before="120" w:after="120"/>
        <w:rPr>
          <w:i/>
          <w:noProof/>
          <w:sz w:val="20"/>
          <w:szCs w:val="22"/>
          <w:lang w:eastAsia="zh-CN"/>
        </w:rPr>
      </w:pPr>
      <w:bookmarkStart w:id="114" w:name="_Ref28047613"/>
    </w:p>
    <w:p>
      <w:pPr>
        <w:spacing w:before="120" w:after="120"/>
        <w:rPr>
          <w:i/>
          <w:noProof/>
          <w:sz w:val="20"/>
          <w:szCs w:val="22"/>
          <w:lang w:eastAsia="zh-CN"/>
        </w:rPr>
      </w:pPr>
      <w:r>
        <w:rPr>
          <w:i/>
          <w:noProof/>
          <w:sz w:val="20"/>
          <w:szCs w:val="22"/>
          <w:lang w:eastAsia="zh-CN"/>
        </w:rPr>
        <w:t>Figure</w:t>
      </w:r>
      <w:bookmarkEnd w:id="114"/>
      <w:r>
        <w:rPr>
          <w:i/>
          <w:noProof/>
          <w:sz w:val="20"/>
          <w:szCs w:val="22"/>
          <w:lang w:eastAsia="zh-CN"/>
        </w:rPr>
        <w:t xml:space="preserve"> 8: Impact pathway leading to societal impacts</w:t>
      </w:r>
    </w:p>
    <w:p>
      <w:pPr>
        <w:spacing w:before="120" w:after="120"/>
        <w:rPr>
          <w:i/>
          <w:noProof/>
          <w:sz w:val="20"/>
          <w:szCs w:val="22"/>
          <w:lang w:eastAsia="zh-CN"/>
        </w:rPr>
      </w:pPr>
      <w:r>
        <w:rPr>
          <w:i/>
          <w:noProof/>
          <w:sz w:val="20"/>
          <w:szCs w:val="22"/>
          <w:lang w:eastAsia="en-GB"/>
        </w:rPr>
        <w:drawing>
          <wp:inline distT="0" distB="0" distL="0" distR="0">
            <wp:extent cx="5616000" cy="2911871"/>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3827" cy="2931484"/>
                    </a:xfrm>
                    <a:prstGeom prst="rect">
                      <a:avLst/>
                    </a:prstGeom>
                    <a:noFill/>
                  </pic:spPr>
                </pic:pic>
              </a:graphicData>
            </a:graphic>
          </wp:inline>
        </w:drawing>
      </w:r>
    </w:p>
    <w:p>
      <w:pPr>
        <w:rPr>
          <w:b/>
          <w:noProof/>
          <w:sz w:val="20"/>
        </w:rPr>
      </w:pPr>
    </w:p>
    <w:p>
      <w:pPr>
        <w:spacing w:after="0"/>
        <w:jc w:val="left"/>
        <w:rPr>
          <w:b/>
          <w:noProof/>
          <w:sz w:val="20"/>
        </w:rPr>
      </w:pPr>
      <w:r>
        <w:rPr>
          <w:b/>
          <w:noProof/>
          <w:sz w:val="20"/>
        </w:rPr>
        <w:br w:type="page"/>
      </w:r>
    </w:p>
    <w:p>
      <w:pPr>
        <w:keepNext/>
        <w:outlineLvl w:val="2"/>
        <w:rPr>
          <w:noProof/>
        </w:rPr>
      </w:pPr>
      <w:r>
        <w:rPr>
          <w:noProof/>
        </w:rPr>
        <w:t>OPTIONS DISCARDED AT AN EARLY STAGE</w:t>
      </w:r>
    </w:p>
    <w:p>
      <w:pPr>
        <w:keepNext/>
        <w:outlineLvl w:val="2"/>
        <w:rPr>
          <w:noProof/>
        </w:rPr>
      </w:pPr>
      <w:r>
        <w:rPr>
          <w:noProof/>
        </w:rPr>
        <w:t xml:space="preserve">Option 2 – Co-funded European Partnership  </w:t>
      </w:r>
    </w:p>
    <w:p>
      <w:pPr>
        <w:spacing w:after="120"/>
        <w:rPr>
          <w:noProof/>
          <w:szCs w:val="24"/>
          <w:lang w:eastAsia="zh-CN"/>
        </w:rPr>
      </w:pPr>
      <w:r>
        <w:rPr>
          <w:noProof/>
          <w:szCs w:val="24"/>
          <w:lang w:eastAsia="zh-CN" w:bidi="en-GB"/>
        </w:rPr>
        <w:t xml:space="preserve">The Co-funded Partnership is based on a </w:t>
      </w:r>
      <w:r>
        <w:rPr>
          <w:i/>
          <w:iCs/>
          <w:noProof/>
          <w:szCs w:val="24"/>
          <w:lang w:eastAsia="zh-CN" w:bidi="en-GB"/>
        </w:rPr>
        <w:t xml:space="preserve">Grant Agreement </w:t>
      </w:r>
      <w:r>
        <w:rPr>
          <w:noProof/>
          <w:szCs w:val="24"/>
          <w:lang w:eastAsia="zh-CN" w:bidi="en-GB"/>
        </w:rPr>
        <w:t>between the Commission and the consortium of partners, resulting from a call for a proposal for a programme co-funded action implementing the European Partnerships in the Horizon Europe Work Programme.</w:t>
      </w:r>
      <w:r>
        <w:rPr>
          <w:noProof/>
          <w:szCs w:val="24"/>
          <w:lang w:eastAsia="zh-CN"/>
        </w:rPr>
        <w:t xml:space="preserve"> </w:t>
      </w:r>
    </w:p>
    <w:p>
      <w:pPr>
        <w:spacing w:before="120" w:after="0"/>
        <w:jc w:val="left"/>
        <w:rPr>
          <w:b/>
          <w:i/>
          <w:noProof/>
          <w:sz w:val="22"/>
          <w:szCs w:val="22"/>
          <w:lang w:eastAsia="zh-CN" w:bidi="en-GB"/>
        </w:rPr>
      </w:pPr>
      <w:r>
        <w:rPr>
          <w:b/>
          <w:i/>
          <w:noProof/>
          <w:sz w:val="22"/>
          <w:szCs w:val="22"/>
          <w:lang w:eastAsia="zh-CN"/>
        </w:rPr>
        <w:t>Key characteristics of Option 2 – Co-funded European Partnership</w:t>
      </w:r>
    </w:p>
    <w:tbl>
      <w:tblPr>
        <w:tblStyle w:val="Deloitte2"/>
        <w:tblpPr w:leftFromText="180" w:rightFromText="180" w:vertAnchor="text" w:tblpY="1"/>
        <w:tblOverlap w:val="never"/>
        <w:tblW w:w="9180"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643"/>
      </w:tblGrid>
      <w:tr>
        <w:trPr>
          <w:trHeight w:val="126"/>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p>
        </w:tc>
        <w:tc>
          <w:tcPr>
            <w:tcW w:w="7643" w:type="dxa"/>
            <w:tcBorders>
              <w:top w:val="single" w:sz="18" w:space="0" w:color="FFFFFF"/>
              <w:left w:val="single" w:sz="18" w:space="0" w:color="FFFFFF"/>
              <w:right w:val="single" w:sz="18" w:space="0" w:color="FFFFFF"/>
            </w:tcBorders>
            <w:shd w:val="clear" w:color="auto" w:fill="E49A06"/>
          </w:tcPr>
          <w:p>
            <w:pPr>
              <w:spacing w:after="60"/>
              <w:jc w:val="left"/>
              <w:rPr>
                <w:b/>
                <w:bCs/>
                <w:noProof/>
                <w:color w:val="000000" w:themeColor="text1"/>
                <w:sz w:val="18"/>
                <w:szCs w:val="18"/>
                <w:lang w:eastAsia="zh-CN"/>
              </w:rPr>
            </w:pPr>
            <w:r>
              <w:rPr>
                <w:b/>
                <w:bCs/>
                <w:noProof/>
                <w:color w:val="000000" w:themeColor="text1"/>
                <w:sz w:val="18"/>
                <w:szCs w:val="18"/>
                <w:lang w:eastAsia="zh-CN"/>
              </w:rPr>
              <w:t>Implications of option</w:t>
            </w:r>
          </w:p>
        </w:tc>
      </w:tr>
      <w:tr>
        <w:trPr>
          <w:trHeight w:val="1793"/>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Enabling appropriate profile of participation (</w:t>
            </w:r>
            <w:r>
              <w:rPr>
                <w:i/>
                <w:iCs/>
                <w:noProof/>
                <w:sz w:val="18"/>
                <w:szCs w:val="18"/>
                <w:lang w:eastAsia="zh-CN"/>
              </w:rPr>
              <w:t>actors involved</w:t>
            </w:r>
            <w:r>
              <w:rPr>
                <w:noProof/>
                <w:sz w:val="18"/>
                <w:szCs w:val="18"/>
                <w:lang w:eastAsia="zh-CN"/>
              </w:rPr>
              <w:t>)</w:t>
            </w:r>
          </w:p>
        </w:tc>
        <w:tc>
          <w:tcPr>
            <w:tcW w:w="7643" w:type="dxa"/>
            <w:tcBorders>
              <w:left w:val="single" w:sz="18" w:space="0" w:color="FFFFFF"/>
              <w:right w:val="single" w:sz="18" w:space="0" w:color="FFFFFF"/>
            </w:tcBorders>
            <w:shd w:val="clear" w:color="auto" w:fill="DEEAF6" w:themeFill="accent1" w:themeFillTint="33"/>
          </w:tcPr>
          <w:p>
            <w:pPr>
              <w:numPr>
                <w:ilvl w:val="0"/>
                <w:numId w:val="27"/>
              </w:numPr>
              <w:spacing w:after="60"/>
              <w:ind w:left="357" w:hanging="357"/>
              <w:jc w:val="left"/>
              <w:rPr>
                <w:noProof/>
                <w:sz w:val="18"/>
                <w:szCs w:val="16"/>
              </w:rPr>
            </w:pPr>
            <w:r>
              <w:rPr>
                <w:noProof/>
                <w:sz w:val="18"/>
                <w:szCs w:val="16"/>
              </w:rPr>
              <w:t xml:space="preserve">Partners can include </w:t>
            </w:r>
            <w:r>
              <w:rPr>
                <w:i/>
                <w:iCs/>
                <w:noProof/>
                <w:sz w:val="18"/>
                <w:szCs w:val="16"/>
              </w:rPr>
              <w:t xml:space="preserve">any </w:t>
            </w:r>
          </w:p>
          <w:p>
            <w:pPr>
              <w:numPr>
                <w:ilvl w:val="0"/>
                <w:numId w:val="27"/>
              </w:numPr>
              <w:spacing w:after="60"/>
              <w:ind w:left="357" w:hanging="357"/>
              <w:jc w:val="left"/>
              <w:rPr>
                <w:noProof/>
                <w:sz w:val="18"/>
                <w:szCs w:val="16"/>
              </w:rPr>
            </w:pPr>
            <w:r>
              <w:rPr>
                <w:i/>
                <w:iCs/>
                <w:noProof/>
                <w:sz w:val="18"/>
                <w:szCs w:val="16"/>
              </w:rPr>
              <w:t>national funding body or governmental research organisation</w:t>
            </w:r>
            <w:r>
              <w:rPr>
                <w:noProof/>
                <w:sz w:val="18"/>
                <w:szCs w:val="16"/>
              </w:rPr>
              <w:t xml:space="preserve">, Possible to include also </w:t>
            </w:r>
            <w:r>
              <w:rPr>
                <w:i/>
                <w:iCs/>
                <w:noProof/>
                <w:sz w:val="18"/>
                <w:szCs w:val="16"/>
              </w:rPr>
              <w:t>other type of actors</w:t>
            </w:r>
            <w:r>
              <w:rPr>
                <w:noProof/>
                <w:sz w:val="18"/>
                <w:szCs w:val="16"/>
              </w:rPr>
              <w:t>, including foundations.</w:t>
            </w:r>
          </w:p>
          <w:p>
            <w:pPr>
              <w:numPr>
                <w:ilvl w:val="0"/>
                <w:numId w:val="27"/>
              </w:numPr>
              <w:spacing w:after="60"/>
              <w:ind w:left="357" w:hanging="357"/>
              <w:jc w:val="left"/>
              <w:rPr>
                <w:noProof/>
                <w:sz w:val="18"/>
                <w:szCs w:val="16"/>
              </w:rPr>
            </w:pPr>
            <w:r>
              <w:rPr>
                <w:noProof/>
                <w:color w:val="000000" w:themeColor="text1"/>
                <w:sz w:val="18"/>
                <w:szCs w:val="18"/>
              </w:rPr>
              <w:t>It is not possible to have the KDT industry associations as partners.</w:t>
            </w:r>
          </w:p>
          <w:p>
            <w:pPr>
              <w:numPr>
                <w:ilvl w:val="0"/>
                <w:numId w:val="27"/>
              </w:numPr>
              <w:spacing w:after="60"/>
              <w:ind w:left="357" w:hanging="357"/>
              <w:jc w:val="left"/>
              <w:rPr>
                <w:noProof/>
                <w:sz w:val="18"/>
                <w:szCs w:val="16"/>
              </w:rPr>
            </w:pPr>
            <w:r>
              <w:rPr>
                <w:noProof/>
                <w:sz w:val="18"/>
                <w:szCs w:val="16"/>
              </w:rPr>
              <w:t>Requires substantial national R&amp;I programmes (competitive or institutional) in the field and therefore limited the participation to few Member States with existing national KDT programmes.</w:t>
            </w:r>
          </w:p>
          <w:p>
            <w:pPr>
              <w:numPr>
                <w:ilvl w:val="0"/>
                <w:numId w:val="27"/>
              </w:numPr>
              <w:spacing w:after="60"/>
              <w:ind w:left="357" w:hanging="357"/>
              <w:jc w:val="left"/>
              <w:rPr>
                <w:noProof/>
                <w:sz w:val="18"/>
                <w:szCs w:val="16"/>
              </w:rPr>
            </w:pPr>
            <w:r>
              <w:rPr>
                <w:noProof/>
                <w:sz w:val="18"/>
                <w:szCs w:val="16"/>
              </w:rPr>
              <w:t>Usually only legal entities from countries that are part of the consortia can apply to calls launched by the partnership, under national rules.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Supporting implementation of R&amp;I agenda (</w:t>
            </w:r>
            <w:r>
              <w:rPr>
                <w:i/>
                <w:iCs/>
                <w:noProof/>
                <w:sz w:val="18"/>
                <w:szCs w:val="18"/>
                <w:lang w:eastAsia="zh-CN"/>
              </w:rPr>
              <w:t>activities)</w:t>
            </w:r>
          </w:p>
        </w:tc>
        <w:tc>
          <w:tcPr>
            <w:tcW w:w="7643" w:type="dxa"/>
            <w:tcBorders>
              <w:left w:val="single" w:sz="18" w:space="0" w:color="FFFFFF"/>
              <w:right w:val="single" w:sz="18" w:space="0" w:color="FFFFFF"/>
            </w:tcBorders>
            <w:shd w:val="clear" w:color="auto" w:fill="DEEAF6" w:themeFill="accent1" w:themeFillTint="33"/>
          </w:tcPr>
          <w:p>
            <w:pPr>
              <w:numPr>
                <w:ilvl w:val="0"/>
                <w:numId w:val="27"/>
              </w:numPr>
              <w:spacing w:after="60"/>
              <w:ind w:left="357" w:hanging="357"/>
              <w:jc w:val="left"/>
              <w:rPr>
                <w:noProof/>
                <w:sz w:val="18"/>
                <w:szCs w:val="16"/>
              </w:rPr>
            </w:pPr>
            <w:r>
              <w:rPr>
                <w:noProof/>
                <w:sz w:val="18"/>
                <w:szCs w:val="16"/>
              </w:rPr>
              <w:t xml:space="preserve">Activities may range from R&amp;I, pilot, deployment actions to training and mobility, dissemination and exploitation, but according to national programmes and rules. </w:t>
            </w:r>
          </w:p>
          <w:p>
            <w:pPr>
              <w:numPr>
                <w:ilvl w:val="0"/>
                <w:numId w:val="27"/>
              </w:numPr>
              <w:spacing w:after="60"/>
              <w:ind w:left="357" w:hanging="357"/>
              <w:jc w:val="left"/>
              <w:rPr>
                <w:noProof/>
                <w:sz w:val="18"/>
                <w:szCs w:val="16"/>
              </w:rPr>
            </w:pPr>
            <w:r>
              <w:rPr>
                <w:noProof/>
                <w:sz w:val="18"/>
                <w:szCs w:val="16"/>
              </w:rPr>
              <w:t>The decision and implementation are responsibility of the partners through institutional funding KDT programmes, or by “third parties” receiving financial support, following calls for proposals launched by the consortium.</w:t>
            </w:r>
          </w:p>
          <w:p>
            <w:pPr>
              <w:numPr>
                <w:ilvl w:val="0"/>
                <w:numId w:val="27"/>
              </w:numPr>
              <w:spacing w:after="60"/>
              <w:ind w:left="357" w:hanging="357"/>
              <w:jc w:val="left"/>
              <w:rPr>
                <w:noProof/>
                <w:sz w:val="18"/>
                <w:szCs w:val="16"/>
              </w:rPr>
            </w:pPr>
            <w:r>
              <w:rPr>
                <w:noProof/>
                <w:sz w:val="18"/>
                <w:szCs w:val="16"/>
              </w:rPr>
              <w:t>The scale and scope of the initiative is limited and depends on the participating programmes. The resulting funded R&amp;I actions are typically smaller in scale than FP projects.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Ensuring alignment with R&amp;I agenda</w:t>
            </w:r>
          </w:p>
          <w:p>
            <w:pPr>
              <w:spacing w:after="0"/>
              <w:jc w:val="left"/>
              <w:rPr>
                <w:noProof/>
                <w:sz w:val="18"/>
                <w:szCs w:val="18"/>
                <w:lang w:eastAsia="zh-CN"/>
              </w:rPr>
            </w:pPr>
            <w:r>
              <w:rPr>
                <w:noProof/>
                <w:sz w:val="18"/>
                <w:szCs w:val="18"/>
                <w:lang w:eastAsia="zh-CN"/>
              </w:rPr>
              <w:t>(</w:t>
            </w:r>
            <w:r>
              <w:rPr>
                <w:i/>
                <w:iCs/>
                <w:noProof/>
                <w:sz w:val="18"/>
                <w:szCs w:val="18"/>
                <w:lang w:eastAsia="zh-CN"/>
              </w:rPr>
              <w:t>directionality</w:t>
            </w:r>
            <w:r>
              <w:rPr>
                <w:noProof/>
                <w:sz w:val="18"/>
                <w:szCs w:val="18"/>
                <w:lang w:eastAsia="zh-CN"/>
              </w:rPr>
              <w:t>)</w:t>
            </w:r>
          </w:p>
        </w:tc>
        <w:tc>
          <w:tcPr>
            <w:tcW w:w="7643" w:type="dxa"/>
            <w:tcBorders>
              <w:left w:val="single" w:sz="18" w:space="0" w:color="FFFFFF"/>
              <w:right w:val="single" w:sz="18" w:space="0" w:color="FFFFFF"/>
            </w:tcBorders>
            <w:shd w:val="clear" w:color="auto" w:fill="DEEAF6" w:themeFill="accent1" w:themeFillTint="33"/>
          </w:tcPr>
          <w:p>
            <w:pPr>
              <w:numPr>
                <w:ilvl w:val="0"/>
                <w:numId w:val="27"/>
              </w:numPr>
              <w:spacing w:after="60"/>
              <w:ind w:left="357" w:hanging="357"/>
              <w:jc w:val="left"/>
              <w:rPr>
                <w:noProof/>
                <w:sz w:val="18"/>
                <w:szCs w:val="16"/>
              </w:rPr>
            </w:pPr>
            <w:r>
              <w:rPr>
                <w:noProof/>
                <w:sz w:val="18"/>
                <w:szCs w:val="16"/>
              </w:rPr>
              <w:t>The strategic R&amp;I agenda/roadmap is agreed between the Member States and EC without the participation of industry.</w:t>
            </w:r>
          </w:p>
          <w:p>
            <w:pPr>
              <w:numPr>
                <w:ilvl w:val="0"/>
                <w:numId w:val="27"/>
              </w:numPr>
              <w:spacing w:after="60"/>
              <w:ind w:left="357" w:hanging="357"/>
              <w:jc w:val="left"/>
              <w:rPr>
                <w:i/>
                <w:noProof/>
                <w:sz w:val="18"/>
                <w:szCs w:val="16"/>
              </w:rPr>
            </w:pPr>
            <w:r>
              <w:rPr>
                <w:noProof/>
                <w:sz w:val="18"/>
                <w:szCs w:val="16"/>
              </w:rPr>
              <w:t>The annual work programme drafted by partners, approved by EC. Objectives and commitments are set in the Grant Agreement.</w:t>
            </w:r>
          </w:p>
          <w:p>
            <w:pPr>
              <w:numPr>
                <w:ilvl w:val="0"/>
                <w:numId w:val="27"/>
              </w:numPr>
              <w:spacing w:after="60"/>
              <w:ind w:left="357" w:hanging="357"/>
              <w:jc w:val="left"/>
              <w:rPr>
                <w:noProof/>
                <w:sz w:val="18"/>
                <w:szCs w:val="16"/>
              </w:rPr>
            </w:pPr>
            <w:r>
              <w:rPr>
                <w:noProof/>
                <w:sz w:val="18"/>
                <w:szCs w:val="16"/>
              </w:rPr>
              <w:t>The coherence of the partnership with other actions of the can be ensured by partners and EC.</w:t>
            </w:r>
          </w:p>
          <w:p>
            <w:pPr>
              <w:numPr>
                <w:ilvl w:val="0"/>
                <w:numId w:val="27"/>
              </w:numPr>
              <w:spacing w:after="60"/>
              <w:ind w:left="357" w:hanging="357"/>
              <w:jc w:val="left"/>
              <w:rPr>
                <w:noProof/>
                <w:sz w:val="18"/>
                <w:szCs w:val="16"/>
              </w:rPr>
            </w:pPr>
            <w:r>
              <w:rPr>
                <w:noProof/>
                <w:sz w:val="18"/>
                <w:szCs w:val="16"/>
              </w:rPr>
              <w:t>There are strong synergies with national/regional programmes and activities, and they can be ensured by the Member States.</w:t>
            </w:r>
          </w:p>
          <w:p>
            <w:pPr>
              <w:numPr>
                <w:ilvl w:val="0"/>
                <w:numId w:val="27"/>
              </w:numPr>
              <w:spacing w:after="60"/>
              <w:ind w:left="357" w:hanging="357"/>
              <w:jc w:val="left"/>
              <w:rPr>
                <w:noProof/>
                <w:sz w:val="18"/>
                <w:szCs w:val="16"/>
              </w:rPr>
            </w:pPr>
            <w:r>
              <w:rPr>
                <w:noProof/>
                <w:sz w:val="18"/>
                <w:szCs w:val="16"/>
              </w:rPr>
              <w:t>Synergies with other European programmes or industrial strategies are limited.</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0"/>
              <w:jc w:val="left"/>
              <w:rPr>
                <w:noProof/>
                <w:sz w:val="18"/>
                <w:szCs w:val="18"/>
                <w:lang w:eastAsia="zh-CN"/>
              </w:rPr>
            </w:pPr>
            <w:r>
              <w:rPr>
                <w:noProof/>
                <w:sz w:val="18"/>
                <w:szCs w:val="18"/>
                <w:lang w:eastAsia="zh-CN"/>
              </w:rPr>
              <w:t>Securing leveraging effects</w:t>
            </w:r>
          </w:p>
          <w:p>
            <w:pPr>
              <w:spacing w:after="60"/>
              <w:jc w:val="left"/>
              <w:rPr>
                <w:noProof/>
                <w:sz w:val="18"/>
                <w:szCs w:val="18"/>
                <w:lang w:eastAsia="zh-CN"/>
              </w:rPr>
            </w:pPr>
            <w:r>
              <w:rPr>
                <w:noProof/>
                <w:sz w:val="18"/>
                <w:szCs w:val="18"/>
                <w:lang w:eastAsia="zh-CN"/>
              </w:rPr>
              <w:t>(</w:t>
            </w:r>
            <w:r>
              <w:rPr>
                <w:i/>
                <w:iCs/>
                <w:noProof/>
                <w:sz w:val="18"/>
                <w:szCs w:val="18"/>
                <w:lang w:eastAsia="zh-CN"/>
              </w:rPr>
              <w:t>additionality</w:t>
            </w:r>
            <w:r>
              <w:rPr>
                <w:noProof/>
                <w:sz w:val="18"/>
                <w:szCs w:val="18"/>
                <w:lang w:eastAsia="zh-CN"/>
              </w:rPr>
              <w:t>)</w:t>
            </w:r>
          </w:p>
        </w:tc>
        <w:tc>
          <w:tcPr>
            <w:tcW w:w="7643" w:type="dxa"/>
            <w:tcBorders>
              <w:left w:val="single" w:sz="18" w:space="0" w:color="FFFFFF"/>
              <w:right w:val="single" w:sz="18" w:space="0" w:color="FFFFFF"/>
            </w:tcBorders>
            <w:shd w:val="clear" w:color="auto" w:fill="DEEAF6" w:themeFill="accent1" w:themeFillTint="33"/>
          </w:tcPr>
          <w:p>
            <w:pPr>
              <w:numPr>
                <w:ilvl w:val="0"/>
                <w:numId w:val="27"/>
              </w:numPr>
              <w:spacing w:after="0"/>
              <w:ind w:left="357" w:hanging="357"/>
              <w:jc w:val="left"/>
              <w:rPr>
                <w:noProof/>
                <w:sz w:val="18"/>
                <w:szCs w:val="16"/>
              </w:rPr>
            </w:pPr>
            <w:r>
              <w:rPr>
                <w:noProof/>
                <w:sz w:val="18"/>
                <w:szCs w:val="16"/>
              </w:rPr>
              <w:t>Low possibilities for leverage of industry contribution as industry does not participate in the decision making.</w:t>
            </w:r>
          </w:p>
        </w:tc>
      </w:tr>
    </w:tbl>
    <w:p>
      <w:pPr>
        <w:spacing w:after="120" w:line="264" w:lineRule="auto"/>
        <w:jc w:val="left"/>
        <w:rPr>
          <w:noProof/>
          <w:sz w:val="22"/>
          <w:szCs w:val="24"/>
          <w:lang w:eastAsia="zh-CN"/>
        </w:rPr>
      </w:pPr>
    </w:p>
    <w:p>
      <w:pPr>
        <w:pStyle w:val="Heading3"/>
        <w:spacing w:before="240"/>
        <w:ind w:left="-142"/>
        <w:rPr>
          <w:noProof/>
        </w:rPr>
      </w:pPr>
      <w:bookmarkStart w:id="115" w:name="_Toc43298858"/>
      <w:bookmarkStart w:id="116" w:name="_Toc43908664"/>
      <w:r>
        <w:rPr>
          <w:noProof/>
        </w:rPr>
        <w:t>Option 3a – Institutionalised European Partnership under Art 185 TFEU</w:t>
      </w:r>
      <w:bookmarkEnd w:id="115"/>
      <w:bookmarkEnd w:id="116"/>
    </w:p>
    <w:p>
      <w:pPr>
        <w:spacing w:after="120"/>
        <w:rPr>
          <w:noProof/>
          <w:szCs w:val="24"/>
          <w:lang w:eastAsia="zh-CN"/>
        </w:rPr>
      </w:pPr>
      <w:r>
        <w:rPr>
          <w:noProof/>
          <w:szCs w:val="24"/>
          <w:lang w:eastAsia="zh-CN"/>
        </w:rPr>
        <w:t>Article 185 of the TFEU is a complex and high-effort arrangement and is based on a Decision by the European Parliament and Council and implemented by dedicated structures created for that purpose. It allows the Union to participate in programmes jointly undertaken by Member States and Associated Countries.</w:t>
      </w:r>
    </w:p>
    <w:p>
      <w:pPr>
        <w:spacing w:before="120" w:after="0"/>
        <w:jc w:val="left"/>
        <w:rPr>
          <w:b/>
          <w:i/>
          <w:noProof/>
          <w:sz w:val="22"/>
          <w:szCs w:val="22"/>
          <w:lang w:eastAsia="zh-CN"/>
        </w:rPr>
      </w:pPr>
    </w:p>
    <w:p>
      <w:pPr>
        <w:spacing w:before="120" w:after="0"/>
        <w:jc w:val="left"/>
        <w:rPr>
          <w:b/>
          <w:i/>
          <w:noProof/>
          <w:sz w:val="22"/>
          <w:szCs w:val="22"/>
          <w:lang w:eastAsia="zh-CN"/>
        </w:rPr>
      </w:pPr>
      <w:r>
        <w:rPr>
          <w:b/>
          <w:i/>
          <w:noProof/>
          <w:sz w:val="22"/>
          <w:szCs w:val="22"/>
          <w:lang w:eastAsia="zh-CN"/>
        </w:rPr>
        <w:t>Table 3: Key characteristics of Option 3: Institutionalised Partnership Art 185 TFEU</w:t>
      </w:r>
    </w:p>
    <w:tbl>
      <w:tblPr>
        <w:tblStyle w:val="Deloitte2"/>
        <w:tblpPr w:leftFromText="180" w:rightFromText="180" w:vertAnchor="text" w:tblpY="1"/>
        <w:tblOverlap w:val="never"/>
        <w:tblW w:w="9322"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785"/>
      </w:tblGrid>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p>
        </w:tc>
        <w:tc>
          <w:tcPr>
            <w:tcW w:w="7785"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after="60"/>
              <w:jc w:val="left"/>
              <w:rPr>
                <w:b/>
                <w:bCs/>
                <w:noProof/>
                <w:color w:val="000000" w:themeColor="text1"/>
                <w:sz w:val="18"/>
                <w:szCs w:val="18"/>
                <w:lang w:eastAsia="zh-CN"/>
              </w:rPr>
            </w:pPr>
            <w:r>
              <w:rPr>
                <w:b/>
                <w:bCs/>
                <w:noProof/>
                <w:color w:val="000000" w:themeColor="text1"/>
                <w:sz w:val="18"/>
                <w:szCs w:val="18"/>
                <w:lang w:eastAsia="zh-CN"/>
              </w:rPr>
              <w:t>Implications of option</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r>
              <w:rPr>
                <w:noProof/>
                <w:sz w:val="18"/>
                <w:szCs w:val="18"/>
                <w:lang w:eastAsia="zh-CN"/>
              </w:rPr>
              <w:t>Enabling appropriate profile of participation (</w:t>
            </w:r>
            <w:r>
              <w:rPr>
                <w:i/>
                <w:iCs/>
                <w:noProof/>
                <w:sz w:val="18"/>
                <w:szCs w:val="18"/>
                <w:lang w:eastAsia="zh-CN"/>
              </w:rPr>
              <w:t>actors involved</w:t>
            </w:r>
            <w:r>
              <w:rPr>
                <w:noProof/>
                <w:sz w:val="18"/>
                <w:szCs w:val="18"/>
                <w:lang w:eastAsia="zh-CN"/>
              </w:rPr>
              <w:t>)</w:t>
            </w:r>
          </w:p>
        </w:tc>
        <w:tc>
          <w:tcPr>
            <w:tcW w:w="7785"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27"/>
              </w:numPr>
              <w:spacing w:after="60"/>
              <w:ind w:left="357" w:hanging="357"/>
              <w:jc w:val="left"/>
              <w:rPr>
                <w:noProof/>
                <w:sz w:val="18"/>
                <w:szCs w:val="16"/>
                <w:lang w:val="en-US"/>
              </w:rPr>
            </w:pPr>
            <w:r>
              <w:rPr>
                <w:noProof/>
                <w:sz w:val="18"/>
                <w:szCs w:val="16"/>
                <w:lang w:val="en-US"/>
              </w:rPr>
              <w:t xml:space="preserve">Partners can include </w:t>
            </w:r>
            <w:r>
              <w:rPr>
                <w:i/>
                <w:noProof/>
                <w:sz w:val="18"/>
                <w:szCs w:val="16"/>
              </w:rPr>
              <w:t>Member States</w:t>
            </w:r>
            <w:r>
              <w:rPr>
                <w:noProof/>
                <w:sz w:val="18"/>
                <w:szCs w:val="16"/>
              </w:rPr>
              <w:t xml:space="preserve"> </w:t>
            </w:r>
            <w:r>
              <w:rPr>
                <w:i/>
                <w:iCs/>
                <w:noProof/>
                <w:sz w:val="18"/>
                <w:szCs w:val="16"/>
                <w:lang w:val="en-US"/>
              </w:rPr>
              <w:t>and Associated Countries</w:t>
            </w:r>
            <w:r>
              <w:rPr>
                <w:noProof/>
                <w:sz w:val="18"/>
                <w:szCs w:val="16"/>
                <w:lang w:val="en-US"/>
              </w:rPr>
              <w:t xml:space="preserve">. </w:t>
            </w:r>
          </w:p>
          <w:p>
            <w:pPr>
              <w:numPr>
                <w:ilvl w:val="0"/>
                <w:numId w:val="27"/>
              </w:numPr>
              <w:spacing w:after="60"/>
              <w:ind w:left="357" w:hanging="357"/>
              <w:jc w:val="left"/>
              <w:rPr>
                <w:noProof/>
                <w:sz w:val="18"/>
                <w:szCs w:val="16"/>
                <w:lang w:val="en-US"/>
              </w:rPr>
            </w:pPr>
            <w:r>
              <w:rPr>
                <w:noProof/>
                <w:sz w:val="18"/>
                <w:szCs w:val="16"/>
                <w:lang w:val="en-US"/>
              </w:rPr>
              <w:t>Non-associated third countries can only be included as partners if foreseen in the basic act and subjected to conclusion of dedicated international agreements.</w:t>
            </w:r>
          </w:p>
          <w:p>
            <w:pPr>
              <w:numPr>
                <w:ilvl w:val="0"/>
                <w:numId w:val="27"/>
              </w:numPr>
              <w:spacing w:after="60"/>
              <w:ind w:left="357" w:hanging="357"/>
              <w:jc w:val="left"/>
              <w:rPr>
                <w:noProof/>
                <w:sz w:val="18"/>
                <w:szCs w:val="16"/>
                <w:lang w:val="en-US"/>
              </w:rPr>
            </w:pPr>
            <w:r>
              <w:rPr>
                <w:noProof/>
                <w:sz w:val="18"/>
                <w:szCs w:val="16"/>
                <w:lang w:val="en-US"/>
              </w:rPr>
              <w:t xml:space="preserve">Good geographical coverage is required with participation of at least 40% of Member States </w:t>
            </w:r>
          </w:p>
          <w:p>
            <w:pPr>
              <w:numPr>
                <w:ilvl w:val="0"/>
                <w:numId w:val="27"/>
              </w:numPr>
              <w:spacing w:after="60"/>
              <w:ind w:left="357" w:hanging="357"/>
              <w:jc w:val="left"/>
              <w:rPr>
                <w:noProof/>
                <w:sz w:val="18"/>
                <w:szCs w:val="16"/>
                <w:lang w:val="en-US"/>
              </w:rPr>
            </w:pPr>
            <w:r>
              <w:rPr>
                <w:noProof/>
                <w:sz w:val="18"/>
                <w:szCs w:val="16"/>
                <w:lang w:val="en-US"/>
              </w:rPr>
              <w:t>The existence of substantial national R&amp;I programmes (competitive or institutional) in the field is required</w:t>
            </w:r>
          </w:p>
          <w:p>
            <w:pPr>
              <w:numPr>
                <w:ilvl w:val="0"/>
                <w:numId w:val="27"/>
              </w:numPr>
              <w:spacing w:after="60"/>
              <w:ind w:left="357" w:hanging="357"/>
              <w:jc w:val="left"/>
              <w:rPr>
                <w:noProof/>
                <w:sz w:val="18"/>
                <w:szCs w:val="16"/>
                <w:lang w:val="en-US"/>
              </w:rPr>
            </w:pPr>
            <w:r>
              <w:rPr>
                <w:noProof/>
                <w:sz w:val="18"/>
                <w:szCs w:val="16"/>
                <w:lang w:val="en-US"/>
              </w:rPr>
              <w:t xml:space="preserve">Substantial differences can be found between legal entities from Participating States and those from other Member or Associated States in the rules for participation and funding. </w:t>
            </w:r>
          </w:p>
        </w:tc>
      </w:tr>
      <w:tr>
        <w:trPr>
          <w:trHeight w:val="1321"/>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r>
              <w:rPr>
                <w:noProof/>
                <w:sz w:val="18"/>
                <w:szCs w:val="18"/>
                <w:lang w:eastAsia="zh-CN"/>
              </w:rPr>
              <w:t>Supporting implementation of R&amp;I agenda (</w:t>
            </w:r>
            <w:r>
              <w:rPr>
                <w:i/>
                <w:iCs/>
                <w:noProof/>
                <w:sz w:val="18"/>
                <w:szCs w:val="18"/>
                <w:lang w:eastAsia="zh-CN"/>
              </w:rPr>
              <w:t>activities)</w:t>
            </w:r>
          </w:p>
        </w:tc>
        <w:tc>
          <w:tcPr>
            <w:tcW w:w="7785"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27"/>
              </w:numPr>
              <w:spacing w:after="60"/>
              <w:ind w:left="357" w:hanging="357"/>
              <w:jc w:val="left"/>
              <w:rPr>
                <w:noProof/>
                <w:sz w:val="18"/>
                <w:szCs w:val="16"/>
                <w:lang w:val="en-US"/>
              </w:rPr>
            </w:pPr>
            <w:r>
              <w:rPr>
                <w:noProof/>
                <w:sz w:val="18"/>
                <w:szCs w:val="16"/>
                <w:lang w:val="en-US"/>
              </w:rPr>
              <w:t>Horizon Europe’s standard actions that allow a broad range of coordinated activities from R&amp;I to uptake apply.</w:t>
            </w:r>
          </w:p>
          <w:p>
            <w:pPr>
              <w:numPr>
                <w:ilvl w:val="0"/>
                <w:numId w:val="27"/>
              </w:numPr>
              <w:spacing w:after="60"/>
              <w:ind w:left="357" w:hanging="357"/>
              <w:jc w:val="left"/>
              <w:rPr>
                <w:noProof/>
                <w:sz w:val="18"/>
                <w:szCs w:val="16"/>
                <w:lang w:val="en-US"/>
              </w:rPr>
            </w:pPr>
            <w:r>
              <w:rPr>
                <w:noProof/>
                <w:sz w:val="18"/>
                <w:szCs w:val="16"/>
                <w:lang w:val="en-US"/>
              </w:rPr>
              <w:t>In case of implementation based on national rules (subject to derogation) the activities follow the national programmes and rules.</w:t>
            </w:r>
          </w:p>
          <w:p>
            <w:pPr>
              <w:numPr>
                <w:ilvl w:val="0"/>
                <w:numId w:val="27"/>
              </w:numPr>
              <w:spacing w:after="60"/>
              <w:ind w:left="357" w:hanging="357"/>
              <w:jc w:val="left"/>
              <w:rPr>
                <w:noProof/>
                <w:sz w:val="18"/>
                <w:szCs w:val="16"/>
              </w:rPr>
            </w:pPr>
            <w:r>
              <w:rPr>
                <w:noProof/>
                <w:sz w:val="18"/>
                <w:szCs w:val="16"/>
              </w:rPr>
              <w:t>The option allows the integration of national funding and Union funding into the joint funding of projects</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r>
              <w:rPr>
                <w:noProof/>
                <w:sz w:val="18"/>
                <w:szCs w:val="18"/>
                <w:lang w:eastAsia="zh-CN"/>
              </w:rPr>
              <w:t>Ensuring alignment with R&amp;I agenda</w:t>
            </w:r>
          </w:p>
          <w:p>
            <w:pPr>
              <w:spacing w:after="60"/>
              <w:jc w:val="left"/>
              <w:rPr>
                <w:noProof/>
                <w:sz w:val="18"/>
                <w:szCs w:val="18"/>
                <w:lang w:eastAsia="zh-CN"/>
              </w:rPr>
            </w:pPr>
            <w:r>
              <w:rPr>
                <w:noProof/>
                <w:sz w:val="18"/>
                <w:szCs w:val="18"/>
                <w:lang w:eastAsia="zh-CN"/>
              </w:rPr>
              <w:t>(</w:t>
            </w:r>
            <w:r>
              <w:rPr>
                <w:i/>
                <w:iCs/>
                <w:noProof/>
                <w:sz w:val="18"/>
                <w:szCs w:val="18"/>
                <w:lang w:eastAsia="zh-CN"/>
              </w:rPr>
              <w:t>directionality</w:t>
            </w:r>
            <w:r>
              <w:rPr>
                <w:noProof/>
                <w:sz w:val="18"/>
                <w:szCs w:val="18"/>
                <w:lang w:eastAsia="zh-CN"/>
              </w:rPr>
              <w:t>)</w:t>
            </w:r>
          </w:p>
        </w:tc>
        <w:tc>
          <w:tcPr>
            <w:tcW w:w="7785"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27"/>
              </w:numPr>
              <w:spacing w:after="60"/>
              <w:ind w:left="357" w:hanging="357"/>
              <w:jc w:val="left"/>
              <w:rPr>
                <w:noProof/>
                <w:sz w:val="18"/>
                <w:szCs w:val="16"/>
              </w:rPr>
            </w:pPr>
            <w:r>
              <w:rPr>
                <w:noProof/>
                <w:sz w:val="18"/>
                <w:szCs w:val="16"/>
              </w:rPr>
              <w:t>The strategic R&amp;I agenda/roadmap is agreed between partners and the EC</w:t>
            </w:r>
          </w:p>
          <w:p>
            <w:pPr>
              <w:numPr>
                <w:ilvl w:val="0"/>
                <w:numId w:val="27"/>
              </w:numPr>
              <w:spacing w:after="60"/>
              <w:ind w:left="357" w:hanging="357"/>
              <w:jc w:val="left"/>
              <w:rPr>
                <w:noProof/>
                <w:sz w:val="18"/>
                <w:szCs w:val="16"/>
              </w:rPr>
            </w:pPr>
            <w:r>
              <w:rPr>
                <w:noProof/>
                <w:sz w:val="18"/>
                <w:szCs w:val="16"/>
              </w:rPr>
              <w:t xml:space="preserve">The objectives and commitments are set in the legal base. </w:t>
            </w:r>
          </w:p>
          <w:p>
            <w:pPr>
              <w:numPr>
                <w:ilvl w:val="0"/>
                <w:numId w:val="27"/>
              </w:numPr>
              <w:spacing w:after="60"/>
              <w:ind w:left="357" w:hanging="357"/>
              <w:jc w:val="left"/>
              <w:rPr>
                <w:noProof/>
                <w:sz w:val="18"/>
                <w:szCs w:val="16"/>
              </w:rPr>
            </w:pPr>
            <w:r>
              <w:rPr>
                <w:noProof/>
                <w:sz w:val="18"/>
                <w:szCs w:val="16"/>
              </w:rPr>
              <w:t>The annual work programme is drafted by partners and approved by the EC</w:t>
            </w:r>
          </w:p>
          <w:p>
            <w:pPr>
              <w:numPr>
                <w:ilvl w:val="0"/>
                <w:numId w:val="27"/>
              </w:numPr>
              <w:spacing w:after="60"/>
              <w:ind w:left="357" w:hanging="357"/>
              <w:jc w:val="left"/>
              <w:rPr>
                <w:noProof/>
                <w:sz w:val="18"/>
                <w:szCs w:val="16"/>
              </w:rPr>
            </w:pPr>
            <w:r>
              <w:rPr>
                <w:noProof/>
                <w:sz w:val="18"/>
                <w:szCs w:val="16"/>
              </w:rPr>
              <w:t>The commitments include the obligation for financial contributions (e.g. to administrative costs, from national R&amp;I programmes).</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spacing w:before="20" w:after="20"/>
              <w:contextualSpacing/>
              <w:rPr>
                <w:noProof/>
                <w:sz w:val="18"/>
                <w:szCs w:val="18"/>
              </w:rPr>
            </w:pPr>
            <w:r>
              <w:rPr>
                <w:noProof/>
                <w:sz w:val="18"/>
                <w:szCs w:val="18"/>
              </w:rPr>
              <w:t>Securing leveraging effects</w:t>
            </w:r>
          </w:p>
          <w:p>
            <w:pPr>
              <w:spacing w:after="60"/>
              <w:jc w:val="left"/>
              <w:rPr>
                <w:noProof/>
                <w:sz w:val="18"/>
                <w:szCs w:val="18"/>
                <w:lang w:eastAsia="zh-CN"/>
              </w:rPr>
            </w:pPr>
            <w:r>
              <w:rPr>
                <w:noProof/>
                <w:sz w:val="18"/>
                <w:szCs w:val="18"/>
              </w:rPr>
              <w:t>(</w:t>
            </w:r>
            <w:r>
              <w:rPr>
                <w:i/>
                <w:noProof/>
                <w:sz w:val="18"/>
                <w:szCs w:val="18"/>
              </w:rPr>
              <w:t>additionality</w:t>
            </w:r>
            <w:r>
              <w:rPr>
                <w:noProof/>
                <w:sz w:val="18"/>
                <w:szCs w:val="18"/>
              </w:rPr>
              <w:t>)</w:t>
            </w:r>
          </w:p>
        </w:tc>
        <w:tc>
          <w:tcPr>
            <w:tcW w:w="7785"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27"/>
              </w:numPr>
              <w:spacing w:after="60"/>
              <w:ind w:left="357" w:hanging="357"/>
              <w:jc w:val="left"/>
              <w:rPr>
                <w:noProof/>
                <w:sz w:val="18"/>
                <w:szCs w:val="16"/>
              </w:rPr>
            </w:pPr>
            <w:r>
              <w:rPr>
                <w:noProof/>
                <w:sz w:val="18"/>
                <w:szCs w:val="16"/>
              </w:rPr>
              <w:t>National R&amp;I activities can be integrated into the programme, which can then be matched from the EU budget to increase scope and promote transnational cooperation.</w:t>
            </w:r>
          </w:p>
        </w:tc>
      </w:tr>
    </w:tbl>
    <w:p>
      <w:pPr>
        <w:spacing w:after="120" w:line="264" w:lineRule="auto"/>
        <w:rPr>
          <w:noProof/>
          <w:sz w:val="22"/>
          <w:szCs w:val="24"/>
          <w:lang w:eastAsia="zh-CN"/>
        </w:rPr>
      </w:pPr>
    </w:p>
    <w:p>
      <w:pPr>
        <w:rPr>
          <w:b/>
          <w:noProof/>
          <w:sz w:val="20"/>
        </w:rPr>
      </w:pPr>
    </w:p>
    <w:p>
      <w:pPr>
        <w:spacing w:after="120" w:line="264" w:lineRule="auto"/>
        <w:rPr>
          <w:noProof/>
          <w:sz w:val="22"/>
          <w:szCs w:val="24"/>
          <w:lang w:eastAsia="zh-CN"/>
        </w:rPr>
      </w:pPr>
    </w:p>
    <w:p>
      <w:pPr>
        <w:rPr>
          <w:noProof/>
          <w:sz w:val="22"/>
          <w:szCs w:val="24"/>
          <w:lang w:eastAsia="zh-CN"/>
        </w:rPr>
      </w:pPr>
    </w:p>
    <w:sectPr>
      <w:headerReference w:type="even" r:id="rId52"/>
      <w:headerReference w:type="default" r:id="rId53"/>
      <w:footerReference w:type="even" r:id="rId54"/>
      <w:footerReference w:type="default" r:id="rId55"/>
      <w:headerReference w:type="first" r:id="rId56"/>
      <w:footerReference w:type="first" r:id="rId57"/>
      <w:pgSz w:w="11906" w:h="16838"/>
      <w:pgMar w:top="1134" w:right="1418" w:bottom="1134" w:left="141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60979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rPr>
            <w:noProof/>
          </w:rPr>
        </w:pPr>
        <w:r>
          <w:fldChar w:fldCharType="begin"/>
        </w:r>
        <w:r>
          <w:instrText xml:space="preserve"> PAGE   \* MERGEFORMAT </w:instrText>
        </w:r>
        <w:r>
          <w:fldChar w:fldCharType="separate"/>
        </w:r>
        <w:r>
          <w:rPr>
            <w:noProof/>
          </w:rPr>
          <w:t>38</w:t>
        </w:r>
        <w:r>
          <w:rPr>
            <w:noProof/>
          </w:rPr>
          <w:fldChar w:fldCharType="end"/>
        </w:r>
      </w:p>
      <w:p>
        <w:pPr>
          <w:pStyle w:val="Footer"/>
          <w:spacing w:before="120"/>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rPr>
            <w:noProof/>
          </w:rPr>
        </w:pPr>
        <w:r>
          <w:fldChar w:fldCharType="begin"/>
        </w:r>
        <w:r>
          <w:instrText xml:space="preserve"> PAGE   \* MERGEFORMAT </w:instrText>
        </w:r>
        <w:r>
          <w:fldChar w:fldCharType="separate"/>
        </w:r>
        <w:r>
          <w:rPr>
            <w:noProof/>
          </w:rPr>
          <w:t>60</w:t>
        </w:r>
        <w:r>
          <w:rPr>
            <w:noProof/>
          </w:rPr>
          <w:fldChar w:fldCharType="end"/>
        </w:r>
      </w:p>
      <w:p>
        <w:pPr>
          <w:pStyle w:val="Footer"/>
          <w:spacing w:before="120"/>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12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3">
    <w:p>
      <w:pPr>
        <w:spacing w:after="0"/>
        <w:rPr>
          <w:sz w:val="18"/>
          <w:szCs w:val="24"/>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4">
    <w:p>
      <w:pPr>
        <w:pStyle w:val="FootnoteText"/>
        <w:ind w:left="0" w:firstLine="0"/>
        <w:rPr>
          <w:lang w:val="en-IE"/>
        </w:rPr>
      </w:pP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FootnoteText"/>
        <w:rPr>
          <w:lang w:val="en-US"/>
        </w:rPr>
      </w:pPr>
      <w:r>
        <w:rPr>
          <w:rStyle w:val="FootnoteReference"/>
        </w:rPr>
        <w:footnoteRef/>
      </w:r>
      <w:r>
        <w:t xml:space="preserve"> European Partnerships under Horizon Europe: results of the structured consultation of Member States (Report)</w:t>
      </w:r>
    </w:p>
  </w:footnote>
  <w:footnote w:id="6">
    <w:p>
      <w:pPr>
        <w:pStyle w:val="FootnoteText"/>
        <w:rPr>
          <w:lang w:val="en-US"/>
        </w:rPr>
      </w:pPr>
      <w:r>
        <w:rPr>
          <w:rStyle w:val="FootnoteReference"/>
        </w:rPr>
        <w:footnoteRef/>
      </w:r>
      <w:r>
        <w:t xml:space="preserve"> https://ec.europa.eu/info/law/better-regulation/initiatives/ares-2019-4972315_en </w:t>
      </w:r>
    </w:p>
  </w:footnote>
  <w:footnote w:id="7">
    <w:p>
      <w:pPr>
        <w:pStyle w:val="FootnoteText"/>
        <w:rPr>
          <w:lang w:val="en-US"/>
        </w:rPr>
      </w:pPr>
      <w:r>
        <w:rPr>
          <w:rStyle w:val="FootnoteReference"/>
        </w:rPr>
        <w:footnoteRef/>
      </w:r>
      <w:r>
        <w:rPr>
          <w:lang w:val="en-US"/>
        </w:rPr>
        <w:t xml:space="preserve"> https://ec.europa.eu/digital-single-market/en/news/boosting-electronics-value-chains-europe</w:t>
      </w:r>
    </w:p>
  </w:footnote>
  <w:footnote w:id="8">
    <w:p>
      <w:pPr>
        <w:pStyle w:val="FootnoteText"/>
        <w:rPr>
          <w:lang w:val="en-US"/>
        </w:rPr>
      </w:pPr>
      <w:r>
        <w:rPr>
          <w:rStyle w:val="FootnoteReference"/>
        </w:rPr>
        <w:footnoteRef/>
      </w:r>
      <w:r>
        <w:t xml:space="preserve"> https://efecs.eu/</w:t>
      </w:r>
    </w:p>
  </w:footnote>
  <w:footnote w:id="9">
    <w:p>
      <w:pPr>
        <w:pStyle w:val="FootnoteText"/>
        <w:rPr>
          <w:lang w:val="en-US"/>
        </w:rPr>
      </w:pPr>
      <w:r>
        <w:rPr>
          <w:rStyle w:val="FootnoteReference"/>
        </w:rPr>
        <w:footnoteRef/>
      </w:r>
      <w:r>
        <w:t xml:space="preserve"> European Partnerships under Horizon Europe: results of the structured consultation of Member States (Report)</w:t>
      </w:r>
    </w:p>
  </w:footnote>
  <w:footnote w:id="10">
    <w:p>
      <w:pPr>
        <w:pStyle w:val="FootnoteText"/>
        <w:rPr>
          <w:lang w:val="en-US"/>
        </w:rPr>
      </w:pPr>
      <w:r>
        <w:rPr>
          <w:rStyle w:val="FootnoteReference"/>
        </w:rPr>
        <w:footnoteRef/>
      </w:r>
      <w:r>
        <w:t xml:space="preserve"> PENTA is a EUREKA initiative launched in 2016 to replace CATRENE with the aim to catalyse research, development and innovation in the areas of micro and nanoelectronics enabled systems and applications where there is shared high national and industrial interest.</w:t>
      </w:r>
    </w:p>
  </w:footnote>
  <w:footnote w:id="11">
    <w:p>
      <w:pPr>
        <w:pStyle w:val="FootnoteText"/>
      </w:pPr>
      <w:r>
        <w:rPr>
          <w:rStyle w:val="FootnoteReference"/>
        </w:rPr>
        <w:footnoteRef/>
      </w:r>
      <w:r>
        <w:t xml:space="preserve"> </w:t>
      </w:r>
      <w:r>
        <w:rPr>
          <w:sz w:val="16"/>
          <w:szCs w:val="16"/>
          <w:lang w:val="en-IE"/>
        </w:rPr>
        <w:t>Commitment appropriations</w:t>
      </w:r>
    </w:p>
  </w:footnote>
  <w:footnote w:id="12">
    <w:p>
      <w:pPr>
        <w:pStyle w:val="FootnoteText"/>
        <w:rPr>
          <w:sz w:val="16"/>
          <w:szCs w:val="16"/>
          <w:lang w:val="en-IE"/>
        </w:rPr>
      </w:pPr>
      <w:r>
        <w:rPr>
          <w:rStyle w:val="FootnoteReference"/>
          <w:sz w:val="16"/>
          <w:szCs w:val="16"/>
        </w:rPr>
        <w:footnoteRef/>
      </w:r>
      <w:r>
        <w:rPr>
          <w:sz w:val="16"/>
          <w:szCs w:val="16"/>
        </w:rPr>
        <w:t xml:space="preserve"> </w:t>
      </w:r>
      <w:r>
        <w:rPr>
          <w:sz w:val="16"/>
          <w:szCs w:val="16"/>
          <w:lang w:val="en-IE"/>
        </w:rPr>
        <w:t>These are the costs of running the ECSEL JU according to the 2018 Annual Activity Report.</w:t>
      </w:r>
    </w:p>
  </w:footnote>
  <w:footnote w:id="13">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14">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5">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6">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7">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18">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19">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0">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1">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22">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23">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24">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25">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6">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7">
    <w:p>
      <w:pPr>
        <w:pStyle w:val="FootnoteText"/>
      </w:pPr>
      <w:r>
        <w:rPr>
          <w:rStyle w:val="FootnoteReference"/>
        </w:rPr>
        <w:footnoteRef/>
      </w:r>
      <w:r>
        <w:t xml:space="preserve"> The baseline (traditional calls) is scored 0, as explained above.</w:t>
      </w:r>
    </w:p>
  </w:footnote>
  <w:footnote w:id="28">
    <w:p>
      <w:pPr>
        <w:pStyle w:val="FootnoteText"/>
        <w:spacing w:after="0"/>
        <w:rPr>
          <w:lang w:val="en-IE"/>
        </w:rPr>
      </w:pPr>
      <w:r>
        <w:rPr>
          <w:rStyle w:val="FootnoteReference"/>
        </w:rPr>
        <w:footnoteRef/>
      </w:r>
      <w:r>
        <w:t xml:space="preserve"> </w:t>
      </w:r>
      <w:hyperlink r:id="rId3" w:history="1">
        <w:r>
          <w:rPr>
            <w:rStyle w:val="Hyperlink"/>
          </w:rPr>
          <w:t>https://eur-lex.europa.eu/legal-content/EN/TXT/HTML/?uri=CELEX:12008E003&amp;from=EN</w:t>
        </w:r>
      </w:hyperlink>
      <w:r>
        <w:t xml:space="preserve"> </w:t>
      </w:r>
    </w:p>
  </w:footnote>
  <w:footnote w:id="29">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https://eur-lex.europa.eu/legal-content/EN/TXT/HTML/?uri=CELEX:12008E004&amp;from=EN</w:t>
        </w:r>
      </w:hyperlink>
      <w:r>
        <w:t xml:space="preserve"> </w:t>
      </w:r>
    </w:p>
  </w:footnote>
  <w:footnote w:id="30">
    <w:p>
      <w:pPr>
        <w:pStyle w:val="FootnoteText"/>
        <w:spacing w:after="0"/>
        <w:rPr>
          <w:lang w:val="en-IE"/>
        </w:rPr>
      </w:pPr>
      <w:r>
        <w:rPr>
          <w:rStyle w:val="FootnoteReference"/>
        </w:rPr>
        <w:footnoteRef/>
      </w:r>
      <w:r>
        <w:t xml:space="preserve"> </w:t>
      </w:r>
      <w:hyperlink r:id="rId5" w:history="1">
        <w:r>
          <w:rPr>
            <w:rStyle w:val="Hyperlink"/>
          </w:rPr>
          <w:t>https://eur-lex.europa.eu/LexUriServ/LexUriServ.do?uri=CELEX:12008E006:EN:HTML</w:t>
        </w:r>
      </w:hyperlink>
      <w:r>
        <w:t xml:space="preserve"> </w:t>
      </w:r>
    </w:p>
  </w:footnote>
  <w:footnote w:id="31">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https://eur-lex.europa.eu/legal-content/EN/TXT/HTML/?uri=CELEX:12016E/PRO/02&amp;from=EN</w:t>
        </w:r>
      </w:hyperlink>
      <w:r>
        <w:t xml:space="preserve"> </w:t>
      </w:r>
    </w:p>
  </w:footnote>
  <w:footnote w:id="32">
    <w:p>
      <w:pPr>
        <w:pStyle w:val="FootnoteText"/>
        <w:spacing w:after="0"/>
        <w:rPr>
          <w:lang w:val="en-IE"/>
        </w:rPr>
      </w:pPr>
      <w:r>
        <w:rPr>
          <w:rStyle w:val="FootnoteReference"/>
        </w:rPr>
        <w:footnoteRef/>
      </w:r>
      <w:r>
        <w:t xml:space="preserve"> </w:t>
      </w:r>
      <w:hyperlink r:id="rId7" w:history="1">
        <w:r>
          <w:rPr>
            <w:rStyle w:val="Hyperlink"/>
          </w:rPr>
          <w:t>https://europa.eu/european-union/about-eu/eu-in-brief_en</w:t>
        </w:r>
      </w:hyperlink>
      <w:r>
        <w:t xml:space="preserve"> </w:t>
      </w:r>
    </w:p>
  </w:footnote>
  <w:footnote w:id="33">
    <w:p>
      <w:pPr>
        <w:pStyle w:val="FootnoteText"/>
        <w:ind w:left="0" w:firstLine="0"/>
        <w:rPr>
          <w:sz w:val="16"/>
          <w:szCs w:val="16"/>
        </w:rPr>
      </w:pPr>
      <w:r>
        <w:rPr>
          <w:rStyle w:val="FootnoteReference"/>
          <w:sz w:val="16"/>
          <w:szCs w:val="16"/>
        </w:rPr>
        <w:footnoteRef/>
      </w:r>
      <w:r>
        <w:rPr>
          <w:sz w:val="16"/>
          <w:szCs w:val="16"/>
        </w:rPr>
        <w:t xml:space="preserve"> The area of microelectronics was defined by a cloud of keywords suggested by the Expert Panel. The other technological areas included in the analysis were defined in a similar way.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0EA9D74"/>
    <w:styleLink w:val="NumLstTableBullet1"/>
    <w:lvl w:ilvl="0">
      <w:start w:val="1"/>
      <w:numFmt w:val="bullet"/>
      <w:lvlText w:val=""/>
      <w:lvlJc w:val="left"/>
      <w:pPr>
        <w:tabs>
          <w:tab w:val="num" w:pos="643"/>
        </w:tabs>
        <w:ind w:left="643" w:hanging="360"/>
      </w:pPr>
      <w:rPr>
        <w:rFonts w:ascii="Symbol" w:hAnsi="Symbol" w:hint="default"/>
      </w:r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900F7"/>
    <w:multiLevelType w:val="multilevel"/>
    <w:tmpl w:val="B1DCF5CE"/>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B8C1DE2"/>
    <w:multiLevelType w:val="hybridMultilevel"/>
    <w:tmpl w:val="300470E6"/>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CD3288E"/>
    <w:multiLevelType w:val="hybridMultilevel"/>
    <w:tmpl w:val="5FFCCAD4"/>
    <w:lvl w:ilvl="0" w:tplc="AE04756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35CA1"/>
    <w:multiLevelType w:val="hybridMultilevel"/>
    <w:tmpl w:val="785CCE9C"/>
    <w:lvl w:ilvl="0" w:tplc="97287B66">
      <w:start w:val="3"/>
      <w:numFmt w:val="bullet"/>
      <w:lvlText w:val="-"/>
      <w:lvlJc w:val="left"/>
      <w:pPr>
        <w:ind w:left="1584" w:hanging="360"/>
      </w:pPr>
      <w:rPr>
        <w:rFonts w:ascii="Calibri" w:eastAsia="Calibri" w:hAnsi="Calibri" w:cs="Calibri"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6">
    <w:nsid w:val="0EFB7115"/>
    <w:multiLevelType w:val="multilevel"/>
    <w:tmpl w:val="79762DDE"/>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1C86B02"/>
    <w:multiLevelType w:val="hybridMultilevel"/>
    <w:tmpl w:val="F2FE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0B7201"/>
    <w:multiLevelType w:val="multilevel"/>
    <w:tmpl w:val="C18A79A6"/>
    <w:name w:val="ListNumberNumbering"/>
    <w:styleLink w:val="NumbListMain5"/>
    <w:lvl w:ilvl="0">
      <w:start w:val="1"/>
      <w:numFmt w:val="decimal"/>
      <w:pStyle w:val="ListNumber"/>
      <w:lvlText w:val="(%1)"/>
      <w:lvlJc w:val="left"/>
      <w:pPr>
        <w:tabs>
          <w:tab w:val="num" w:pos="1986"/>
        </w:tabs>
        <w:ind w:left="1986" w:hanging="709"/>
      </w:pPr>
    </w:lvl>
    <w:lvl w:ilvl="1">
      <w:start w:val="1"/>
      <w:numFmt w:val="lowerLetter"/>
      <w:pStyle w:val="ListNumberLevel2"/>
      <w:lvlText w:val="(%2)"/>
      <w:lvlJc w:val="left"/>
      <w:pPr>
        <w:tabs>
          <w:tab w:val="num" w:pos="2694"/>
        </w:tabs>
        <w:ind w:left="2694" w:hanging="708"/>
      </w:pPr>
    </w:lvl>
    <w:lvl w:ilvl="2">
      <w:start w:val="1"/>
      <w:numFmt w:val="bullet"/>
      <w:pStyle w:val="ListNumberLevel3"/>
      <w:lvlText w:val="–"/>
      <w:lvlJc w:val="left"/>
      <w:pPr>
        <w:tabs>
          <w:tab w:val="num" w:pos="3403"/>
        </w:tabs>
        <w:ind w:left="3403" w:hanging="709"/>
      </w:pPr>
      <w:rPr>
        <w:rFonts w:ascii="Times New Roman" w:hAnsi="Times New Roman"/>
      </w:rPr>
    </w:lvl>
    <w:lvl w:ilvl="3">
      <w:start w:val="1"/>
      <w:numFmt w:val="bullet"/>
      <w:pStyle w:val="ListNumberLevel4"/>
      <w:lvlText w:val=""/>
      <w:lvlJc w:val="left"/>
      <w:pPr>
        <w:tabs>
          <w:tab w:val="num" w:pos="4112"/>
        </w:tabs>
        <w:ind w:left="41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262685D"/>
    <w:multiLevelType w:val="multilevel"/>
    <w:tmpl w:val="5F70E604"/>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2F271BE"/>
    <w:multiLevelType w:val="hybridMultilevel"/>
    <w:tmpl w:val="B3E0376C"/>
    <w:lvl w:ilvl="0" w:tplc="080C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1">
    <w:nsid w:val="143D0A16"/>
    <w:multiLevelType w:val="multilevel"/>
    <w:tmpl w:val="8AE4F7A0"/>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72F0AC5"/>
    <w:multiLevelType w:val="multilevel"/>
    <w:tmpl w:val="09847906"/>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7B531B0"/>
    <w:multiLevelType w:val="hybridMultilevel"/>
    <w:tmpl w:val="BEEE654C"/>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C7B624F"/>
    <w:multiLevelType w:val="multilevel"/>
    <w:tmpl w:val="8F8A385A"/>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nsid w:val="1E304D84"/>
    <w:multiLevelType w:val="hybridMultilevel"/>
    <w:tmpl w:val="F2ECDD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1382210"/>
    <w:multiLevelType w:val="multilevel"/>
    <w:tmpl w:val="E29E76B8"/>
    <w:lvl w:ilvl="0">
      <w:start w:val="1"/>
      <w:numFmt w:val="bullet"/>
      <w:lvlText w:val=""/>
      <w:lvlJc w:val="left"/>
      <w:pPr>
        <w:ind w:left="340" w:hanging="34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28E75651"/>
    <w:multiLevelType w:val="hybridMultilevel"/>
    <w:tmpl w:val="3E1C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C8DFDF8"/>
    <w:multiLevelType w:val="multilevel"/>
    <w:tmpl w:val="5B24E74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2D04299D"/>
    <w:multiLevelType w:val="hybridMultilevel"/>
    <w:tmpl w:val="021E871E"/>
    <w:lvl w:ilvl="0" w:tplc="97287B66">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293CE3"/>
    <w:multiLevelType w:val="multilevel"/>
    <w:tmpl w:val="B48010E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31A551CE"/>
    <w:multiLevelType w:val="hybridMultilevel"/>
    <w:tmpl w:val="2F06661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nsid w:val="35497A4F"/>
    <w:multiLevelType w:val="multilevel"/>
    <w:tmpl w:val="948E8768"/>
    <w:lvl w:ilvl="0">
      <w:start w:val="1"/>
      <w:numFmt w:val="bullet"/>
      <w:pStyle w:val="Bullet1"/>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6324F1E"/>
    <w:multiLevelType w:val="multilevel"/>
    <w:tmpl w:val="65F6FB42"/>
    <w:name w:val="ListDash3Numbering"/>
    <w:styleLink w:val="NumbListAppendix2"/>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378778BD"/>
    <w:multiLevelType w:val="multilevel"/>
    <w:tmpl w:val="D266108E"/>
    <w:styleLink w:val="NumLstTableNum1"/>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7CB1E1C"/>
    <w:multiLevelType w:val="multilevel"/>
    <w:tmpl w:val="B2F854F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37CF42F6"/>
    <w:multiLevelType w:val="hybridMultilevel"/>
    <w:tmpl w:val="29841AA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3A54717B"/>
    <w:multiLevelType w:val="multilevel"/>
    <w:tmpl w:val="52D4E8D4"/>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36">
    <w:nsid w:val="3A7730C4"/>
    <w:multiLevelType w:val="multilevel"/>
    <w:tmpl w:val="2B547950"/>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0886ED7"/>
    <w:multiLevelType w:val="hybridMultilevel"/>
    <w:tmpl w:val="E17E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29E662A"/>
    <w:multiLevelType w:val="multilevel"/>
    <w:tmpl w:val="6AA6F4CE"/>
    <w:name w:val="ListNumber1Numbering"/>
    <w:styleLink w:val="NumListBullet2"/>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1">
    <w:nsid w:val="42A20764"/>
    <w:multiLevelType w:val="multilevel"/>
    <w:tmpl w:val="76B0D264"/>
    <w:styleLink w:val="NumbListNumb1"/>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42">
    <w:nsid w:val="44744A82"/>
    <w:multiLevelType w:val="singleLevel"/>
    <w:tmpl w:val="B0EA9D74"/>
    <w:styleLink w:val="NumLstTableBullet"/>
    <w:lvl w:ilvl="0">
      <w:start w:val="1"/>
      <w:numFmt w:val="bullet"/>
      <w:lvlText w:val=""/>
      <w:lvlJc w:val="left"/>
      <w:pPr>
        <w:tabs>
          <w:tab w:val="num" w:pos="643"/>
        </w:tabs>
        <w:ind w:left="643" w:hanging="360"/>
      </w:pPr>
      <w:rPr>
        <w:rFonts w:ascii="Symbol" w:hAnsi="Symbol" w:hint="default"/>
      </w:rPr>
    </w:lvl>
  </w:abstractNum>
  <w:abstractNum w:abstractNumId="43">
    <w:nsid w:val="44B336C2"/>
    <w:multiLevelType w:val="hybridMultilevel"/>
    <w:tmpl w:val="69E012A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49AF027F"/>
    <w:multiLevelType w:val="multilevel"/>
    <w:tmpl w:val="ED58057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4B8B60A4"/>
    <w:multiLevelType w:val="hybridMultilevel"/>
    <w:tmpl w:val="5E0ED468"/>
    <w:styleLink w:val="NumbListNum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BF12E17"/>
    <w:multiLevelType w:val="hybridMultilevel"/>
    <w:tmpl w:val="B54CC6C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4C3A0799"/>
    <w:multiLevelType w:val="hybridMultilevel"/>
    <w:tmpl w:val="6E6EC9F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4E1A982C"/>
    <w:multiLevelType w:val="multilevel"/>
    <w:tmpl w:val="55D2C7BA"/>
    <w:name w:val="ListBulletNumbering"/>
    <w:lvl w:ilvl="0">
      <w:start w:val="1"/>
      <w:numFmt w:val="bullet"/>
      <w:lvlText w:val=""/>
      <w:lvlJc w:val="left"/>
      <w:pPr>
        <w:tabs>
          <w:tab w:val="num" w:pos="283"/>
        </w:tabs>
        <w:ind w:left="283" w:hanging="283"/>
      </w:pPr>
      <w:rPr>
        <w:rFonts w:ascii="Symbol" w:hAnsi="Symbol"/>
      </w:rPr>
    </w:lvl>
    <w:lvl w:ilvl="1">
      <w:start w:val="1"/>
      <w:numFmt w:val="bullet"/>
      <w:lvlText w:val="o"/>
      <w:lvlJc w:val="left"/>
      <w:pPr>
        <w:tabs>
          <w:tab w:val="num" w:pos="567"/>
        </w:tabs>
        <w:ind w:left="567" w:hanging="284"/>
      </w:pPr>
      <w:rPr>
        <w:rFonts w:ascii="Courier New" w:hAnsi="Courier New" w:cs="Courier New" w:hint="default"/>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1">
    <w:nsid w:val="4F1F0E7A"/>
    <w:multiLevelType w:val="multilevel"/>
    <w:tmpl w:val="E29E76B8"/>
    <w:styleLink w:val="NumbListNumb"/>
    <w:lvl w:ilvl="0">
      <w:start w:val="1"/>
      <w:numFmt w:val="bullet"/>
      <w:lvlText w:val=""/>
      <w:lvlJc w:val="left"/>
      <w:pPr>
        <w:ind w:left="340" w:hanging="34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2">
    <w:nsid w:val="5072619B"/>
    <w:multiLevelType w:val="multilevel"/>
    <w:tmpl w:val="AEE2A9EA"/>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lowerLetter"/>
      <w:lvlText w:val="%3)"/>
      <w:lvlJc w:val="left"/>
      <w:pPr>
        <w:tabs>
          <w:tab w:val="num" w:pos="850"/>
        </w:tabs>
        <w:ind w:left="850" w:hanging="283"/>
      </w:p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3">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562F132D"/>
    <w:multiLevelType w:val="multilevel"/>
    <w:tmpl w:val="52C00668"/>
    <w:styleLink w:val="Style3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nsid w:val="57B20288"/>
    <w:multiLevelType w:val="hybridMultilevel"/>
    <w:tmpl w:val="9F0406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57E243FB"/>
    <w:multiLevelType w:val="hybridMultilevel"/>
    <w:tmpl w:val="7D467440"/>
    <w:lvl w:ilvl="0" w:tplc="AE04756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599B4D02"/>
    <w:multiLevelType w:val="hybridMultilevel"/>
    <w:tmpl w:val="37703D7E"/>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nsid w:val="59E27215"/>
    <w:multiLevelType w:val="hybridMultilevel"/>
    <w:tmpl w:val="D8F6FA80"/>
    <w:lvl w:ilvl="0" w:tplc="0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2">
    <w:nsid w:val="5A233882"/>
    <w:multiLevelType w:val="multilevel"/>
    <w:tmpl w:val="491666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00605A9"/>
    <w:multiLevelType w:val="multilevel"/>
    <w:tmpl w:val="B5785C6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nsid w:val="61705564"/>
    <w:multiLevelType w:val="hybridMultilevel"/>
    <w:tmpl w:val="5AA0318E"/>
    <w:styleLink w:val="NumListBullet"/>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67">
    <w:nsid w:val="6977472E"/>
    <w:multiLevelType w:val="multilevel"/>
    <w:tmpl w:val="E3502100"/>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8">
    <w:nsid w:val="69D859CA"/>
    <w:multiLevelType w:val="multilevel"/>
    <w:tmpl w:val="DF044D26"/>
    <w:lvl w:ilvl="0">
      <w:start w:val="2"/>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9">
    <w:nsid w:val="6A24443A"/>
    <w:multiLevelType w:val="multilevel"/>
    <w:tmpl w:val="52D4E8D4"/>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70">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76310A5D"/>
    <w:multiLevelType w:val="hybridMultilevel"/>
    <w:tmpl w:val="33D6010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7CC2EAC"/>
    <w:multiLevelType w:val="multilevel"/>
    <w:tmpl w:val="52D4E8D4"/>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73">
    <w:nsid w:val="7A0A1FB1"/>
    <w:multiLevelType w:val="hybridMultilevel"/>
    <w:tmpl w:val="FA20567C"/>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nsid w:val="7AB24E67"/>
    <w:multiLevelType w:val="hybridMultilevel"/>
    <w:tmpl w:val="8D94E8C2"/>
    <w:lvl w:ilvl="0" w:tplc="64C2F356">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7B0B18DD"/>
    <w:multiLevelType w:val="multilevel"/>
    <w:tmpl w:val="2F3C90FC"/>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C65145E"/>
    <w:multiLevelType w:val="multilevel"/>
    <w:tmpl w:val="52D4E8D4"/>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7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27"/>
  </w:num>
  <w:num w:numId="2">
    <w:abstractNumId w:val="76"/>
  </w:num>
  <w:num w:numId="3">
    <w:abstractNumId w:val="36"/>
  </w:num>
  <w:num w:numId="4">
    <w:abstractNumId w:val="25"/>
  </w:num>
  <w:num w:numId="5">
    <w:abstractNumId w:val="11"/>
  </w:num>
  <w:num w:numId="6">
    <w:abstractNumId w:val="9"/>
  </w:num>
  <w:num w:numId="7">
    <w:abstractNumId w:val="8"/>
  </w:num>
  <w:num w:numId="8">
    <w:abstractNumId w:val="40"/>
  </w:num>
  <w:num w:numId="9">
    <w:abstractNumId w:val="14"/>
  </w:num>
  <w:num w:numId="10">
    <w:abstractNumId w:val="6"/>
  </w:num>
  <w:num w:numId="11">
    <w:abstractNumId w:val="67"/>
  </w:num>
  <w:num w:numId="12">
    <w:abstractNumId w:val="52"/>
  </w:num>
  <w:num w:numId="13">
    <w:abstractNumId w:val="32"/>
  </w:num>
  <w:num w:numId="14">
    <w:abstractNumId w:val="18"/>
  </w:num>
  <w:num w:numId="15">
    <w:abstractNumId w:val="30"/>
  </w:num>
  <w:num w:numId="16">
    <w:abstractNumId w:val="2"/>
  </w:num>
  <w:num w:numId="17">
    <w:abstractNumId w:val="21"/>
  </w:num>
  <w:num w:numId="18">
    <w:abstractNumId w:val="31"/>
    <w:lvlOverride w:ilvl="1">
      <w:lvl w:ilvl="1">
        <w:start w:val="1"/>
        <w:numFmt w:val="decimal"/>
        <w:lvlText w:val="%1.%2."/>
        <w:lvlJc w:val="left"/>
        <w:pPr>
          <w:tabs>
            <w:tab w:val="num" w:pos="1200"/>
          </w:tabs>
          <w:ind w:left="1200" w:hanging="720"/>
        </w:pPr>
      </w:lvl>
    </w:lvlOverride>
  </w:num>
  <w:num w:numId="19">
    <w:abstractNumId w:val="28"/>
  </w:num>
  <w:num w:numId="20">
    <w:abstractNumId w:val="16"/>
  </w:num>
  <w:num w:numId="21">
    <w:abstractNumId w:val="51"/>
  </w:num>
  <w:num w:numId="22">
    <w:abstractNumId w:val="29"/>
  </w:num>
  <w:num w:numId="23">
    <w:abstractNumId w:val="47"/>
  </w:num>
  <w:num w:numId="24">
    <w:abstractNumId w:val="42"/>
  </w:num>
  <w:num w:numId="25">
    <w:abstractNumId w:val="41"/>
  </w:num>
  <w:num w:numId="26">
    <w:abstractNumId w:val="64"/>
  </w:num>
  <w:num w:numId="27">
    <w:abstractNumId w:val="74"/>
  </w:num>
  <w:num w:numId="28">
    <w:abstractNumId w:val="24"/>
  </w:num>
  <w:num w:numId="29">
    <w:abstractNumId w:val="38"/>
  </w:num>
  <w:num w:numId="30">
    <w:abstractNumId w:val="66"/>
  </w:num>
  <w:num w:numId="31">
    <w:abstractNumId w:val="55"/>
  </w:num>
  <w:num w:numId="32">
    <w:abstractNumId w:val="22"/>
  </w:num>
  <w:num w:numId="33">
    <w:abstractNumId w:val="71"/>
  </w:num>
  <w:num w:numId="34">
    <w:abstractNumId w:val="0"/>
  </w:num>
  <w:num w:numId="35">
    <w:abstractNumId w:val="5"/>
  </w:num>
  <w:num w:numId="36">
    <w:abstractNumId w:val="56"/>
  </w:num>
  <w:num w:numId="37">
    <w:abstractNumId w:val="20"/>
  </w:num>
  <w:num w:numId="38">
    <w:abstractNumId w:val="26"/>
  </w:num>
  <w:num w:numId="39">
    <w:abstractNumId w:val="73"/>
  </w:num>
  <w:num w:numId="40">
    <w:abstractNumId w:val="48"/>
  </w:num>
  <w:num w:numId="41">
    <w:abstractNumId w:val="60"/>
  </w:num>
  <w:num w:numId="42">
    <w:abstractNumId w:val="3"/>
  </w:num>
  <w:num w:numId="43">
    <w:abstractNumId w:val="49"/>
  </w:num>
  <w:num w:numId="44">
    <w:abstractNumId w:val="33"/>
  </w:num>
  <w:num w:numId="45">
    <w:abstractNumId w:val="15"/>
  </w:num>
  <w:num w:numId="46">
    <w:abstractNumId w:val="46"/>
  </w:num>
  <w:num w:numId="47">
    <w:abstractNumId w:val="68"/>
  </w:num>
  <w:num w:numId="48">
    <w:abstractNumId w:val="62"/>
  </w:num>
  <w:num w:numId="49">
    <w:abstractNumId w:val="57"/>
  </w:num>
  <w:num w:numId="50">
    <w:abstractNumId w:val="63"/>
  </w:num>
  <w:num w:numId="51">
    <w:abstractNumId w:val="75"/>
  </w:num>
  <w:num w:numId="52">
    <w:abstractNumId w:val="31"/>
  </w:num>
  <w:num w:numId="53">
    <w:abstractNumId w:val="7"/>
  </w:num>
  <w:num w:numId="54">
    <w:abstractNumId w:val="4"/>
  </w:num>
  <w:num w:numId="55">
    <w:abstractNumId w:val="58"/>
  </w:num>
  <w:num w:numId="56">
    <w:abstractNumId w:val="59"/>
  </w:num>
  <w:num w:numId="57">
    <w:abstractNumId w:val="44"/>
  </w:num>
  <w:num w:numId="58">
    <w:abstractNumId w:val="61"/>
  </w:num>
  <w:num w:numId="59">
    <w:abstractNumId w:val="23"/>
  </w:num>
  <w:num w:numId="60">
    <w:abstractNumId w:val="17"/>
  </w:num>
  <w:num w:numId="61">
    <w:abstractNumId w:val="10"/>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num>
  <w:num w:numId="66">
    <w:abstractNumId w:val="34"/>
  </w:num>
  <w:num w:numId="67">
    <w:abstractNumId w:val="45"/>
  </w:num>
  <w:num w:numId="68">
    <w:abstractNumId w:val="65"/>
  </w:num>
  <w:num w:numId="69">
    <w:abstractNumId w:val="13"/>
  </w:num>
  <w:num w:numId="70">
    <w:abstractNumId w:val="37"/>
  </w:num>
  <w:num w:numId="71">
    <w:abstractNumId w:val="54"/>
  </w:num>
  <w:num w:numId="72">
    <w:abstractNumId w:val="19"/>
  </w:num>
  <w:num w:numId="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1"/>
  </w:num>
  <w:num w:numId="76">
    <w:abstractNumId w:val="35"/>
  </w:num>
  <w:num w:numId="77">
    <w:abstractNumId w:val="70"/>
  </w:num>
  <w:num w:numId="78">
    <w:abstractNumId w:val="12"/>
  </w:num>
  <w:num w:numId="79">
    <w:abstractNumId w:val="69"/>
  </w:num>
  <w:num w:numId="80">
    <w:abstractNumId w:val="53"/>
  </w:num>
  <w:num w:numId="81">
    <w:abstractNumId w:val="64"/>
    <w:lvlOverride w:ilvl="0">
      <w:lvl w:ilvl="0" w:tplc="08090001">
        <w:start w:val="1"/>
        <w:numFmt w:val="lowerLetter"/>
        <w:lvlText w:val="%1."/>
        <w:lvlJc w:val="left"/>
        <w:pPr>
          <w:ind w:left="360" w:hanging="360"/>
        </w:pPr>
        <w:rPr>
          <w:rFonts w:hint="default"/>
          <w:b/>
          <w:i w:val="0"/>
          <w:sz w:val="24"/>
        </w:rPr>
      </w:lvl>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n-IE" w:vendorID="64" w:dllVersion="131078" w:nlCheck="1" w:checkStyle="1"/>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096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AE1C7BE-973D-471B-A2FD-BCB65EF8645E"/>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Key Digital Technologies"/>
    <w:docVar w:name="LW_PART_NBR" w:val="7"/>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uiPriority="99"/>
    <w:lsdException w:name="footer" w:semiHidden="0" w:uiPriority="99"/>
    <w:lsdException w:name="caption" w:semiHidden="0"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Placeholder Text" w:uiPriority="99"/>
    <w:lsdException w:name="No Spacing" w:uiPriority="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33" w:qFormat="1"/>
    <w:lsdException w:name="Bibliography" w:uiPriority="37"/>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29"/>
    <w:qFormat/>
    <w:pPr>
      <w:keepNext/>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qFormat/>
    <w:pPr>
      <w:keepNext/>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outlineLvl w:val="7"/>
    </w:pPr>
  </w:style>
  <w:style w:type="paragraph" w:styleId="Heading9">
    <w:name w:val="heading 9"/>
    <w:basedOn w:val="Normal"/>
    <w:next w:val="Normal"/>
    <w:link w:val="Heading9Char"/>
    <w:uiPriority w:val="29"/>
    <w:qFormat/>
    <w:pPr>
      <w:keepNex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next w:val="Normal"/>
    <w:uiPriority w:val="99"/>
    <w:pPr>
      <w:tabs>
        <w:tab w:val="left" w:pos="5669"/>
      </w:tabs>
      <w:spacing w:before="480" w:after="0"/>
      <w:ind w:left="1984" w:hanging="1984"/>
      <w:jc w:val="left"/>
    </w:p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style>
  <w:style w:type="paragraph" w:customStyle="1" w:styleId="Enclosures">
    <w:name w:val="Enclosures"/>
    <w:basedOn w:val="Normal"/>
    <w:next w:val="Participants"/>
    <w:uiPriority w:val="99"/>
    <w:pPr>
      <w:keepNext/>
      <w:keepLines/>
      <w:tabs>
        <w:tab w:val="left" w:pos="5669"/>
      </w:tabs>
      <w:spacing w:before="480" w:after="0"/>
      <w:ind w:left="1984" w:hanging="1984"/>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next w:val="Normal"/>
    <w:uiPriority w:val="99"/>
    <w:pPr>
      <w:spacing w:after="480"/>
      <w:ind w:left="1531" w:hanging="1531"/>
    </w:pPr>
  </w:style>
  <w:style w:type="paragraph" w:customStyle="1" w:styleId="Subject">
    <w:name w:val="Subject"/>
    <w:basedOn w:val="Normal"/>
    <w:next w:val="Normal"/>
    <w:uiPriority w:val="99"/>
    <w:pPr>
      <w:spacing w:after="480"/>
      <w:ind w:left="1531" w:hanging="1531"/>
      <w:jc w:val="left"/>
    </w:pPr>
    <w:rPr>
      <w:b/>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next w:val="Subject"/>
    <w:pPr>
      <w:tabs>
        <w:tab w:val="left" w:pos="5822"/>
      </w:tabs>
      <w:spacing w:before="720" w:after="720"/>
      <w:ind w:left="5102" w:hanging="3118"/>
      <w:jc w:val="left"/>
    </w:pPr>
    <w:rPr>
      <w:b/>
      <w:smallCaps/>
    </w:rPr>
  </w:style>
  <w:style w:type="paragraph" w:customStyle="1" w:styleId="NoteHead">
    <w:name w:val="NoteHead"/>
    <w:basedOn w:val="Normal"/>
    <w:next w:val="Subject"/>
    <w:uiPriority w:val="99"/>
    <w:pPr>
      <w:spacing w:before="720" w:after="720"/>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1"/>
      </w:numPr>
    </w:pPr>
  </w:style>
  <w:style w:type="paragraph" w:customStyle="1" w:styleId="ListNumber4Level3">
    <w:name w:val="List Number 4 (Level 3)"/>
    <w:basedOn w:val="Text4"/>
    <w:semiHidden/>
    <w:unhideWhenUsed/>
    <w:pPr>
      <w:numPr>
        <w:ilvl w:val="2"/>
        <w:numId w:val="11"/>
      </w:numPr>
    </w:pPr>
  </w:style>
  <w:style w:type="paragraph" w:customStyle="1" w:styleId="ListNumber4Level2">
    <w:name w:val="List Number 4 (Level 2)"/>
    <w:basedOn w:val="Text4"/>
    <w:pPr>
      <w:numPr>
        <w:ilvl w:val="1"/>
        <w:numId w:val="11"/>
      </w:numPr>
    </w:pPr>
  </w:style>
  <w:style w:type="paragraph" w:styleId="ListNumber4">
    <w:name w:val="List Number 4"/>
    <w:basedOn w:val="Text4"/>
    <w:pPr>
      <w:numPr>
        <w:numId w:val="11"/>
      </w:numPr>
    </w:pPr>
  </w:style>
  <w:style w:type="paragraph" w:customStyle="1" w:styleId="ListNumber3Level4">
    <w:name w:val="List Number 3 (Level 4)"/>
    <w:basedOn w:val="Text3"/>
    <w:semiHidden/>
    <w:unhideWhenUsed/>
    <w:pPr>
      <w:numPr>
        <w:ilvl w:val="3"/>
        <w:numId w:val="10"/>
      </w:numPr>
    </w:pPr>
  </w:style>
  <w:style w:type="paragraph" w:customStyle="1" w:styleId="ListNumber3Level3">
    <w:name w:val="List Number 3 (Level 3)"/>
    <w:basedOn w:val="Text3"/>
    <w:semiHidden/>
    <w:unhideWhenUsed/>
    <w:pPr>
      <w:numPr>
        <w:ilvl w:val="2"/>
        <w:numId w:val="10"/>
      </w:numPr>
    </w:pPr>
  </w:style>
  <w:style w:type="paragraph" w:customStyle="1" w:styleId="ListNumber3Level2">
    <w:name w:val="List Number 3 (Level 2)"/>
    <w:basedOn w:val="Text3"/>
    <w:pPr>
      <w:numPr>
        <w:ilvl w:val="1"/>
        <w:numId w:val="10"/>
      </w:numPr>
    </w:pPr>
  </w:style>
  <w:style w:type="paragraph" w:styleId="ListNumber3">
    <w:name w:val="List Number 3"/>
    <w:basedOn w:val="Text3"/>
    <w:uiPriority w:val="20"/>
    <w:qFormat/>
    <w:pPr>
      <w:numPr>
        <w:numId w:val="10"/>
      </w:numPr>
    </w:pPr>
  </w:style>
  <w:style w:type="paragraph" w:customStyle="1" w:styleId="ListNumber2Level4">
    <w:name w:val="List Number 2 (Level 4)"/>
    <w:basedOn w:val="Text2"/>
    <w:semiHidden/>
    <w:unhideWhenUsed/>
    <w:pPr>
      <w:numPr>
        <w:ilvl w:val="3"/>
        <w:numId w:val="9"/>
      </w:numPr>
    </w:pPr>
  </w:style>
  <w:style w:type="paragraph" w:customStyle="1" w:styleId="ListNumber2Level3">
    <w:name w:val="List Number 2 (Level 3)"/>
    <w:basedOn w:val="Text2"/>
    <w:semiHidden/>
    <w:unhideWhenUsed/>
    <w:pPr>
      <w:numPr>
        <w:ilvl w:val="2"/>
        <w:numId w:val="9"/>
      </w:numPr>
    </w:pPr>
  </w:style>
  <w:style w:type="paragraph" w:customStyle="1" w:styleId="ListNumber2Level2">
    <w:name w:val="List Number 2 (Level 2)"/>
    <w:basedOn w:val="Text2"/>
    <w:pPr>
      <w:numPr>
        <w:ilvl w:val="1"/>
        <w:numId w:val="9"/>
      </w:numPr>
    </w:pPr>
  </w:style>
  <w:style w:type="paragraph" w:styleId="ListNumber2">
    <w:name w:val="List Number 2"/>
    <w:basedOn w:val="Text2"/>
    <w:uiPriority w:val="20"/>
    <w:qFormat/>
    <w:pPr>
      <w:numPr>
        <w:numId w:val="9"/>
      </w:numPr>
    </w:pPr>
  </w:style>
  <w:style w:type="paragraph" w:customStyle="1" w:styleId="ListNumber1Level4">
    <w:name w:val="List Number 1 (Level 4)"/>
    <w:basedOn w:val="Text1"/>
    <w:semiHidden/>
    <w:unhideWhenUsed/>
    <w:pPr>
      <w:numPr>
        <w:ilvl w:val="3"/>
        <w:numId w:val="8"/>
      </w:numPr>
    </w:pPr>
  </w:style>
  <w:style w:type="paragraph" w:customStyle="1" w:styleId="ListNumber1Level3">
    <w:name w:val="List Number 1 (Level 3)"/>
    <w:basedOn w:val="Text1"/>
    <w:semiHidden/>
    <w:unhideWhenUsed/>
    <w:pPr>
      <w:numPr>
        <w:ilvl w:val="2"/>
        <w:numId w:val="8"/>
      </w:numPr>
    </w:pPr>
  </w:style>
  <w:style w:type="paragraph" w:customStyle="1" w:styleId="ListNumber1Level2">
    <w:name w:val="List Number 1 (Level 2)"/>
    <w:basedOn w:val="Text1"/>
    <w:pPr>
      <w:numPr>
        <w:ilvl w:val="1"/>
        <w:numId w:val="8"/>
      </w:numPr>
    </w:pPr>
  </w:style>
  <w:style w:type="paragraph" w:customStyle="1" w:styleId="ListNumber1">
    <w:name w:val="List Number 1"/>
    <w:basedOn w:val="Text1"/>
    <w:pPr>
      <w:numPr>
        <w:numId w:val="8"/>
      </w:numPr>
    </w:pPr>
  </w:style>
  <w:style w:type="paragraph" w:customStyle="1" w:styleId="ListNumberLevel4">
    <w:name w:val="List Number (Level 4)"/>
    <w:basedOn w:val="Normal"/>
    <w:unhideWhenUsed/>
    <w:pPr>
      <w:numPr>
        <w:ilvl w:val="3"/>
        <w:numId w:val="7"/>
      </w:numPr>
    </w:pPr>
  </w:style>
  <w:style w:type="paragraph" w:customStyle="1" w:styleId="ListNumberLevel3">
    <w:name w:val="List Number (Level 3)"/>
    <w:basedOn w:val="Normal"/>
    <w:unhideWhenUsed/>
    <w:pPr>
      <w:numPr>
        <w:ilvl w:val="2"/>
        <w:numId w:val="7"/>
      </w:numPr>
    </w:pPr>
  </w:style>
  <w:style w:type="paragraph" w:customStyle="1" w:styleId="ListNumberLevel2">
    <w:name w:val="List Number (Level 2)"/>
    <w:basedOn w:val="Normal"/>
    <w:pPr>
      <w:numPr>
        <w:ilvl w:val="1"/>
        <w:numId w:val="7"/>
      </w:numPr>
    </w:pPr>
  </w:style>
  <w:style w:type="paragraph" w:styleId="ListNumber">
    <w:name w:val="List Number"/>
    <w:basedOn w:val="Normal"/>
    <w:qFormat/>
    <w:pPr>
      <w:numPr>
        <w:numId w:val="7"/>
      </w:numPr>
    </w:pPr>
  </w:style>
  <w:style w:type="paragraph" w:customStyle="1" w:styleId="ListDash4Level4">
    <w:name w:val="List Dash 4 (Level 4)"/>
    <w:basedOn w:val="Text4"/>
    <w:semiHidden/>
    <w:unhideWhenUsed/>
    <w:pPr>
      <w:numPr>
        <w:ilvl w:val="3"/>
        <w:numId w:val="16"/>
      </w:numPr>
    </w:pPr>
  </w:style>
  <w:style w:type="paragraph" w:customStyle="1" w:styleId="ListDash4Level3">
    <w:name w:val="List Dash 4 (Level 3)"/>
    <w:basedOn w:val="Text4"/>
    <w:semiHidden/>
    <w:unhideWhenUsed/>
    <w:pPr>
      <w:numPr>
        <w:ilvl w:val="2"/>
        <w:numId w:val="16"/>
      </w:numPr>
    </w:pPr>
  </w:style>
  <w:style w:type="paragraph" w:customStyle="1" w:styleId="ListDash4Level2">
    <w:name w:val="List Dash 4 (Level 2)"/>
    <w:basedOn w:val="Text4"/>
    <w:pPr>
      <w:numPr>
        <w:ilvl w:val="1"/>
        <w:numId w:val="16"/>
      </w:numPr>
    </w:pPr>
  </w:style>
  <w:style w:type="paragraph" w:customStyle="1" w:styleId="ListDash4">
    <w:name w:val="List Dash 4"/>
    <w:basedOn w:val="Text4"/>
    <w:pPr>
      <w:numPr>
        <w:numId w:val="16"/>
      </w:numPr>
    </w:pPr>
  </w:style>
  <w:style w:type="paragraph" w:customStyle="1" w:styleId="ListDash3Level4">
    <w:name w:val="List Dash 3 (Level 4)"/>
    <w:basedOn w:val="Text3"/>
    <w:semiHidden/>
    <w:unhideWhenUsed/>
    <w:pPr>
      <w:numPr>
        <w:ilvl w:val="3"/>
        <w:numId w:val="15"/>
      </w:numPr>
    </w:pPr>
  </w:style>
  <w:style w:type="paragraph" w:customStyle="1" w:styleId="ListDash3Level3">
    <w:name w:val="List Dash 3 (Level 3)"/>
    <w:basedOn w:val="Text3"/>
    <w:semiHidden/>
    <w:unhideWhenUsed/>
    <w:pPr>
      <w:numPr>
        <w:ilvl w:val="2"/>
        <w:numId w:val="15"/>
      </w:numPr>
    </w:pPr>
  </w:style>
  <w:style w:type="paragraph" w:customStyle="1" w:styleId="ListDash3Level2">
    <w:name w:val="List Dash 3 (Level 2)"/>
    <w:basedOn w:val="Text3"/>
    <w:pPr>
      <w:numPr>
        <w:ilvl w:val="1"/>
        <w:numId w:val="15"/>
      </w:numPr>
    </w:pPr>
  </w:style>
  <w:style w:type="paragraph" w:customStyle="1" w:styleId="ListDash3">
    <w:name w:val="List Dash 3"/>
    <w:basedOn w:val="Text3"/>
    <w:pPr>
      <w:numPr>
        <w:numId w:val="15"/>
      </w:numPr>
    </w:pPr>
  </w:style>
  <w:style w:type="paragraph" w:customStyle="1" w:styleId="ListDash2Level4">
    <w:name w:val="List Dash 2 (Level 4)"/>
    <w:basedOn w:val="Text2"/>
    <w:semiHidden/>
    <w:unhideWhenUsed/>
    <w:pPr>
      <w:numPr>
        <w:ilvl w:val="3"/>
        <w:numId w:val="14"/>
      </w:numPr>
    </w:pPr>
  </w:style>
  <w:style w:type="paragraph" w:customStyle="1" w:styleId="ListDash2Level3">
    <w:name w:val="List Dash 2 (Level 3)"/>
    <w:basedOn w:val="Text2"/>
    <w:semiHidden/>
    <w:unhideWhenUsed/>
    <w:pPr>
      <w:numPr>
        <w:ilvl w:val="2"/>
        <w:numId w:val="14"/>
      </w:numPr>
    </w:pPr>
  </w:style>
  <w:style w:type="paragraph" w:customStyle="1" w:styleId="ListDash2Level2">
    <w:name w:val="List Dash 2 (Level 2)"/>
    <w:basedOn w:val="Text2"/>
    <w:pPr>
      <w:numPr>
        <w:ilvl w:val="1"/>
        <w:numId w:val="14"/>
      </w:numPr>
    </w:pPr>
  </w:style>
  <w:style w:type="paragraph" w:customStyle="1" w:styleId="ListDash2">
    <w:name w:val="List Dash 2"/>
    <w:basedOn w:val="Text2"/>
    <w:pPr>
      <w:numPr>
        <w:numId w:val="14"/>
      </w:numPr>
    </w:pPr>
  </w:style>
  <w:style w:type="paragraph" w:customStyle="1" w:styleId="ListDash1Level4">
    <w:name w:val="List Dash 1 (Level 4)"/>
    <w:basedOn w:val="Text1"/>
    <w:semiHidden/>
    <w:unhideWhenUsed/>
    <w:pPr>
      <w:numPr>
        <w:ilvl w:val="3"/>
        <w:numId w:val="13"/>
      </w:numPr>
    </w:pPr>
  </w:style>
  <w:style w:type="paragraph" w:customStyle="1" w:styleId="ListDash1Level3">
    <w:name w:val="List Dash 1 (Level 3)"/>
    <w:basedOn w:val="Text1"/>
    <w:semiHidden/>
    <w:unhideWhenUsed/>
    <w:pPr>
      <w:numPr>
        <w:ilvl w:val="2"/>
        <w:numId w:val="13"/>
      </w:numPr>
    </w:pPr>
  </w:style>
  <w:style w:type="paragraph" w:customStyle="1" w:styleId="ListDash1Level2">
    <w:name w:val="List Dash 1 (Level 2)"/>
    <w:basedOn w:val="Text1"/>
    <w:pPr>
      <w:numPr>
        <w:ilvl w:val="1"/>
        <w:numId w:val="13"/>
      </w:numPr>
    </w:pPr>
  </w:style>
  <w:style w:type="paragraph" w:customStyle="1" w:styleId="ListDash1">
    <w:name w:val="List Dash 1"/>
    <w:basedOn w:val="Text1"/>
    <w:pPr>
      <w:numPr>
        <w:numId w:val="13"/>
      </w:numPr>
    </w:pPr>
  </w:style>
  <w:style w:type="paragraph" w:customStyle="1" w:styleId="ListDashLevel4">
    <w:name w:val="List Dash (Level 4)"/>
    <w:basedOn w:val="Normal"/>
    <w:unhideWhenUsed/>
    <w:pPr>
      <w:numPr>
        <w:ilvl w:val="3"/>
        <w:numId w:val="12"/>
      </w:numPr>
    </w:pPr>
  </w:style>
  <w:style w:type="paragraph" w:customStyle="1" w:styleId="ListDashLevel3">
    <w:name w:val="List Dash (Level 3)"/>
    <w:basedOn w:val="Normal"/>
    <w:unhideWhenUsed/>
  </w:style>
  <w:style w:type="paragraph" w:customStyle="1" w:styleId="ListDashLevel2">
    <w:name w:val="List Dash (Level 2)"/>
    <w:basedOn w:val="Normal"/>
    <w:pPr>
      <w:numPr>
        <w:ilvl w:val="1"/>
        <w:numId w:val="12"/>
      </w:numPr>
    </w:pPr>
  </w:style>
  <w:style w:type="paragraph" w:customStyle="1" w:styleId="ListDash">
    <w:name w:val="List Dash"/>
    <w:basedOn w:val="Normal"/>
    <w:qFormat/>
    <w:pPr>
      <w:numPr>
        <w:numId w:val="12"/>
      </w:numPr>
    </w:pPr>
  </w:style>
  <w:style w:type="paragraph" w:customStyle="1" w:styleId="ListBullet4Level4">
    <w:name w:val="List Bullet 4 (Level 4)"/>
    <w:basedOn w:val="Text4"/>
    <w:semiHidden/>
    <w:unhideWhenUsed/>
    <w:pPr>
      <w:numPr>
        <w:ilvl w:val="3"/>
        <w:numId w:val="6"/>
      </w:numPr>
    </w:pPr>
  </w:style>
  <w:style w:type="paragraph" w:customStyle="1" w:styleId="ListBullet4Level3">
    <w:name w:val="List Bullet 4 (Level 3)"/>
    <w:basedOn w:val="Text4"/>
    <w:semiHidden/>
    <w:unhideWhenUsed/>
    <w:pPr>
      <w:numPr>
        <w:ilvl w:val="2"/>
        <w:numId w:val="6"/>
      </w:numPr>
    </w:pPr>
  </w:style>
  <w:style w:type="paragraph" w:customStyle="1" w:styleId="ListBullet4Level2">
    <w:name w:val="List Bullet 4 (Level 2)"/>
    <w:basedOn w:val="Text4"/>
    <w:pPr>
      <w:numPr>
        <w:ilvl w:val="1"/>
        <w:numId w:val="6"/>
      </w:numPr>
    </w:pPr>
  </w:style>
  <w:style w:type="paragraph" w:styleId="ListBullet4">
    <w:name w:val="List Bullet 4"/>
    <w:basedOn w:val="Text4"/>
    <w:pPr>
      <w:numPr>
        <w:numId w:val="6"/>
      </w:numPr>
    </w:pPr>
  </w:style>
  <w:style w:type="paragraph" w:customStyle="1" w:styleId="ListBullet3Level4">
    <w:name w:val="List Bullet 3 (Level 4)"/>
    <w:basedOn w:val="Text3"/>
    <w:semiHidden/>
    <w:unhideWhenUsed/>
    <w:pPr>
      <w:numPr>
        <w:ilvl w:val="3"/>
        <w:numId w:val="5"/>
      </w:numPr>
    </w:pPr>
  </w:style>
  <w:style w:type="paragraph" w:customStyle="1" w:styleId="ListBullet3Level3">
    <w:name w:val="List Bullet 3 (Level 3)"/>
    <w:basedOn w:val="Text3"/>
    <w:semiHidden/>
    <w:unhideWhenUsed/>
    <w:pPr>
      <w:numPr>
        <w:ilvl w:val="2"/>
        <w:numId w:val="5"/>
      </w:numPr>
    </w:pPr>
  </w:style>
  <w:style w:type="paragraph" w:customStyle="1" w:styleId="ListBullet3Level2">
    <w:name w:val="List Bullet 3 (Level 2)"/>
    <w:basedOn w:val="Text3"/>
    <w:pPr>
      <w:numPr>
        <w:ilvl w:val="1"/>
        <w:numId w:val="5"/>
      </w:numPr>
    </w:pPr>
  </w:style>
  <w:style w:type="paragraph" w:styleId="ListBullet3">
    <w:name w:val="List Bullet 3"/>
    <w:basedOn w:val="Text3"/>
    <w:pPr>
      <w:numPr>
        <w:numId w:val="5"/>
      </w:numPr>
    </w:pPr>
  </w:style>
  <w:style w:type="paragraph" w:customStyle="1" w:styleId="ListBullet2Level4">
    <w:name w:val="List Bullet 2 (Level 4)"/>
    <w:basedOn w:val="Text2"/>
    <w:unhideWhenUsed/>
    <w:pPr>
      <w:numPr>
        <w:ilvl w:val="3"/>
        <w:numId w:val="4"/>
      </w:numPr>
    </w:pPr>
  </w:style>
  <w:style w:type="paragraph" w:customStyle="1" w:styleId="ListBullet2Level3">
    <w:name w:val="List Bullet 2 (Level 3)"/>
    <w:basedOn w:val="Text2"/>
    <w:unhideWhenUsed/>
    <w:pPr>
      <w:numPr>
        <w:ilvl w:val="2"/>
        <w:numId w:val="4"/>
      </w:numPr>
    </w:pPr>
  </w:style>
  <w:style w:type="paragraph" w:customStyle="1" w:styleId="ListBullet2Level2">
    <w:name w:val="List Bullet 2 (Level 2)"/>
    <w:basedOn w:val="Text2"/>
    <w:pPr>
      <w:numPr>
        <w:ilvl w:val="1"/>
        <w:numId w:val="4"/>
      </w:numPr>
    </w:pPr>
  </w:style>
  <w:style w:type="paragraph" w:styleId="ListBullet2">
    <w:name w:val="List Bullet 2"/>
    <w:basedOn w:val="Text2"/>
    <w:pPr>
      <w:numPr>
        <w:numId w:val="4"/>
      </w:numPr>
    </w:pPr>
  </w:style>
  <w:style w:type="paragraph" w:customStyle="1" w:styleId="ListBullet1Level4">
    <w:name w:val="List Bullet 1 (Level 4)"/>
    <w:basedOn w:val="Text1"/>
    <w:semiHidden/>
    <w:unhideWhenUsed/>
    <w:pPr>
      <w:numPr>
        <w:ilvl w:val="3"/>
        <w:numId w:val="3"/>
      </w:numPr>
    </w:pPr>
  </w:style>
  <w:style w:type="paragraph" w:customStyle="1" w:styleId="ListBullet1Level3">
    <w:name w:val="List Bullet 1 (Level 3)"/>
    <w:basedOn w:val="Text1"/>
    <w:semiHidden/>
    <w:unhideWhenUsed/>
    <w:pPr>
      <w:numPr>
        <w:ilvl w:val="2"/>
        <w:numId w:val="3"/>
      </w:numPr>
    </w:pPr>
  </w:style>
  <w:style w:type="paragraph" w:customStyle="1" w:styleId="ListBullet1Level2">
    <w:name w:val="List Bullet 1 (Level 2)"/>
    <w:basedOn w:val="Text1"/>
    <w:pPr>
      <w:numPr>
        <w:ilvl w:val="1"/>
        <w:numId w:val="3"/>
      </w:numPr>
    </w:pPr>
  </w:style>
  <w:style w:type="paragraph" w:customStyle="1" w:styleId="ListBullet1">
    <w:name w:val="List Bullet 1"/>
    <w:basedOn w:val="Text1"/>
    <w:pPr>
      <w:numPr>
        <w:numId w:val="3"/>
      </w:numPr>
    </w:pPr>
  </w:style>
  <w:style w:type="paragraph" w:customStyle="1" w:styleId="ListBulletLevel4">
    <w:name w:val="List Bullet (Level 4)"/>
    <w:basedOn w:val="Text1"/>
    <w:unhideWhenUsed/>
    <w:pPr>
      <w:ind w:left="0"/>
    </w:pPr>
  </w:style>
  <w:style w:type="paragraph" w:customStyle="1" w:styleId="ListBulletLevel3">
    <w:name w:val="List Bullet (Level 3)"/>
    <w:basedOn w:val="Text1"/>
    <w:unhideWhenUsed/>
    <w:pPr>
      <w:ind w:left="0"/>
    </w:pPr>
  </w:style>
  <w:style w:type="paragraph" w:customStyle="1" w:styleId="ListBulletLevel2">
    <w:name w:val="List Bullet (Level 2)"/>
    <w:basedOn w:val="Text1"/>
    <w:pPr>
      <w:ind w:left="0"/>
    </w:pPr>
  </w:style>
  <w:style w:type="paragraph" w:styleId="ListBullet">
    <w:name w:val="List Bullet"/>
    <w:basedOn w:val="Normal"/>
    <w:qFormat/>
  </w:style>
  <w:style w:type="paragraph" w:styleId="TOC9">
    <w:name w:val="toc 9"/>
    <w:basedOn w:val="Normal"/>
    <w:next w:val="Normal"/>
    <w:pPr>
      <w:tabs>
        <w:tab w:val="right" w:leader="dot" w:pos="8640"/>
      </w:tabs>
    </w:pPr>
  </w:style>
  <w:style w:type="paragraph" w:styleId="TOC8">
    <w:name w:val="toc 8"/>
    <w:basedOn w:val="Normal"/>
    <w:next w:val="Normal"/>
    <w:pPr>
      <w:tabs>
        <w:tab w:val="right" w:leader="dot" w:pos="8640"/>
      </w:tabs>
    </w:pPr>
  </w:style>
  <w:style w:type="paragraph" w:styleId="TOC7">
    <w:name w:val="toc 7"/>
    <w:basedOn w:val="Normal"/>
    <w:next w:val="Normal"/>
    <w:pPr>
      <w:tabs>
        <w:tab w:val="right" w:leader="dot" w:pos="8640"/>
      </w:tabs>
    </w:pPr>
  </w:style>
  <w:style w:type="paragraph" w:styleId="TOC6">
    <w:name w:val="toc 6"/>
    <w:basedOn w:val="Normal"/>
    <w:next w:val="Normal"/>
    <w:pPr>
      <w:tabs>
        <w:tab w:val="right" w:leader="dot" w:pos="8640"/>
        <w:tab w:val="left" w:pos="2880"/>
      </w:tabs>
      <w:spacing w:before="120" w:after="120"/>
      <w:ind w:left="1916" w:right="720" w:hanging="1916"/>
    </w:pPr>
    <w:rPr>
      <w:caps/>
    </w:rPr>
  </w:style>
  <w:style w:type="paragraph" w:styleId="TOC5">
    <w:name w:val="toc 5"/>
    <w:basedOn w:val="Normal"/>
    <w:next w:val="Normal"/>
    <w:pPr>
      <w:tabs>
        <w:tab w:val="right" w:leader="dot" w:pos="8640"/>
      </w:tabs>
      <w:spacing w:before="240" w:after="120"/>
      <w:ind w:right="720"/>
    </w:pPr>
    <w:rPr>
      <w:caps/>
    </w:rPr>
  </w:style>
  <w:style w:type="paragraph" w:styleId="TOC4">
    <w:name w:val="toc 4"/>
    <w:basedOn w:val="Normal"/>
    <w:next w:val="Normal"/>
    <w:uiPriority w:val="9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spacing w:after="480"/>
      <w:outlineLvl w:val="0"/>
    </w:pPr>
    <w:rPr>
      <w:b/>
      <w:sz w:val="32"/>
    </w:rPr>
  </w:style>
  <w:style w:type="paragraph" w:styleId="Title">
    <w:name w:val="Title"/>
    <w:basedOn w:val="Normal"/>
    <w:next w:val="Normal"/>
    <w:link w:val="TitleChar"/>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character" w:customStyle="1" w:styleId="FooterChar">
    <w:name w:val="Footer Char"/>
    <w:basedOn w:val="DefaultParagraphFont"/>
    <w:link w:val="Footer"/>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90"/>
  </w:style>
  <w:style w:type="table" w:styleId="TableGrid">
    <w:name w:val="Table Grid"/>
    <w:aliases w:val="Document Table,CV1,Check(v),Deloitte"/>
    <w:basedOn w:val="TableNormal"/>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val="fr-BE"/>
    </w:rPr>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0"/>
      </w:numPr>
    </w:pPr>
  </w:style>
  <w:style w:type="numbering" w:customStyle="1" w:styleId="NumbListNumb">
    <w:name w:val="NumbListNumb"/>
    <w:uiPriority w:val="99"/>
    <w:pPr>
      <w:numPr>
        <w:numId w:val="21"/>
      </w:numPr>
    </w:pPr>
  </w:style>
  <w:style w:type="paragraph" w:customStyle="1" w:styleId="Bullet1">
    <w:name w:val="Bullet 1"/>
    <w:basedOn w:val="Normal"/>
    <w:link w:val="Bullet1Char"/>
    <w:uiPriority w:val="19"/>
    <w:qFormat/>
    <w:pPr>
      <w:numPr>
        <w:numId w:val="22"/>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styleId="BodyText">
    <w:name w:val="Body Text"/>
    <w:basedOn w:val="Normal"/>
    <w:link w:val="BodyTextChar"/>
    <w:qFormat/>
    <w:locked/>
    <w:pPr>
      <w:spacing w:after="120" w:line="259" w:lineRule="auto"/>
    </w:pPr>
    <w:rPr>
      <w:rFonts w:ascii="Georgia" w:hAnsi="Georgia"/>
      <w:sz w:val="20"/>
      <w:szCs w:val="22"/>
      <w:lang w:val="fr-BE" w:eastAsia="en-US"/>
    </w:rPr>
  </w:style>
  <w:style w:type="character" w:customStyle="1" w:styleId="BodyTextChar">
    <w:name w:val="Body Text Char"/>
    <w:basedOn w:val="DefaultParagraphFont"/>
    <w:link w:val="BodyText"/>
    <w:rPr>
      <w:rFonts w:ascii="Georgia" w:hAnsi="Georgia"/>
      <w:sz w:val="20"/>
      <w:szCs w:val="22"/>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20"/>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tabs>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20"/>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val="fr-BE" w:eastAsia="en-US"/>
    </w:rPr>
  </w:style>
  <w:style w:type="paragraph" w:styleId="Revision">
    <w:name w:val="Revision"/>
    <w:hidden/>
    <w:semiHidden/>
    <w:locked/>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20" w:line="240" w:lineRule="exact"/>
    </w:pPr>
    <w:rPr>
      <w:vertAlign w:val="superscript"/>
    </w:rPr>
  </w:style>
  <w:style w:type="numbering" w:customStyle="1" w:styleId="NoList1">
    <w:name w:val="No List1"/>
    <w:next w:val="NoList"/>
    <w:uiPriority w:val="99"/>
    <w:semiHidden/>
    <w:unhideWhenUsed/>
  </w:style>
  <w:style w:type="paragraph" w:customStyle="1" w:styleId="FigureSource">
    <w:name w:val="Figure Source"/>
    <w:basedOn w:val="Normal"/>
    <w:next w:val="Normal"/>
    <w:uiPriority w:val="7"/>
    <w:pPr>
      <w:jc w:val="left"/>
    </w:pPr>
    <w:rPr>
      <w:sz w:val="18"/>
      <w:szCs w:val="24"/>
      <w:lang w:eastAsia="zh-CN"/>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jc w:val="left"/>
    </w:pPr>
    <w:rPr>
      <w:szCs w:val="24"/>
      <w:lang w:eastAsia="zh-CN"/>
    </w:rPr>
  </w:style>
  <w:style w:type="paragraph" w:customStyle="1" w:styleId="FigureTitle">
    <w:name w:val="Figure Title"/>
    <w:basedOn w:val="Normal"/>
    <w:next w:val="FigureBody"/>
    <w:uiPriority w:val="6"/>
    <w:pPr>
      <w:keepNext/>
      <w:spacing w:before="120" w:after="0"/>
      <w:jc w:val="left"/>
    </w:pPr>
    <w:rPr>
      <w:b/>
      <w:i/>
      <w:szCs w:val="24"/>
      <w:lang w:eastAsia="zh-CN"/>
    </w:rPr>
  </w:style>
  <w:style w:type="paragraph" w:customStyle="1" w:styleId="HistoryTable">
    <w:name w:val="HistoryTable"/>
    <w:basedOn w:val="Normal"/>
    <w:pPr>
      <w:spacing w:before="60" w:after="60"/>
      <w:jc w:val="left"/>
    </w:pPr>
    <w:rPr>
      <w:sz w:val="20"/>
      <w:szCs w:val="24"/>
      <w:lang w:eastAsia="zh-CN"/>
    </w:rPr>
  </w:style>
  <w:style w:type="paragraph" w:customStyle="1" w:styleId="HistTableHeading">
    <w:name w:val="HistTableHeading"/>
    <w:basedOn w:val="Normal"/>
    <w:next w:val="HistoryTable"/>
    <w:pPr>
      <w:spacing w:after="0"/>
      <w:jc w:val="center"/>
    </w:pPr>
    <w:rPr>
      <w:rFonts w:ascii="Times New Roman Bold" w:hAnsi="Times New Roman Bold"/>
      <w:b/>
      <w:sz w:val="32"/>
      <w:szCs w:val="24"/>
      <w:lang w:eastAsia="zh-CN"/>
    </w:rPr>
  </w:style>
  <w:style w:type="paragraph" w:customStyle="1" w:styleId="TableText">
    <w:name w:val="Table Text"/>
    <w:basedOn w:val="Normal"/>
    <w:uiPriority w:val="90"/>
    <w:qFormat/>
    <w:pPr>
      <w:spacing w:before="60" w:after="60"/>
      <w:jc w:val="left"/>
    </w:pPr>
    <w:rPr>
      <w:szCs w:val="24"/>
      <w:lang w:eastAsia="zh-CN"/>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szCs w:val="24"/>
      <w:lang w:eastAsia="zh-CN"/>
    </w:rPr>
  </w:style>
  <w:style w:type="paragraph" w:customStyle="1" w:styleId="ChapterTitle">
    <w:name w:val="ChapterTitle"/>
    <w:basedOn w:val="Normal"/>
    <w:next w:val="SectionTitle"/>
    <w:uiPriority w:val="90"/>
    <w:qFormat/>
    <w:pPr>
      <w:keepNext/>
      <w:spacing w:before="720" w:after="360"/>
      <w:jc w:val="center"/>
      <w:outlineLvl w:val="0"/>
    </w:pPr>
    <w:rPr>
      <w:b/>
      <w:sz w:val="36"/>
      <w:szCs w:val="24"/>
      <w:lang w:eastAsia="zh-CN"/>
    </w:rPr>
  </w:style>
  <w:style w:type="paragraph" w:customStyle="1" w:styleId="PartTitle">
    <w:name w:val="PartTitle"/>
    <w:basedOn w:val="Normal"/>
    <w:next w:val="ChapterTitle"/>
    <w:uiPriority w:val="90"/>
    <w:qFormat/>
    <w:pPr>
      <w:keepNext/>
      <w:pageBreakBefore/>
      <w:spacing w:before="720" w:after="360"/>
      <w:jc w:val="center"/>
      <w:outlineLvl w:val="0"/>
    </w:pPr>
    <w:rPr>
      <w:b/>
      <w:sz w:val="40"/>
      <w:szCs w:val="24"/>
      <w:lang w:eastAsia="zh-CN"/>
    </w:rPr>
  </w:style>
  <w:style w:type="paragraph" w:customStyle="1" w:styleId="FITTable">
    <w:name w:val="FIT Table"/>
    <w:basedOn w:val="Normal"/>
    <w:pPr>
      <w:spacing w:before="60" w:after="60"/>
      <w:jc w:val="left"/>
    </w:pPr>
    <w:rPr>
      <w:szCs w:val="24"/>
      <w:lang w:eastAsia="zh-CN"/>
    </w:rPr>
  </w:style>
  <w:style w:type="paragraph" w:customStyle="1" w:styleId="SubTitle2">
    <w:name w:val="SubTitle 2"/>
    <w:basedOn w:val="Normal"/>
    <w:pPr>
      <w:spacing w:after="280"/>
      <w:jc w:val="center"/>
    </w:pPr>
    <w:rPr>
      <w:b/>
      <w:sz w:val="32"/>
      <w:szCs w:val="24"/>
      <w:lang w:eastAsia="zh-CN"/>
    </w:rPr>
  </w:style>
  <w:style w:type="paragraph" w:customStyle="1" w:styleId="SubTitle1">
    <w:name w:val="SubTitle 1"/>
    <w:basedOn w:val="Normal"/>
    <w:next w:val="Normal"/>
    <w:pPr>
      <w:spacing w:before="360" w:after="2000"/>
      <w:jc w:val="center"/>
    </w:pPr>
    <w:rPr>
      <w:b/>
      <w:sz w:val="40"/>
      <w:szCs w:val="24"/>
      <w:lang w:eastAsia="zh-CN"/>
    </w:rPr>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zh-CN"/>
    </w:rPr>
  </w:style>
  <w:style w:type="paragraph" w:customStyle="1" w:styleId="Glossary">
    <w:name w:val="Glossary"/>
    <w:basedOn w:val="Normal"/>
    <w:uiPriority w:val="90"/>
    <w:qFormat/>
    <w:pPr>
      <w:tabs>
        <w:tab w:val="left" w:pos="2835"/>
      </w:tabs>
      <w:spacing w:after="0"/>
      <w:ind w:left="2835" w:hanging="2835"/>
      <w:jc w:val="left"/>
    </w:pPr>
    <w:rPr>
      <w:szCs w:val="24"/>
      <w:lang w:eastAsia="zh-CN"/>
    </w:rPr>
  </w:style>
  <w:style w:type="paragraph" w:customStyle="1" w:styleId="Citation">
    <w:name w:val="Citation"/>
    <w:basedOn w:val="Normal"/>
    <w:link w:val="CitationChar"/>
    <w:uiPriority w:val="90"/>
    <w:qFormat/>
    <w:pPr>
      <w:spacing w:after="0"/>
      <w:ind w:left="454" w:right="454"/>
      <w:jc w:val="left"/>
    </w:pPr>
    <w:rPr>
      <w:i/>
      <w:szCs w:val="24"/>
      <w:lang w:eastAsia="zh-CN"/>
    </w:rPr>
  </w:style>
  <w:style w:type="character" w:customStyle="1" w:styleId="CitationChar">
    <w:name w:val="Citation Char"/>
    <w:link w:val="Citation"/>
    <w:uiPriority w:val="90"/>
    <w:qFormat/>
    <w:rPr>
      <w:i/>
      <w:szCs w:val="24"/>
      <w:lang w:eastAsia="zh-CN"/>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Deloitte1">
    <w:name w:val="Deloitte1"/>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1Char">
    <w:name w:val="Title 01 Char"/>
    <w:basedOn w:val="DefaultParagraphFont"/>
    <w:link w:val="Title01"/>
    <w:locked/>
    <w:rPr>
      <w:b/>
      <w:color w:val="164194"/>
      <w:sz w:val="22"/>
      <w:szCs w:val="22"/>
      <w:lang w:eastAsia="en-US"/>
    </w:rPr>
  </w:style>
  <w:style w:type="paragraph" w:customStyle="1" w:styleId="Title01">
    <w:name w:val="Title 01"/>
    <w:basedOn w:val="Normal"/>
    <w:link w:val="Title01Char"/>
    <w:qFormat/>
    <w:pPr>
      <w:spacing w:before="240" w:after="120"/>
      <w:jc w:val="left"/>
    </w:pPr>
    <w:rPr>
      <w:b/>
      <w:color w:val="164194"/>
      <w:sz w:val="22"/>
      <w:szCs w:val="22"/>
      <w:lang w:eastAsia="en-US"/>
    </w:rPr>
  </w:style>
  <w:style w:type="character" w:customStyle="1" w:styleId="Title02Char">
    <w:name w:val="Title 02 Char"/>
    <w:basedOn w:val="DefaultParagraphFont"/>
    <w:link w:val="Title02"/>
    <w:locked/>
    <w:rPr>
      <w:rFonts w:ascii="Arial" w:hAnsi="Arial" w:cs="Arial"/>
      <w:b/>
      <w:color w:val="E49A06"/>
      <w:sz w:val="28"/>
      <w:szCs w:val="28"/>
      <w:lang w:val="en-US" w:eastAsia="en-US"/>
    </w:rPr>
  </w:style>
  <w:style w:type="paragraph" w:customStyle="1" w:styleId="Title02">
    <w:name w:val="Title 02"/>
    <w:basedOn w:val="Normal"/>
    <w:link w:val="Title02Char"/>
    <w:qFormat/>
    <w:pPr>
      <w:spacing w:after="0"/>
      <w:jc w:val="left"/>
    </w:pPr>
    <w:rPr>
      <w:rFonts w:ascii="Arial" w:hAnsi="Arial" w:cs="Arial"/>
      <w:b/>
      <w:color w:val="E49A06"/>
      <w:sz w:val="28"/>
      <w:szCs w:val="28"/>
      <w:lang w:val="en-US" w:eastAsia="en-US"/>
    </w:rPr>
  </w:style>
  <w:style w:type="paragraph" w:styleId="NormalWeb">
    <w:name w:val="Normal (Web)"/>
    <w:basedOn w:val="Normal"/>
    <w:uiPriority w:val="99"/>
    <w:unhideWhenUsed/>
    <w:locked/>
    <w:pPr>
      <w:spacing w:before="100" w:beforeAutospacing="1" w:after="100" w:afterAutospacing="1"/>
      <w:jc w:val="left"/>
    </w:pPr>
    <w:rPr>
      <w:rFonts w:eastAsiaTheme="minorEastAsia"/>
      <w:szCs w:val="24"/>
      <w:lang w:val="fr-BE"/>
    </w:rPr>
  </w:style>
  <w:style w:type="numbering" w:customStyle="1" w:styleId="NumLstTableBullet">
    <w:name w:val="NumLstTableBullet"/>
    <w:uiPriority w:val="99"/>
    <w:pPr>
      <w:numPr>
        <w:numId w:val="24"/>
      </w:numPr>
    </w:pPr>
  </w:style>
  <w:style w:type="numbering" w:customStyle="1" w:styleId="NumbListNumb1">
    <w:name w:val="NumbListNumb1"/>
    <w:uiPriority w:val="99"/>
    <w:pPr>
      <w:numPr>
        <w:numId w:val="25"/>
      </w:numPr>
    </w:pPr>
  </w:style>
  <w:style w:type="paragraph" w:customStyle="1" w:styleId="Tablebullet1">
    <w:name w:val="Table bullet 1"/>
    <w:basedOn w:val="Normal"/>
    <w:link w:val="Tablebullet1Char"/>
    <w:uiPriority w:val="41"/>
    <w:qFormat/>
    <w:pPr>
      <w:framePr w:hSpace="180" w:wrap="around" w:vAnchor="text" w:hAnchor="text" w:y="1"/>
      <w:numPr>
        <w:numId w:val="25"/>
      </w:numPr>
      <w:tabs>
        <w:tab w:val="clear" w:pos="227"/>
      </w:tabs>
      <w:spacing w:before="60" w:after="80"/>
      <w:ind w:left="340" w:hanging="340"/>
      <w:suppressOverlap/>
      <w:jc w:val="left"/>
    </w:pPr>
    <w:rPr>
      <w:rFonts w:eastAsiaTheme="minorHAnsi"/>
      <w:color w:val="000000" w:themeColor="text1"/>
      <w:kern w:val="16"/>
      <w:sz w:val="18"/>
      <w:szCs w:val="18"/>
      <w:lang w:eastAsia="en-US"/>
    </w:rPr>
  </w:style>
  <w:style w:type="paragraph" w:customStyle="1" w:styleId="Tablebullet2">
    <w:name w:val="Table bullet 2"/>
    <w:basedOn w:val="Normal"/>
    <w:link w:val="Tablebullet2Char"/>
    <w:uiPriority w:val="41"/>
    <w:qFormat/>
    <w:pPr>
      <w:numPr>
        <w:ilvl w:val="1"/>
        <w:numId w:val="25"/>
      </w:numPr>
      <w:tabs>
        <w:tab w:val="clear" w:pos="340"/>
        <w:tab w:val="num" w:pos="643"/>
      </w:tabs>
      <w:spacing w:before="60" w:after="80"/>
      <w:ind w:left="680" w:hanging="340"/>
      <w:jc w:val="left"/>
    </w:pPr>
    <w:rPr>
      <w:rFonts w:ascii="Georgia" w:eastAsiaTheme="minorHAnsi" w:hAnsi="Georgia" w:cstheme="minorBidi"/>
      <w:kern w:val="16"/>
      <w:sz w:val="16"/>
      <w:szCs w:val="24"/>
      <w:lang w:eastAsia="en-US"/>
    </w:rPr>
  </w:style>
  <w:style w:type="paragraph" w:customStyle="1" w:styleId="Tablebullet3">
    <w:name w:val="Table bullet 3"/>
    <w:basedOn w:val="Normal"/>
    <w:link w:val="Tablebullet3Char"/>
    <w:uiPriority w:val="41"/>
    <w:qFormat/>
    <w:pPr>
      <w:numPr>
        <w:ilvl w:val="2"/>
        <w:numId w:val="25"/>
      </w:numPr>
      <w:tabs>
        <w:tab w:val="clear" w:pos="454"/>
        <w:tab w:val="num" w:pos="643"/>
      </w:tabs>
      <w:spacing w:before="60" w:after="80"/>
      <w:ind w:left="1021" w:hanging="341"/>
      <w:jc w:val="left"/>
    </w:pPr>
    <w:rPr>
      <w:rFonts w:ascii="Georgia" w:eastAsiaTheme="minorHAnsi" w:hAnsi="Georgia" w:cstheme="minorBidi"/>
      <w:kern w:val="16"/>
      <w:sz w:val="16"/>
      <w:szCs w:val="24"/>
      <w:lang w:eastAsia="en-US"/>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US"/>
    </w:rPr>
  </w:style>
  <w:style w:type="paragraph" w:customStyle="1" w:styleId="Tabletext0">
    <w:name w:val="Table text"/>
    <w:aliases w:val="ttx,F12 Table and Box Text"/>
    <w:basedOn w:val="BodyText"/>
    <w:link w:val="TabletextChar"/>
    <w:uiPriority w:val="39"/>
    <w:qFormat/>
    <w:pPr>
      <w:spacing w:after="0" w:line="240" w:lineRule="auto"/>
      <w:jc w:val="left"/>
    </w:pPr>
    <w:rPr>
      <w:sz w:val="16"/>
      <w:szCs w:val="24"/>
      <w:lang w:val="en-GB"/>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
    <w:name w:val="NumbListMain"/>
    <w:uiPriority w:val="99"/>
    <w:pPr>
      <w:numPr>
        <w:numId w:val="56"/>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pPr>
      <w:numPr>
        <w:numId w:val="26"/>
      </w:numPr>
    </w:pPr>
  </w:style>
  <w:style w:type="paragraph" w:customStyle="1" w:styleId="Bullet2">
    <w:name w:val="Bullet 2"/>
    <w:basedOn w:val="Normal"/>
    <w:link w:val="Bullet2Char"/>
    <w:uiPriority w:val="19"/>
    <w:qFormat/>
    <w:pPr>
      <w:tabs>
        <w:tab w:val="num" w:pos="595"/>
        <w:tab w:val="num" w:pos="907"/>
      </w:tabs>
      <w:spacing w:after="80" w:line="259" w:lineRule="auto"/>
      <w:ind w:left="595" w:hanging="595"/>
      <w:jc w:val="left"/>
    </w:pPr>
    <w:rPr>
      <w:rFonts w:asciiTheme="minorHAnsi" w:eastAsiaTheme="minorHAnsi" w:hAnsiTheme="minorHAnsi" w:cstheme="minorBidi"/>
      <w:sz w:val="20"/>
      <w:szCs w:val="24"/>
      <w:lang w:eastAsia="en-US"/>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jc w:val="left"/>
    </w:pPr>
    <w:rPr>
      <w:rFonts w:asciiTheme="minorHAnsi" w:eastAsiaTheme="minorHAnsi" w:hAnsiTheme="minorHAnsi" w:cstheme="minorBidi"/>
      <w:sz w:val="20"/>
      <w:szCs w:val="24"/>
      <w:lang w:eastAsia="en-US"/>
    </w:rPr>
  </w:style>
  <w:style w:type="character" w:styleId="PageNumber">
    <w:name w:val="page number"/>
    <w:basedOn w:val="DefaultParagraphFont"/>
    <w:uiPriority w:val="99"/>
    <w:semiHidden/>
    <w:locked/>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US"/>
    </w:rPr>
  </w:style>
  <w:style w:type="character" w:customStyle="1" w:styleId="apple-converted-space">
    <w:name w:val="apple-converted-space"/>
    <w:basedOn w:val="DefaultParagraphFont"/>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iPriority w:val="37"/>
    <w:unhideWhenUsed/>
    <w:locked/>
    <w:pPr>
      <w:spacing w:after="0"/>
      <w:jc w:val="left"/>
    </w:pPr>
    <w:rPr>
      <w:rFonts w:asciiTheme="minorHAnsi" w:eastAsiaTheme="minorHAnsi" w:hAnsiTheme="minorHAnsi" w:cstheme="minorBidi"/>
      <w:szCs w:val="24"/>
      <w:lang w:eastAsia="en-US"/>
    </w:rPr>
  </w:style>
  <w:style w:type="paragraph" w:customStyle="1" w:styleId="msonormal0">
    <w:name w:val="msonormal"/>
    <w:basedOn w:val="Normal"/>
    <w:pPr>
      <w:spacing w:before="100" w:beforeAutospacing="1" w:after="100" w:afterAutospacing="1"/>
      <w:jc w:val="left"/>
    </w:pPr>
    <w:rPr>
      <w:szCs w:val="24"/>
      <w:lang w:eastAsia="zh-C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zh-CN"/>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zh-CN"/>
    </w:rPr>
  </w:style>
  <w:style w:type="paragraph" w:customStyle="1" w:styleId="xl67">
    <w:name w:val="xl67"/>
    <w:basedOn w:val="Normal"/>
    <w:pPr>
      <w:spacing w:before="100" w:beforeAutospacing="1" w:after="100" w:afterAutospacing="1"/>
      <w:jc w:val="left"/>
    </w:pPr>
    <w:rPr>
      <w:szCs w:val="24"/>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zh-CN"/>
    </w:rPr>
  </w:style>
  <w:style w:type="paragraph" w:customStyle="1" w:styleId="xl69">
    <w:name w:val="xl69"/>
    <w:basedOn w:val="Normal"/>
    <w:pPr>
      <w:pBdr>
        <w:bottom w:val="single" w:sz="4" w:space="0" w:color="auto"/>
        <w:right w:val="single" w:sz="4" w:space="0" w:color="auto"/>
      </w:pBdr>
      <w:spacing w:before="100" w:beforeAutospacing="1" w:after="100" w:afterAutospacing="1"/>
      <w:jc w:val="left"/>
    </w:pPr>
    <w:rPr>
      <w:b/>
      <w:bCs/>
      <w:szCs w:val="24"/>
      <w:lang w:eastAsia="zh-CN"/>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zh-CN"/>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zh-CN"/>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jc w:val="left"/>
    </w:pPr>
    <w:rPr>
      <w:szCs w:val="24"/>
      <w:lang w:eastAsia="zh-CN"/>
    </w:rPr>
  </w:style>
  <w:style w:type="paragraph" w:customStyle="1" w:styleId="xl73">
    <w:name w:val="xl73"/>
    <w:basedOn w:val="Normal"/>
    <w:pPr>
      <w:pBdr>
        <w:top w:val="single" w:sz="4" w:space="0" w:color="auto"/>
        <w:right w:val="single" w:sz="4" w:space="0" w:color="auto"/>
      </w:pBdr>
      <w:spacing w:before="100" w:beforeAutospacing="1" w:after="100" w:afterAutospacing="1"/>
      <w:jc w:val="left"/>
    </w:pPr>
    <w:rPr>
      <w:szCs w:val="24"/>
      <w:lang w:eastAsia="zh-CN"/>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zh-CN"/>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style>
  <w:style w:type="character" w:customStyle="1" w:styleId="Heading9Char">
    <w:name w:val="Heading 9 Char"/>
    <w:basedOn w:val="DefaultParagraphFont"/>
    <w:link w:val="Heading9"/>
    <w:uiPriority w:val="29"/>
    <w:semiHidden/>
  </w:style>
  <w:style w:type="character" w:customStyle="1" w:styleId="TitleChar">
    <w:name w:val="Title Char"/>
    <w:basedOn w:val="DefaultParagraphFont"/>
    <w:link w:val="Title"/>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character" w:styleId="Strong">
    <w:name w:val="Strong"/>
    <w:basedOn w:val="DefaultParagraphFont"/>
    <w:uiPriority w:val="22"/>
    <w:qFormat/>
    <w:locked/>
    <w:rPr>
      <w:b/>
      <w:bCs/>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paragraph" w:customStyle="1" w:styleId="TableListBullet">
    <w:name w:val="Table List Bullet"/>
    <w:basedOn w:val="BodyText"/>
    <w:qFormat/>
    <w:pPr>
      <w:numPr>
        <w:numId w:val="27"/>
      </w:numPr>
      <w:spacing w:before="60" w:after="60" w:line="240" w:lineRule="auto"/>
    </w:pPr>
    <w:rPr>
      <w:rFonts w:ascii="Times New Roman" w:hAnsi="Times New Roman"/>
      <w:sz w:val="18"/>
      <w:szCs w:val="16"/>
      <w:lang w:val="en-US" w:eastAsia="en-GB"/>
    </w:rPr>
  </w:style>
  <w:style w:type="numbering" w:customStyle="1" w:styleId="NumbListAppendix1">
    <w:name w:val="NumbListAppendix1"/>
    <w:uiPriority w:val="99"/>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30"/>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Source">
    <w:name w:val="Source"/>
    <w:basedOn w:val="BodyText"/>
    <w:next w:val="BodyText"/>
    <w:link w:val="SourceChar"/>
    <w:uiPriority w:val="42"/>
    <w:qFormat/>
    <w:pPr>
      <w:spacing w:after="360" w:line="240" w:lineRule="auto"/>
    </w:pPr>
    <w:rPr>
      <w:color w:val="44546A" w:themeColor="text2"/>
      <w:sz w:val="18"/>
      <w:szCs w:val="16"/>
      <w:lang w:val="en-US" w:eastAsia="en-GB"/>
    </w:rPr>
  </w:style>
  <w:style w:type="character" w:customStyle="1" w:styleId="SourceChar">
    <w:name w:val="Source Char"/>
    <w:basedOn w:val="BodyTextChar"/>
    <w:link w:val="Source"/>
    <w:uiPriority w:val="42"/>
    <w:rPr>
      <w:rFonts w:ascii="Georgia" w:hAnsi="Georgia"/>
      <w:color w:val="44546A" w:themeColor="text2"/>
      <w:sz w:val="18"/>
      <w:szCs w:val="16"/>
      <w:lang w:val="en-US" w:eastAsia="en-GB"/>
    </w:rPr>
  </w:style>
  <w:style w:type="paragraph" w:customStyle="1" w:styleId="Tablenumber1">
    <w:name w:val="Table number 1"/>
    <w:basedOn w:val="Normal"/>
    <w:link w:val="Tablenumber1Char"/>
    <w:autoRedefine/>
    <w:uiPriority w:val="41"/>
    <w:qFormat/>
    <w:pPr>
      <w:numPr>
        <w:numId w:val="30"/>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link w:val="Tablenumber2Char"/>
    <w:uiPriority w:val="41"/>
    <w:qFormat/>
    <w:pPr>
      <w:numPr>
        <w:ilvl w:val="1"/>
      </w:numPr>
      <w:ind w:left="576" w:hanging="576"/>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lang w:val="en-US"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US"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val="en-US"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val="en-US"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val="en-US" w:eastAsia="en-GB"/>
    </w:rPr>
  </w:style>
  <w:style w:type="character" w:customStyle="1" w:styleId="BodyText2Char">
    <w:name w:val="Body Text 2 Char"/>
    <w:basedOn w:val="DefaultParagraphFont"/>
    <w:link w:val="BodyText2"/>
    <w:uiPriority w:val="99"/>
    <w:semiHidden/>
    <w:rPr>
      <w:rFonts w:eastAsiaTheme="minorEastAsia"/>
      <w:sz w:val="20"/>
      <w:szCs w:val="16"/>
      <w:lang w:val="en-US" w:eastAsia="en-GB"/>
    </w:rPr>
  </w:style>
  <w:style w:type="paragraph" w:styleId="BodyText3">
    <w:name w:val="Body Text 3"/>
    <w:basedOn w:val="Normal"/>
    <w:link w:val="BodyText3Char"/>
    <w:uiPriority w:val="99"/>
    <w:semiHidden/>
    <w:unhideWhenUsed/>
    <w:locked/>
    <w:pPr>
      <w:spacing w:after="120"/>
    </w:pPr>
    <w:rPr>
      <w:rFonts w:eastAsiaTheme="minorEastAsia"/>
      <w:sz w:val="20"/>
      <w:szCs w:val="16"/>
      <w:lang w:val="en-US" w:eastAsia="en-GB"/>
    </w:rPr>
  </w:style>
  <w:style w:type="character" w:customStyle="1" w:styleId="BodyText3Char">
    <w:name w:val="Body Text 3 Char"/>
    <w:basedOn w:val="DefaultParagraphFont"/>
    <w:link w:val="BodyText3"/>
    <w:uiPriority w:val="99"/>
    <w:semiHidden/>
    <w:rPr>
      <w:rFonts w:eastAsiaTheme="minorEastAsia"/>
      <w:sz w:val="20"/>
      <w:szCs w:val="16"/>
      <w:lang w:val="en-US" w:eastAsia="en-GB"/>
    </w:rPr>
  </w:style>
  <w:style w:type="paragraph" w:styleId="BodyTextFirstIndent">
    <w:name w:val="Body Text First Indent"/>
    <w:basedOn w:val="BodyText"/>
    <w:link w:val="BodyTextFirstIndentChar"/>
    <w:uiPriority w:val="99"/>
    <w:semiHidden/>
    <w:unhideWhenUsed/>
    <w:locked/>
    <w:pPr>
      <w:spacing w:line="240" w:lineRule="auto"/>
      <w:ind w:firstLine="360"/>
    </w:pPr>
    <w:rPr>
      <w:rFonts w:asciiTheme="minorHAnsi" w:eastAsiaTheme="minorEastAsia" w:hAnsiTheme="minorHAnsi"/>
      <w:sz w:val="22"/>
      <w:szCs w:val="16"/>
      <w:lang w:val="en-US"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US"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val="en-US"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US"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US"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val="en-US"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US"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val="en-US"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US" w:eastAsia="en-GB"/>
    </w:rPr>
  </w:style>
  <w:style w:type="paragraph" w:styleId="NoSpacing">
    <w:name w:val="No Spacing"/>
    <w:basedOn w:val="BodyText"/>
    <w:next w:val="BodyText"/>
    <w:uiPriority w:val="9"/>
    <w:locked/>
    <w:pPr>
      <w:spacing w:line="240" w:lineRule="auto"/>
    </w:pPr>
    <w:rPr>
      <w:rFonts w:asciiTheme="minorHAnsi" w:eastAsiaTheme="minorEastAsia" w:hAnsiTheme="minorHAnsi"/>
      <w:noProof/>
      <w:sz w:val="22"/>
      <w:szCs w:val="16"/>
      <w:lang w:val="nl-NL" w:eastAsia="en-GB"/>
    </w:rPr>
  </w:style>
  <w:style w:type="paragraph" w:customStyle="1" w:styleId="BodytextNospace">
    <w:name w:val="Body text No space"/>
    <w:basedOn w:val="NoSpacing"/>
  </w:style>
  <w:style w:type="character" w:styleId="BookTitle">
    <w:name w:val="Book Title"/>
    <w:basedOn w:val="DefaultParagraphFont"/>
    <w:uiPriority w:val="33"/>
    <w:qFormat/>
    <w:locked/>
    <w:rPr>
      <w:b/>
      <w:bCs/>
      <w:i/>
      <w:iCs/>
      <w:spacing w:val="5"/>
    </w:rPr>
  </w:style>
  <w:style w:type="character" w:styleId="Emphasis">
    <w:name w:val="Emphasis"/>
    <w:basedOn w:val="DefaultParagraphFont"/>
    <w:uiPriority w:val="22"/>
    <w:locked/>
    <w:rPr>
      <w:i/>
      <w:iCs/>
    </w:rPr>
  </w:style>
  <w:style w:type="paragraph" w:customStyle="1" w:styleId="Headline">
    <w:name w:val="Headline"/>
    <w:basedOn w:val="Normal"/>
    <w:next w:val="BodyText"/>
    <w:link w:val="HeadlineChar"/>
    <w:uiPriority w:val="29"/>
    <w:pPr>
      <w:spacing w:before="200" w:after="120"/>
    </w:pPr>
    <w:rPr>
      <w:rFonts w:eastAsiaTheme="minorEastAsia"/>
      <w:b/>
      <w:sz w:val="22"/>
      <w:szCs w:val="16"/>
      <w:lang w:val="en-US" w:eastAsia="en-GB"/>
    </w:rPr>
  </w:style>
  <w:style w:type="character" w:customStyle="1" w:styleId="HeadlineChar">
    <w:name w:val="Headline Char"/>
    <w:basedOn w:val="DefaultParagraphFont"/>
    <w:link w:val="Headline"/>
    <w:uiPriority w:val="29"/>
    <w:rPr>
      <w:rFonts w:eastAsiaTheme="minorEastAsia"/>
      <w:b/>
      <w:sz w:val="22"/>
      <w:szCs w:val="16"/>
      <w:lang w:val="en-US"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val="en-US"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US"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i/>
      <w:iCs/>
      <w:color w:val="404040" w:themeColor="text1" w:themeTint="BF"/>
      <w:sz w:val="20"/>
      <w:szCs w:val="16"/>
      <w:lang w:val="en-US"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US"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eastAsia="en-US"/>
    </w:rPr>
  </w:style>
  <w:style w:type="paragraph" w:customStyle="1" w:styleId="Tablecolumnheader">
    <w:name w:val="Table column header"/>
    <w:basedOn w:val="BodyText"/>
    <w:uiPriority w:val="40"/>
    <w:pPr>
      <w:spacing w:before="60" w:line="240" w:lineRule="auto"/>
    </w:pPr>
    <w:rPr>
      <w:rFonts w:asciiTheme="majorHAnsi" w:hAnsiTheme="majorHAnsi"/>
      <w:sz w:val="16"/>
      <w:szCs w:val="24"/>
      <w:lang w:val="en-US"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val="en-US" w:eastAsia="en-GB"/>
    </w:rPr>
  </w:style>
  <w:style w:type="character" w:customStyle="1" w:styleId="Tablenumber2Char">
    <w:name w:val="Table number 2 Char"/>
    <w:basedOn w:val="Tablenumber1Char"/>
    <w:link w:val="Tablenumber2"/>
    <w:uiPriority w:val="41"/>
    <w:rPr>
      <w:rFonts w:ascii="Georgia" w:hAnsi="Georgia"/>
      <w:kern w:val="16"/>
      <w:sz w:val="16"/>
      <w:szCs w:val="16"/>
      <w:lang w:val="en-US" w:eastAsia="en-GB"/>
    </w:rPr>
  </w:style>
  <w:style w:type="character" w:customStyle="1" w:styleId="Tablenumber3Char">
    <w:name w:val="Table number 3 Char"/>
    <w:basedOn w:val="Tablenumber2Char"/>
    <w:link w:val="Tablenumber3"/>
    <w:uiPriority w:val="41"/>
    <w:rPr>
      <w:rFonts w:ascii="Georgia" w:hAnsi="Georgia"/>
      <w:kern w:val="16"/>
      <w:sz w:val="16"/>
      <w:szCs w:val="16"/>
      <w:lang w:val="en-US"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val="en-US" w:eastAsia="en-GB"/>
    </w:rPr>
  </w:style>
  <w:style w:type="character" w:customStyle="1" w:styleId="TabletextChar">
    <w:name w:val="Table text Char"/>
    <w:aliases w:val="ttx Char"/>
    <w:basedOn w:val="DefaultParagraphFont"/>
    <w:link w:val="Tabletext0"/>
    <w:uiPriority w:val="39"/>
    <w:rPr>
      <w:rFonts w:ascii="Georgia" w:hAnsi="Georgia"/>
      <w:sz w:val="16"/>
      <w:szCs w:val="24"/>
      <w:lang w:eastAsia="en-US"/>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
    <w:name w:val="Table"/>
    <w:basedOn w:val="Normal"/>
    <w:link w:val="TableChar"/>
    <w:qFormat/>
    <w:pPr>
      <w:spacing w:after="160" w:line="259" w:lineRule="auto"/>
    </w:pPr>
    <w:rPr>
      <w:rFonts w:ascii="Georgia" w:eastAsiaTheme="minorEastAsia" w:hAnsi="Georgia"/>
      <w:kern w:val="16"/>
      <w:sz w:val="16"/>
      <w:szCs w:val="16"/>
      <w:lang w:eastAsia="en-GB"/>
    </w:rPr>
  </w:style>
  <w:style w:type="character" w:customStyle="1" w:styleId="TableChar">
    <w:name w:val="Table Char"/>
    <w:basedOn w:val="DefaultParagraphFont"/>
    <w:link w:val="Table"/>
    <w:rPr>
      <w:rFonts w:ascii="Georgia" w:eastAsiaTheme="minorEastAsia" w:hAnsi="Georgia"/>
      <w:kern w:val="16"/>
      <w:sz w:val="16"/>
      <w:szCs w:val="16"/>
      <w:lang w:eastAsia="en-GB"/>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table" w:customStyle="1" w:styleId="ListTable4Accent1">
    <w:name w:val="List Table 4 Accent 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link w:val="TableFigureTitleCharChar"/>
    <w:pPr>
      <w:keepNext/>
      <w:spacing w:before="400" w:after="60" w:line="288" w:lineRule="auto"/>
    </w:pPr>
    <w:rPr>
      <w:rFonts w:ascii="Arial" w:eastAsiaTheme="minorEastAsia" w:hAnsi="Arial" w:cstheme="minorBidi"/>
      <w:b/>
      <w:i/>
      <w:noProof/>
      <w:color w:val="333333"/>
      <w:sz w:val="20"/>
      <w:szCs w:val="24"/>
      <w:lang w:val="en-GB" w:eastAsia="lt-LT"/>
    </w:rPr>
  </w:style>
  <w:style w:type="character" w:customStyle="1" w:styleId="TableFigureTitleCharChar">
    <w:name w:val="TableFigure Title Char Char"/>
    <w:link w:val="TableFigureTitle"/>
    <w:rPr>
      <w:rFonts w:ascii="Arial" w:eastAsiaTheme="minorEastAsia" w:hAnsi="Arial" w:cstheme="minorBidi"/>
      <w:b/>
      <w:i/>
      <w:noProof/>
      <w:color w:val="333333"/>
      <w:sz w:val="20"/>
      <w:szCs w:val="24"/>
      <w:lang w:eastAsia="lt-LT"/>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0" w:line="288" w:lineRule="auto"/>
      <w:jc w:val="center"/>
    </w:pPr>
    <w:rPr>
      <w:rFonts w:ascii="Arial" w:eastAsiaTheme="minorEastAsia" w:hAnsi="Arial" w:cstheme="minorBidi"/>
      <w:noProof/>
      <w:sz w:val="20"/>
      <w:szCs w:val="24"/>
      <w:lang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jc w:val="left"/>
    </w:pPr>
    <w:rPr>
      <w:szCs w:val="24"/>
      <w:lang w:eastAsia="en-GB"/>
    </w:rPr>
  </w:style>
  <w:style w:type="numbering" w:customStyle="1" w:styleId="Style3">
    <w:name w:val="Style3"/>
    <w:uiPriority w:val="99"/>
    <w:pPr>
      <w:numPr>
        <w:numId w:val="31"/>
      </w:numPr>
    </w:pPr>
  </w:style>
  <w:style w:type="numbering" w:customStyle="1" w:styleId="NumbListMain1">
    <w:name w:val="NumbListMain1"/>
    <w:uiPriority w:val="99"/>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Main2">
    <w:name w:val="NumbListMain2"/>
    <w:uiPriority w:val="99"/>
  </w:style>
  <w:style w:type="numbering" w:customStyle="1" w:styleId="NumbListMain3">
    <w:name w:val="NumbListMain3"/>
    <w:uiPriority w:val="99"/>
  </w:style>
  <w:style w:type="numbering" w:customStyle="1" w:styleId="NumbListMain4">
    <w:name w:val="NumbListMain4"/>
    <w:uiPriority w:val="99"/>
  </w:style>
  <w:style w:type="numbering" w:customStyle="1" w:styleId="NumListBullet1">
    <w:name w:val="NumListBullet1"/>
    <w:uiPriority w:val="99"/>
  </w:style>
  <w:style w:type="numbering" w:customStyle="1" w:styleId="NoList2">
    <w:name w:val="No List2"/>
    <w:next w:val="NoList"/>
    <w:uiPriority w:val="99"/>
    <w:semiHidden/>
    <w:unhideWhenUsed/>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Bullet1">
    <w:name w:val="NumLstTableBullet1"/>
    <w:uiPriority w:val="99"/>
    <w:pPr>
      <w:numPr>
        <w:numId w:val="34"/>
      </w:numPr>
    </w:pPr>
  </w:style>
  <w:style w:type="numbering" w:customStyle="1" w:styleId="NumbListNumb2">
    <w:name w:val="NumbListNumb2"/>
    <w:uiPriority w:val="99"/>
    <w:pPr>
      <w:numPr>
        <w:numId w:val="23"/>
      </w:numPr>
    </w:pPr>
  </w:style>
  <w:style w:type="numbering" w:customStyle="1" w:styleId="NumbListMain5">
    <w:name w:val="NumbListMain5"/>
    <w:uiPriority w:val="99"/>
    <w:pPr>
      <w:numPr>
        <w:numId w:val="7"/>
      </w:numPr>
    </w:pPr>
  </w:style>
  <w:style w:type="numbering" w:customStyle="1" w:styleId="NumListBullet2">
    <w:name w:val="NumListBullet2"/>
    <w:uiPriority w:val="99"/>
    <w:pPr>
      <w:numPr>
        <w:numId w:val="8"/>
      </w:numPr>
    </w:pPr>
  </w:style>
  <w:style w:type="numbering" w:customStyle="1" w:styleId="NumbListAppendix2">
    <w:name w:val="NumbListAppendix2"/>
    <w:uiPriority w:val="99"/>
    <w:pPr>
      <w:numPr>
        <w:numId w:val="15"/>
      </w:numPr>
    </w:pPr>
  </w:style>
  <w:style w:type="numbering" w:customStyle="1" w:styleId="NumLstTableNum1">
    <w:name w:val="NumLstTableNum1"/>
    <w:uiPriority w:val="99"/>
    <w:pPr>
      <w:numPr>
        <w:numId w:val="52"/>
      </w:numPr>
    </w:pPr>
  </w:style>
  <w:style w:type="numbering" w:customStyle="1" w:styleId="Style31">
    <w:name w:val="Style31"/>
    <w:uiPriority w:val="99"/>
    <w:pPr>
      <w:numPr>
        <w:numId w:val="36"/>
      </w:numPr>
    </w:pPr>
  </w:style>
  <w:style w:type="numbering" w:customStyle="1" w:styleId="Style32">
    <w:name w:val="Style32"/>
    <w:uiPriority w:val="99"/>
  </w:style>
  <w:style w:type="paragraph" w:customStyle="1" w:styleId="xmsolistparagraph">
    <w:name w:val="x_msolistparagraph"/>
    <w:basedOn w:val="Normal"/>
    <w:pPr>
      <w:spacing w:before="100" w:beforeAutospacing="1" w:after="100" w:afterAutospacing="1"/>
      <w:jc w:val="left"/>
    </w:pPr>
    <w:rPr>
      <w:szCs w:val="24"/>
      <w:lang w:val="en-US" w:eastAsia="en-US"/>
    </w:rPr>
  </w:style>
  <w:style w:type="paragraph" w:styleId="ListContinue5">
    <w:name w:val="List Continue 5"/>
    <w:basedOn w:val="Normal"/>
    <w:semiHidden/>
    <w:locked/>
    <w:pPr>
      <w:spacing w:after="120"/>
      <w:ind w:left="1415"/>
      <w:contextualSpacing/>
    </w:p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Deloitte11">
    <w:name w:val="Deloitte1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Num2">
    <w:name w:val="NumLstTableNum2"/>
    <w:uiPriority w:val="99"/>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uiPriority="99"/>
    <w:lsdException w:name="footer" w:semiHidden="0" w:uiPriority="99"/>
    <w:lsdException w:name="caption" w:semiHidden="0"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Placeholder Text" w:uiPriority="99"/>
    <w:lsdException w:name="No Spacing" w:uiPriority="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33" w:qFormat="1"/>
    <w:lsdException w:name="Bibliography" w:uiPriority="37"/>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29"/>
    <w:qFormat/>
    <w:pPr>
      <w:keepNext/>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qFormat/>
    <w:pPr>
      <w:keepNext/>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outlineLvl w:val="7"/>
    </w:pPr>
  </w:style>
  <w:style w:type="paragraph" w:styleId="Heading9">
    <w:name w:val="heading 9"/>
    <w:basedOn w:val="Normal"/>
    <w:next w:val="Normal"/>
    <w:link w:val="Heading9Char"/>
    <w:uiPriority w:val="29"/>
    <w:qFormat/>
    <w:pPr>
      <w:keepNex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next w:val="Normal"/>
    <w:uiPriority w:val="99"/>
    <w:pPr>
      <w:tabs>
        <w:tab w:val="left" w:pos="5669"/>
      </w:tabs>
      <w:spacing w:before="480" w:after="0"/>
      <w:ind w:left="1984" w:hanging="1984"/>
      <w:jc w:val="left"/>
    </w:p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style>
  <w:style w:type="paragraph" w:customStyle="1" w:styleId="Enclosures">
    <w:name w:val="Enclosures"/>
    <w:basedOn w:val="Normal"/>
    <w:next w:val="Participants"/>
    <w:uiPriority w:val="99"/>
    <w:pPr>
      <w:keepNext/>
      <w:keepLines/>
      <w:tabs>
        <w:tab w:val="left" w:pos="5669"/>
      </w:tabs>
      <w:spacing w:before="480" w:after="0"/>
      <w:ind w:left="1984" w:hanging="1984"/>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next w:val="Normal"/>
    <w:uiPriority w:val="99"/>
    <w:pPr>
      <w:spacing w:after="480"/>
      <w:ind w:left="1531" w:hanging="1531"/>
    </w:pPr>
  </w:style>
  <w:style w:type="paragraph" w:customStyle="1" w:styleId="Subject">
    <w:name w:val="Subject"/>
    <w:basedOn w:val="Normal"/>
    <w:next w:val="Normal"/>
    <w:uiPriority w:val="99"/>
    <w:pPr>
      <w:spacing w:after="480"/>
      <w:ind w:left="1531" w:hanging="1531"/>
      <w:jc w:val="left"/>
    </w:pPr>
    <w:rPr>
      <w:b/>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next w:val="Subject"/>
    <w:pPr>
      <w:tabs>
        <w:tab w:val="left" w:pos="5822"/>
      </w:tabs>
      <w:spacing w:before="720" w:after="720"/>
      <w:ind w:left="5102" w:hanging="3118"/>
      <w:jc w:val="left"/>
    </w:pPr>
    <w:rPr>
      <w:b/>
      <w:smallCaps/>
    </w:rPr>
  </w:style>
  <w:style w:type="paragraph" w:customStyle="1" w:styleId="NoteHead">
    <w:name w:val="NoteHead"/>
    <w:basedOn w:val="Normal"/>
    <w:next w:val="Subject"/>
    <w:uiPriority w:val="99"/>
    <w:pPr>
      <w:spacing w:before="720" w:after="720"/>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1"/>
      </w:numPr>
    </w:pPr>
  </w:style>
  <w:style w:type="paragraph" w:customStyle="1" w:styleId="ListNumber4Level3">
    <w:name w:val="List Number 4 (Level 3)"/>
    <w:basedOn w:val="Text4"/>
    <w:semiHidden/>
    <w:unhideWhenUsed/>
    <w:pPr>
      <w:numPr>
        <w:ilvl w:val="2"/>
        <w:numId w:val="11"/>
      </w:numPr>
    </w:pPr>
  </w:style>
  <w:style w:type="paragraph" w:customStyle="1" w:styleId="ListNumber4Level2">
    <w:name w:val="List Number 4 (Level 2)"/>
    <w:basedOn w:val="Text4"/>
    <w:pPr>
      <w:numPr>
        <w:ilvl w:val="1"/>
        <w:numId w:val="11"/>
      </w:numPr>
    </w:pPr>
  </w:style>
  <w:style w:type="paragraph" w:styleId="ListNumber4">
    <w:name w:val="List Number 4"/>
    <w:basedOn w:val="Text4"/>
    <w:pPr>
      <w:numPr>
        <w:numId w:val="11"/>
      </w:numPr>
    </w:pPr>
  </w:style>
  <w:style w:type="paragraph" w:customStyle="1" w:styleId="ListNumber3Level4">
    <w:name w:val="List Number 3 (Level 4)"/>
    <w:basedOn w:val="Text3"/>
    <w:semiHidden/>
    <w:unhideWhenUsed/>
    <w:pPr>
      <w:numPr>
        <w:ilvl w:val="3"/>
        <w:numId w:val="10"/>
      </w:numPr>
    </w:pPr>
  </w:style>
  <w:style w:type="paragraph" w:customStyle="1" w:styleId="ListNumber3Level3">
    <w:name w:val="List Number 3 (Level 3)"/>
    <w:basedOn w:val="Text3"/>
    <w:semiHidden/>
    <w:unhideWhenUsed/>
    <w:pPr>
      <w:numPr>
        <w:ilvl w:val="2"/>
        <w:numId w:val="10"/>
      </w:numPr>
    </w:pPr>
  </w:style>
  <w:style w:type="paragraph" w:customStyle="1" w:styleId="ListNumber3Level2">
    <w:name w:val="List Number 3 (Level 2)"/>
    <w:basedOn w:val="Text3"/>
    <w:pPr>
      <w:numPr>
        <w:ilvl w:val="1"/>
        <w:numId w:val="10"/>
      </w:numPr>
    </w:pPr>
  </w:style>
  <w:style w:type="paragraph" w:styleId="ListNumber3">
    <w:name w:val="List Number 3"/>
    <w:basedOn w:val="Text3"/>
    <w:uiPriority w:val="20"/>
    <w:qFormat/>
    <w:pPr>
      <w:numPr>
        <w:numId w:val="10"/>
      </w:numPr>
    </w:pPr>
  </w:style>
  <w:style w:type="paragraph" w:customStyle="1" w:styleId="ListNumber2Level4">
    <w:name w:val="List Number 2 (Level 4)"/>
    <w:basedOn w:val="Text2"/>
    <w:semiHidden/>
    <w:unhideWhenUsed/>
    <w:pPr>
      <w:numPr>
        <w:ilvl w:val="3"/>
        <w:numId w:val="9"/>
      </w:numPr>
    </w:pPr>
  </w:style>
  <w:style w:type="paragraph" w:customStyle="1" w:styleId="ListNumber2Level3">
    <w:name w:val="List Number 2 (Level 3)"/>
    <w:basedOn w:val="Text2"/>
    <w:semiHidden/>
    <w:unhideWhenUsed/>
    <w:pPr>
      <w:numPr>
        <w:ilvl w:val="2"/>
        <w:numId w:val="9"/>
      </w:numPr>
    </w:pPr>
  </w:style>
  <w:style w:type="paragraph" w:customStyle="1" w:styleId="ListNumber2Level2">
    <w:name w:val="List Number 2 (Level 2)"/>
    <w:basedOn w:val="Text2"/>
    <w:pPr>
      <w:numPr>
        <w:ilvl w:val="1"/>
        <w:numId w:val="9"/>
      </w:numPr>
    </w:pPr>
  </w:style>
  <w:style w:type="paragraph" w:styleId="ListNumber2">
    <w:name w:val="List Number 2"/>
    <w:basedOn w:val="Text2"/>
    <w:uiPriority w:val="20"/>
    <w:qFormat/>
    <w:pPr>
      <w:numPr>
        <w:numId w:val="9"/>
      </w:numPr>
    </w:pPr>
  </w:style>
  <w:style w:type="paragraph" w:customStyle="1" w:styleId="ListNumber1Level4">
    <w:name w:val="List Number 1 (Level 4)"/>
    <w:basedOn w:val="Text1"/>
    <w:semiHidden/>
    <w:unhideWhenUsed/>
    <w:pPr>
      <w:numPr>
        <w:ilvl w:val="3"/>
        <w:numId w:val="8"/>
      </w:numPr>
    </w:pPr>
  </w:style>
  <w:style w:type="paragraph" w:customStyle="1" w:styleId="ListNumber1Level3">
    <w:name w:val="List Number 1 (Level 3)"/>
    <w:basedOn w:val="Text1"/>
    <w:semiHidden/>
    <w:unhideWhenUsed/>
    <w:pPr>
      <w:numPr>
        <w:ilvl w:val="2"/>
        <w:numId w:val="8"/>
      </w:numPr>
    </w:pPr>
  </w:style>
  <w:style w:type="paragraph" w:customStyle="1" w:styleId="ListNumber1Level2">
    <w:name w:val="List Number 1 (Level 2)"/>
    <w:basedOn w:val="Text1"/>
    <w:pPr>
      <w:numPr>
        <w:ilvl w:val="1"/>
        <w:numId w:val="8"/>
      </w:numPr>
    </w:pPr>
  </w:style>
  <w:style w:type="paragraph" w:customStyle="1" w:styleId="ListNumber1">
    <w:name w:val="List Number 1"/>
    <w:basedOn w:val="Text1"/>
    <w:pPr>
      <w:numPr>
        <w:numId w:val="8"/>
      </w:numPr>
    </w:pPr>
  </w:style>
  <w:style w:type="paragraph" w:customStyle="1" w:styleId="ListNumberLevel4">
    <w:name w:val="List Number (Level 4)"/>
    <w:basedOn w:val="Normal"/>
    <w:unhideWhenUsed/>
    <w:pPr>
      <w:numPr>
        <w:ilvl w:val="3"/>
        <w:numId w:val="7"/>
      </w:numPr>
    </w:pPr>
  </w:style>
  <w:style w:type="paragraph" w:customStyle="1" w:styleId="ListNumberLevel3">
    <w:name w:val="List Number (Level 3)"/>
    <w:basedOn w:val="Normal"/>
    <w:unhideWhenUsed/>
    <w:pPr>
      <w:numPr>
        <w:ilvl w:val="2"/>
        <w:numId w:val="7"/>
      </w:numPr>
    </w:pPr>
  </w:style>
  <w:style w:type="paragraph" w:customStyle="1" w:styleId="ListNumberLevel2">
    <w:name w:val="List Number (Level 2)"/>
    <w:basedOn w:val="Normal"/>
    <w:pPr>
      <w:numPr>
        <w:ilvl w:val="1"/>
        <w:numId w:val="7"/>
      </w:numPr>
    </w:pPr>
  </w:style>
  <w:style w:type="paragraph" w:styleId="ListNumber">
    <w:name w:val="List Number"/>
    <w:basedOn w:val="Normal"/>
    <w:qFormat/>
    <w:pPr>
      <w:numPr>
        <w:numId w:val="7"/>
      </w:numPr>
    </w:pPr>
  </w:style>
  <w:style w:type="paragraph" w:customStyle="1" w:styleId="ListDash4Level4">
    <w:name w:val="List Dash 4 (Level 4)"/>
    <w:basedOn w:val="Text4"/>
    <w:semiHidden/>
    <w:unhideWhenUsed/>
    <w:pPr>
      <w:numPr>
        <w:ilvl w:val="3"/>
        <w:numId w:val="16"/>
      </w:numPr>
    </w:pPr>
  </w:style>
  <w:style w:type="paragraph" w:customStyle="1" w:styleId="ListDash4Level3">
    <w:name w:val="List Dash 4 (Level 3)"/>
    <w:basedOn w:val="Text4"/>
    <w:semiHidden/>
    <w:unhideWhenUsed/>
    <w:pPr>
      <w:numPr>
        <w:ilvl w:val="2"/>
        <w:numId w:val="16"/>
      </w:numPr>
    </w:pPr>
  </w:style>
  <w:style w:type="paragraph" w:customStyle="1" w:styleId="ListDash4Level2">
    <w:name w:val="List Dash 4 (Level 2)"/>
    <w:basedOn w:val="Text4"/>
    <w:pPr>
      <w:numPr>
        <w:ilvl w:val="1"/>
        <w:numId w:val="16"/>
      </w:numPr>
    </w:pPr>
  </w:style>
  <w:style w:type="paragraph" w:customStyle="1" w:styleId="ListDash4">
    <w:name w:val="List Dash 4"/>
    <w:basedOn w:val="Text4"/>
    <w:pPr>
      <w:numPr>
        <w:numId w:val="16"/>
      </w:numPr>
    </w:pPr>
  </w:style>
  <w:style w:type="paragraph" w:customStyle="1" w:styleId="ListDash3Level4">
    <w:name w:val="List Dash 3 (Level 4)"/>
    <w:basedOn w:val="Text3"/>
    <w:semiHidden/>
    <w:unhideWhenUsed/>
    <w:pPr>
      <w:numPr>
        <w:ilvl w:val="3"/>
        <w:numId w:val="15"/>
      </w:numPr>
    </w:pPr>
  </w:style>
  <w:style w:type="paragraph" w:customStyle="1" w:styleId="ListDash3Level3">
    <w:name w:val="List Dash 3 (Level 3)"/>
    <w:basedOn w:val="Text3"/>
    <w:semiHidden/>
    <w:unhideWhenUsed/>
    <w:pPr>
      <w:numPr>
        <w:ilvl w:val="2"/>
        <w:numId w:val="15"/>
      </w:numPr>
    </w:pPr>
  </w:style>
  <w:style w:type="paragraph" w:customStyle="1" w:styleId="ListDash3Level2">
    <w:name w:val="List Dash 3 (Level 2)"/>
    <w:basedOn w:val="Text3"/>
    <w:pPr>
      <w:numPr>
        <w:ilvl w:val="1"/>
        <w:numId w:val="15"/>
      </w:numPr>
    </w:pPr>
  </w:style>
  <w:style w:type="paragraph" w:customStyle="1" w:styleId="ListDash3">
    <w:name w:val="List Dash 3"/>
    <w:basedOn w:val="Text3"/>
    <w:pPr>
      <w:numPr>
        <w:numId w:val="15"/>
      </w:numPr>
    </w:pPr>
  </w:style>
  <w:style w:type="paragraph" w:customStyle="1" w:styleId="ListDash2Level4">
    <w:name w:val="List Dash 2 (Level 4)"/>
    <w:basedOn w:val="Text2"/>
    <w:semiHidden/>
    <w:unhideWhenUsed/>
    <w:pPr>
      <w:numPr>
        <w:ilvl w:val="3"/>
        <w:numId w:val="14"/>
      </w:numPr>
    </w:pPr>
  </w:style>
  <w:style w:type="paragraph" w:customStyle="1" w:styleId="ListDash2Level3">
    <w:name w:val="List Dash 2 (Level 3)"/>
    <w:basedOn w:val="Text2"/>
    <w:semiHidden/>
    <w:unhideWhenUsed/>
    <w:pPr>
      <w:numPr>
        <w:ilvl w:val="2"/>
        <w:numId w:val="14"/>
      </w:numPr>
    </w:pPr>
  </w:style>
  <w:style w:type="paragraph" w:customStyle="1" w:styleId="ListDash2Level2">
    <w:name w:val="List Dash 2 (Level 2)"/>
    <w:basedOn w:val="Text2"/>
    <w:pPr>
      <w:numPr>
        <w:ilvl w:val="1"/>
        <w:numId w:val="14"/>
      </w:numPr>
    </w:pPr>
  </w:style>
  <w:style w:type="paragraph" w:customStyle="1" w:styleId="ListDash2">
    <w:name w:val="List Dash 2"/>
    <w:basedOn w:val="Text2"/>
    <w:pPr>
      <w:numPr>
        <w:numId w:val="14"/>
      </w:numPr>
    </w:pPr>
  </w:style>
  <w:style w:type="paragraph" w:customStyle="1" w:styleId="ListDash1Level4">
    <w:name w:val="List Dash 1 (Level 4)"/>
    <w:basedOn w:val="Text1"/>
    <w:semiHidden/>
    <w:unhideWhenUsed/>
    <w:pPr>
      <w:numPr>
        <w:ilvl w:val="3"/>
        <w:numId w:val="13"/>
      </w:numPr>
    </w:pPr>
  </w:style>
  <w:style w:type="paragraph" w:customStyle="1" w:styleId="ListDash1Level3">
    <w:name w:val="List Dash 1 (Level 3)"/>
    <w:basedOn w:val="Text1"/>
    <w:semiHidden/>
    <w:unhideWhenUsed/>
    <w:pPr>
      <w:numPr>
        <w:ilvl w:val="2"/>
        <w:numId w:val="13"/>
      </w:numPr>
    </w:pPr>
  </w:style>
  <w:style w:type="paragraph" w:customStyle="1" w:styleId="ListDash1Level2">
    <w:name w:val="List Dash 1 (Level 2)"/>
    <w:basedOn w:val="Text1"/>
    <w:pPr>
      <w:numPr>
        <w:ilvl w:val="1"/>
        <w:numId w:val="13"/>
      </w:numPr>
    </w:pPr>
  </w:style>
  <w:style w:type="paragraph" w:customStyle="1" w:styleId="ListDash1">
    <w:name w:val="List Dash 1"/>
    <w:basedOn w:val="Text1"/>
    <w:pPr>
      <w:numPr>
        <w:numId w:val="13"/>
      </w:numPr>
    </w:pPr>
  </w:style>
  <w:style w:type="paragraph" w:customStyle="1" w:styleId="ListDashLevel4">
    <w:name w:val="List Dash (Level 4)"/>
    <w:basedOn w:val="Normal"/>
    <w:unhideWhenUsed/>
    <w:pPr>
      <w:numPr>
        <w:ilvl w:val="3"/>
        <w:numId w:val="12"/>
      </w:numPr>
    </w:pPr>
  </w:style>
  <w:style w:type="paragraph" w:customStyle="1" w:styleId="ListDashLevel3">
    <w:name w:val="List Dash (Level 3)"/>
    <w:basedOn w:val="Normal"/>
    <w:unhideWhenUsed/>
  </w:style>
  <w:style w:type="paragraph" w:customStyle="1" w:styleId="ListDashLevel2">
    <w:name w:val="List Dash (Level 2)"/>
    <w:basedOn w:val="Normal"/>
    <w:pPr>
      <w:numPr>
        <w:ilvl w:val="1"/>
        <w:numId w:val="12"/>
      </w:numPr>
    </w:pPr>
  </w:style>
  <w:style w:type="paragraph" w:customStyle="1" w:styleId="ListDash">
    <w:name w:val="List Dash"/>
    <w:basedOn w:val="Normal"/>
    <w:qFormat/>
    <w:pPr>
      <w:numPr>
        <w:numId w:val="12"/>
      </w:numPr>
    </w:pPr>
  </w:style>
  <w:style w:type="paragraph" w:customStyle="1" w:styleId="ListBullet4Level4">
    <w:name w:val="List Bullet 4 (Level 4)"/>
    <w:basedOn w:val="Text4"/>
    <w:semiHidden/>
    <w:unhideWhenUsed/>
    <w:pPr>
      <w:numPr>
        <w:ilvl w:val="3"/>
        <w:numId w:val="6"/>
      </w:numPr>
    </w:pPr>
  </w:style>
  <w:style w:type="paragraph" w:customStyle="1" w:styleId="ListBullet4Level3">
    <w:name w:val="List Bullet 4 (Level 3)"/>
    <w:basedOn w:val="Text4"/>
    <w:semiHidden/>
    <w:unhideWhenUsed/>
    <w:pPr>
      <w:numPr>
        <w:ilvl w:val="2"/>
        <w:numId w:val="6"/>
      </w:numPr>
    </w:pPr>
  </w:style>
  <w:style w:type="paragraph" w:customStyle="1" w:styleId="ListBullet4Level2">
    <w:name w:val="List Bullet 4 (Level 2)"/>
    <w:basedOn w:val="Text4"/>
    <w:pPr>
      <w:numPr>
        <w:ilvl w:val="1"/>
        <w:numId w:val="6"/>
      </w:numPr>
    </w:pPr>
  </w:style>
  <w:style w:type="paragraph" w:styleId="ListBullet4">
    <w:name w:val="List Bullet 4"/>
    <w:basedOn w:val="Text4"/>
    <w:pPr>
      <w:numPr>
        <w:numId w:val="6"/>
      </w:numPr>
    </w:pPr>
  </w:style>
  <w:style w:type="paragraph" w:customStyle="1" w:styleId="ListBullet3Level4">
    <w:name w:val="List Bullet 3 (Level 4)"/>
    <w:basedOn w:val="Text3"/>
    <w:semiHidden/>
    <w:unhideWhenUsed/>
    <w:pPr>
      <w:numPr>
        <w:ilvl w:val="3"/>
        <w:numId w:val="5"/>
      </w:numPr>
    </w:pPr>
  </w:style>
  <w:style w:type="paragraph" w:customStyle="1" w:styleId="ListBullet3Level3">
    <w:name w:val="List Bullet 3 (Level 3)"/>
    <w:basedOn w:val="Text3"/>
    <w:semiHidden/>
    <w:unhideWhenUsed/>
    <w:pPr>
      <w:numPr>
        <w:ilvl w:val="2"/>
        <w:numId w:val="5"/>
      </w:numPr>
    </w:pPr>
  </w:style>
  <w:style w:type="paragraph" w:customStyle="1" w:styleId="ListBullet3Level2">
    <w:name w:val="List Bullet 3 (Level 2)"/>
    <w:basedOn w:val="Text3"/>
    <w:pPr>
      <w:numPr>
        <w:ilvl w:val="1"/>
        <w:numId w:val="5"/>
      </w:numPr>
    </w:pPr>
  </w:style>
  <w:style w:type="paragraph" w:styleId="ListBullet3">
    <w:name w:val="List Bullet 3"/>
    <w:basedOn w:val="Text3"/>
    <w:pPr>
      <w:numPr>
        <w:numId w:val="5"/>
      </w:numPr>
    </w:pPr>
  </w:style>
  <w:style w:type="paragraph" w:customStyle="1" w:styleId="ListBullet2Level4">
    <w:name w:val="List Bullet 2 (Level 4)"/>
    <w:basedOn w:val="Text2"/>
    <w:unhideWhenUsed/>
    <w:pPr>
      <w:numPr>
        <w:ilvl w:val="3"/>
        <w:numId w:val="4"/>
      </w:numPr>
    </w:pPr>
  </w:style>
  <w:style w:type="paragraph" w:customStyle="1" w:styleId="ListBullet2Level3">
    <w:name w:val="List Bullet 2 (Level 3)"/>
    <w:basedOn w:val="Text2"/>
    <w:unhideWhenUsed/>
    <w:pPr>
      <w:numPr>
        <w:ilvl w:val="2"/>
        <w:numId w:val="4"/>
      </w:numPr>
    </w:pPr>
  </w:style>
  <w:style w:type="paragraph" w:customStyle="1" w:styleId="ListBullet2Level2">
    <w:name w:val="List Bullet 2 (Level 2)"/>
    <w:basedOn w:val="Text2"/>
    <w:pPr>
      <w:numPr>
        <w:ilvl w:val="1"/>
        <w:numId w:val="4"/>
      </w:numPr>
    </w:pPr>
  </w:style>
  <w:style w:type="paragraph" w:styleId="ListBullet2">
    <w:name w:val="List Bullet 2"/>
    <w:basedOn w:val="Text2"/>
    <w:pPr>
      <w:numPr>
        <w:numId w:val="4"/>
      </w:numPr>
    </w:pPr>
  </w:style>
  <w:style w:type="paragraph" w:customStyle="1" w:styleId="ListBullet1Level4">
    <w:name w:val="List Bullet 1 (Level 4)"/>
    <w:basedOn w:val="Text1"/>
    <w:semiHidden/>
    <w:unhideWhenUsed/>
    <w:pPr>
      <w:numPr>
        <w:ilvl w:val="3"/>
        <w:numId w:val="3"/>
      </w:numPr>
    </w:pPr>
  </w:style>
  <w:style w:type="paragraph" w:customStyle="1" w:styleId="ListBullet1Level3">
    <w:name w:val="List Bullet 1 (Level 3)"/>
    <w:basedOn w:val="Text1"/>
    <w:semiHidden/>
    <w:unhideWhenUsed/>
    <w:pPr>
      <w:numPr>
        <w:ilvl w:val="2"/>
        <w:numId w:val="3"/>
      </w:numPr>
    </w:pPr>
  </w:style>
  <w:style w:type="paragraph" w:customStyle="1" w:styleId="ListBullet1Level2">
    <w:name w:val="List Bullet 1 (Level 2)"/>
    <w:basedOn w:val="Text1"/>
    <w:pPr>
      <w:numPr>
        <w:ilvl w:val="1"/>
        <w:numId w:val="3"/>
      </w:numPr>
    </w:pPr>
  </w:style>
  <w:style w:type="paragraph" w:customStyle="1" w:styleId="ListBullet1">
    <w:name w:val="List Bullet 1"/>
    <w:basedOn w:val="Text1"/>
    <w:pPr>
      <w:numPr>
        <w:numId w:val="3"/>
      </w:numPr>
    </w:pPr>
  </w:style>
  <w:style w:type="paragraph" w:customStyle="1" w:styleId="ListBulletLevel4">
    <w:name w:val="List Bullet (Level 4)"/>
    <w:basedOn w:val="Text1"/>
    <w:unhideWhenUsed/>
    <w:pPr>
      <w:ind w:left="0"/>
    </w:pPr>
  </w:style>
  <w:style w:type="paragraph" w:customStyle="1" w:styleId="ListBulletLevel3">
    <w:name w:val="List Bullet (Level 3)"/>
    <w:basedOn w:val="Text1"/>
    <w:unhideWhenUsed/>
    <w:pPr>
      <w:ind w:left="0"/>
    </w:pPr>
  </w:style>
  <w:style w:type="paragraph" w:customStyle="1" w:styleId="ListBulletLevel2">
    <w:name w:val="List Bullet (Level 2)"/>
    <w:basedOn w:val="Text1"/>
    <w:pPr>
      <w:ind w:left="0"/>
    </w:pPr>
  </w:style>
  <w:style w:type="paragraph" w:styleId="ListBullet">
    <w:name w:val="List Bullet"/>
    <w:basedOn w:val="Normal"/>
    <w:qFormat/>
  </w:style>
  <w:style w:type="paragraph" w:styleId="TOC9">
    <w:name w:val="toc 9"/>
    <w:basedOn w:val="Normal"/>
    <w:next w:val="Normal"/>
    <w:pPr>
      <w:tabs>
        <w:tab w:val="right" w:leader="dot" w:pos="8640"/>
      </w:tabs>
    </w:pPr>
  </w:style>
  <w:style w:type="paragraph" w:styleId="TOC8">
    <w:name w:val="toc 8"/>
    <w:basedOn w:val="Normal"/>
    <w:next w:val="Normal"/>
    <w:pPr>
      <w:tabs>
        <w:tab w:val="right" w:leader="dot" w:pos="8640"/>
      </w:tabs>
    </w:pPr>
  </w:style>
  <w:style w:type="paragraph" w:styleId="TOC7">
    <w:name w:val="toc 7"/>
    <w:basedOn w:val="Normal"/>
    <w:next w:val="Normal"/>
    <w:pPr>
      <w:tabs>
        <w:tab w:val="right" w:leader="dot" w:pos="8640"/>
      </w:tabs>
    </w:pPr>
  </w:style>
  <w:style w:type="paragraph" w:styleId="TOC6">
    <w:name w:val="toc 6"/>
    <w:basedOn w:val="Normal"/>
    <w:next w:val="Normal"/>
    <w:pPr>
      <w:tabs>
        <w:tab w:val="right" w:leader="dot" w:pos="8640"/>
        <w:tab w:val="left" w:pos="2880"/>
      </w:tabs>
      <w:spacing w:before="120" w:after="120"/>
      <w:ind w:left="1916" w:right="720" w:hanging="1916"/>
    </w:pPr>
    <w:rPr>
      <w:caps/>
    </w:rPr>
  </w:style>
  <w:style w:type="paragraph" w:styleId="TOC5">
    <w:name w:val="toc 5"/>
    <w:basedOn w:val="Normal"/>
    <w:next w:val="Normal"/>
    <w:pPr>
      <w:tabs>
        <w:tab w:val="right" w:leader="dot" w:pos="8640"/>
      </w:tabs>
      <w:spacing w:before="240" w:after="120"/>
      <w:ind w:right="720"/>
    </w:pPr>
    <w:rPr>
      <w:caps/>
    </w:rPr>
  </w:style>
  <w:style w:type="paragraph" w:styleId="TOC4">
    <w:name w:val="toc 4"/>
    <w:basedOn w:val="Normal"/>
    <w:next w:val="Normal"/>
    <w:uiPriority w:val="9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spacing w:after="480"/>
      <w:outlineLvl w:val="0"/>
    </w:pPr>
    <w:rPr>
      <w:b/>
      <w:sz w:val="32"/>
    </w:rPr>
  </w:style>
  <w:style w:type="paragraph" w:styleId="Title">
    <w:name w:val="Title"/>
    <w:basedOn w:val="Normal"/>
    <w:next w:val="Normal"/>
    <w:link w:val="TitleChar"/>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character" w:customStyle="1" w:styleId="FooterChar">
    <w:name w:val="Footer Char"/>
    <w:basedOn w:val="DefaultParagraphFont"/>
    <w:link w:val="Footer"/>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90"/>
  </w:style>
  <w:style w:type="table" w:styleId="TableGrid">
    <w:name w:val="Table Grid"/>
    <w:aliases w:val="Document Table,CV1,Check(v),Deloitte"/>
    <w:basedOn w:val="TableNormal"/>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val="fr-BE"/>
    </w:rPr>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0"/>
      </w:numPr>
    </w:pPr>
  </w:style>
  <w:style w:type="numbering" w:customStyle="1" w:styleId="NumbListNumb">
    <w:name w:val="NumbListNumb"/>
    <w:uiPriority w:val="99"/>
    <w:pPr>
      <w:numPr>
        <w:numId w:val="21"/>
      </w:numPr>
    </w:pPr>
  </w:style>
  <w:style w:type="paragraph" w:customStyle="1" w:styleId="Bullet1">
    <w:name w:val="Bullet 1"/>
    <w:basedOn w:val="Normal"/>
    <w:link w:val="Bullet1Char"/>
    <w:uiPriority w:val="19"/>
    <w:qFormat/>
    <w:pPr>
      <w:numPr>
        <w:numId w:val="22"/>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styleId="BodyText">
    <w:name w:val="Body Text"/>
    <w:basedOn w:val="Normal"/>
    <w:link w:val="BodyTextChar"/>
    <w:qFormat/>
    <w:locked/>
    <w:pPr>
      <w:spacing w:after="120" w:line="259" w:lineRule="auto"/>
    </w:pPr>
    <w:rPr>
      <w:rFonts w:ascii="Georgia" w:hAnsi="Georgia"/>
      <w:sz w:val="20"/>
      <w:szCs w:val="22"/>
      <w:lang w:val="fr-BE" w:eastAsia="en-US"/>
    </w:rPr>
  </w:style>
  <w:style w:type="character" w:customStyle="1" w:styleId="BodyTextChar">
    <w:name w:val="Body Text Char"/>
    <w:basedOn w:val="DefaultParagraphFont"/>
    <w:link w:val="BodyText"/>
    <w:rPr>
      <w:rFonts w:ascii="Georgia" w:hAnsi="Georgia"/>
      <w:sz w:val="20"/>
      <w:szCs w:val="22"/>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20"/>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tabs>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20"/>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val="fr-BE" w:eastAsia="en-US"/>
    </w:rPr>
  </w:style>
  <w:style w:type="paragraph" w:styleId="Revision">
    <w:name w:val="Revision"/>
    <w:hidden/>
    <w:semiHidden/>
    <w:locked/>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20" w:line="240" w:lineRule="exact"/>
    </w:pPr>
    <w:rPr>
      <w:vertAlign w:val="superscript"/>
    </w:rPr>
  </w:style>
  <w:style w:type="numbering" w:customStyle="1" w:styleId="NoList1">
    <w:name w:val="No List1"/>
    <w:next w:val="NoList"/>
    <w:uiPriority w:val="99"/>
    <w:semiHidden/>
    <w:unhideWhenUsed/>
  </w:style>
  <w:style w:type="paragraph" w:customStyle="1" w:styleId="FigureSource">
    <w:name w:val="Figure Source"/>
    <w:basedOn w:val="Normal"/>
    <w:next w:val="Normal"/>
    <w:uiPriority w:val="7"/>
    <w:pPr>
      <w:jc w:val="left"/>
    </w:pPr>
    <w:rPr>
      <w:sz w:val="18"/>
      <w:szCs w:val="24"/>
      <w:lang w:eastAsia="zh-CN"/>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jc w:val="left"/>
    </w:pPr>
    <w:rPr>
      <w:szCs w:val="24"/>
      <w:lang w:eastAsia="zh-CN"/>
    </w:rPr>
  </w:style>
  <w:style w:type="paragraph" w:customStyle="1" w:styleId="FigureTitle">
    <w:name w:val="Figure Title"/>
    <w:basedOn w:val="Normal"/>
    <w:next w:val="FigureBody"/>
    <w:uiPriority w:val="6"/>
    <w:pPr>
      <w:keepNext/>
      <w:spacing w:before="120" w:after="0"/>
      <w:jc w:val="left"/>
    </w:pPr>
    <w:rPr>
      <w:b/>
      <w:i/>
      <w:szCs w:val="24"/>
      <w:lang w:eastAsia="zh-CN"/>
    </w:rPr>
  </w:style>
  <w:style w:type="paragraph" w:customStyle="1" w:styleId="HistoryTable">
    <w:name w:val="HistoryTable"/>
    <w:basedOn w:val="Normal"/>
    <w:pPr>
      <w:spacing w:before="60" w:after="60"/>
      <w:jc w:val="left"/>
    </w:pPr>
    <w:rPr>
      <w:sz w:val="20"/>
      <w:szCs w:val="24"/>
      <w:lang w:eastAsia="zh-CN"/>
    </w:rPr>
  </w:style>
  <w:style w:type="paragraph" w:customStyle="1" w:styleId="HistTableHeading">
    <w:name w:val="HistTableHeading"/>
    <w:basedOn w:val="Normal"/>
    <w:next w:val="HistoryTable"/>
    <w:pPr>
      <w:spacing w:after="0"/>
      <w:jc w:val="center"/>
    </w:pPr>
    <w:rPr>
      <w:rFonts w:ascii="Times New Roman Bold" w:hAnsi="Times New Roman Bold"/>
      <w:b/>
      <w:sz w:val="32"/>
      <w:szCs w:val="24"/>
      <w:lang w:eastAsia="zh-CN"/>
    </w:rPr>
  </w:style>
  <w:style w:type="paragraph" w:customStyle="1" w:styleId="TableText">
    <w:name w:val="Table Text"/>
    <w:basedOn w:val="Normal"/>
    <w:uiPriority w:val="90"/>
    <w:qFormat/>
    <w:pPr>
      <w:spacing w:before="60" w:after="60"/>
      <w:jc w:val="left"/>
    </w:pPr>
    <w:rPr>
      <w:szCs w:val="24"/>
      <w:lang w:eastAsia="zh-CN"/>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szCs w:val="24"/>
      <w:lang w:eastAsia="zh-CN"/>
    </w:rPr>
  </w:style>
  <w:style w:type="paragraph" w:customStyle="1" w:styleId="ChapterTitle">
    <w:name w:val="ChapterTitle"/>
    <w:basedOn w:val="Normal"/>
    <w:next w:val="SectionTitle"/>
    <w:uiPriority w:val="90"/>
    <w:qFormat/>
    <w:pPr>
      <w:keepNext/>
      <w:spacing w:before="720" w:after="360"/>
      <w:jc w:val="center"/>
      <w:outlineLvl w:val="0"/>
    </w:pPr>
    <w:rPr>
      <w:b/>
      <w:sz w:val="36"/>
      <w:szCs w:val="24"/>
      <w:lang w:eastAsia="zh-CN"/>
    </w:rPr>
  </w:style>
  <w:style w:type="paragraph" w:customStyle="1" w:styleId="PartTitle">
    <w:name w:val="PartTitle"/>
    <w:basedOn w:val="Normal"/>
    <w:next w:val="ChapterTitle"/>
    <w:uiPriority w:val="90"/>
    <w:qFormat/>
    <w:pPr>
      <w:keepNext/>
      <w:pageBreakBefore/>
      <w:spacing w:before="720" w:after="360"/>
      <w:jc w:val="center"/>
      <w:outlineLvl w:val="0"/>
    </w:pPr>
    <w:rPr>
      <w:b/>
      <w:sz w:val="40"/>
      <w:szCs w:val="24"/>
      <w:lang w:eastAsia="zh-CN"/>
    </w:rPr>
  </w:style>
  <w:style w:type="paragraph" w:customStyle="1" w:styleId="FITTable">
    <w:name w:val="FIT Table"/>
    <w:basedOn w:val="Normal"/>
    <w:pPr>
      <w:spacing w:before="60" w:after="60"/>
      <w:jc w:val="left"/>
    </w:pPr>
    <w:rPr>
      <w:szCs w:val="24"/>
      <w:lang w:eastAsia="zh-CN"/>
    </w:rPr>
  </w:style>
  <w:style w:type="paragraph" w:customStyle="1" w:styleId="SubTitle2">
    <w:name w:val="SubTitle 2"/>
    <w:basedOn w:val="Normal"/>
    <w:pPr>
      <w:spacing w:after="280"/>
      <w:jc w:val="center"/>
    </w:pPr>
    <w:rPr>
      <w:b/>
      <w:sz w:val="32"/>
      <w:szCs w:val="24"/>
      <w:lang w:eastAsia="zh-CN"/>
    </w:rPr>
  </w:style>
  <w:style w:type="paragraph" w:customStyle="1" w:styleId="SubTitle1">
    <w:name w:val="SubTitle 1"/>
    <w:basedOn w:val="Normal"/>
    <w:next w:val="Normal"/>
    <w:pPr>
      <w:spacing w:before="360" w:after="2000"/>
      <w:jc w:val="center"/>
    </w:pPr>
    <w:rPr>
      <w:b/>
      <w:sz w:val="40"/>
      <w:szCs w:val="24"/>
      <w:lang w:eastAsia="zh-CN"/>
    </w:rPr>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zh-CN"/>
    </w:rPr>
  </w:style>
  <w:style w:type="paragraph" w:customStyle="1" w:styleId="Glossary">
    <w:name w:val="Glossary"/>
    <w:basedOn w:val="Normal"/>
    <w:uiPriority w:val="90"/>
    <w:qFormat/>
    <w:pPr>
      <w:tabs>
        <w:tab w:val="left" w:pos="2835"/>
      </w:tabs>
      <w:spacing w:after="0"/>
      <w:ind w:left="2835" w:hanging="2835"/>
      <w:jc w:val="left"/>
    </w:pPr>
    <w:rPr>
      <w:szCs w:val="24"/>
      <w:lang w:eastAsia="zh-CN"/>
    </w:rPr>
  </w:style>
  <w:style w:type="paragraph" w:customStyle="1" w:styleId="Citation">
    <w:name w:val="Citation"/>
    <w:basedOn w:val="Normal"/>
    <w:link w:val="CitationChar"/>
    <w:uiPriority w:val="90"/>
    <w:qFormat/>
    <w:pPr>
      <w:spacing w:after="0"/>
      <w:ind w:left="454" w:right="454"/>
      <w:jc w:val="left"/>
    </w:pPr>
    <w:rPr>
      <w:i/>
      <w:szCs w:val="24"/>
      <w:lang w:eastAsia="zh-CN"/>
    </w:rPr>
  </w:style>
  <w:style w:type="character" w:customStyle="1" w:styleId="CitationChar">
    <w:name w:val="Citation Char"/>
    <w:link w:val="Citation"/>
    <w:uiPriority w:val="90"/>
    <w:qFormat/>
    <w:rPr>
      <w:i/>
      <w:szCs w:val="24"/>
      <w:lang w:eastAsia="zh-CN"/>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Deloitte1">
    <w:name w:val="Deloitte1"/>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1Char">
    <w:name w:val="Title 01 Char"/>
    <w:basedOn w:val="DefaultParagraphFont"/>
    <w:link w:val="Title01"/>
    <w:locked/>
    <w:rPr>
      <w:b/>
      <w:color w:val="164194"/>
      <w:sz w:val="22"/>
      <w:szCs w:val="22"/>
      <w:lang w:eastAsia="en-US"/>
    </w:rPr>
  </w:style>
  <w:style w:type="paragraph" w:customStyle="1" w:styleId="Title01">
    <w:name w:val="Title 01"/>
    <w:basedOn w:val="Normal"/>
    <w:link w:val="Title01Char"/>
    <w:qFormat/>
    <w:pPr>
      <w:spacing w:before="240" w:after="120"/>
      <w:jc w:val="left"/>
    </w:pPr>
    <w:rPr>
      <w:b/>
      <w:color w:val="164194"/>
      <w:sz w:val="22"/>
      <w:szCs w:val="22"/>
      <w:lang w:eastAsia="en-US"/>
    </w:rPr>
  </w:style>
  <w:style w:type="character" w:customStyle="1" w:styleId="Title02Char">
    <w:name w:val="Title 02 Char"/>
    <w:basedOn w:val="DefaultParagraphFont"/>
    <w:link w:val="Title02"/>
    <w:locked/>
    <w:rPr>
      <w:rFonts w:ascii="Arial" w:hAnsi="Arial" w:cs="Arial"/>
      <w:b/>
      <w:color w:val="E49A06"/>
      <w:sz w:val="28"/>
      <w:szCs w:val="28"/>
      <w:lang w:val="en-US" w:eastAsia="en-US"/>
    </w:rPr>
  </w:style>
  <w:style w:type="paragraph" w:customStyle="1" w:styleId="Title02">
    <w:name w:val="Title 02"/>
    <w:basedOn w:val="Normal"/>
    <w:link w:val="Title02Char"/>
    <w:qFormat/>
    <w:pPr>
      <w:spacing w:after="0"/>
      <w:jc w:val="left"/>
    </w:pPr>
    <w:rPr>
      <w:rFonts w:ascii="Arial" w:hAnsi="Arial" w:cs="Arial"/>
      <w:b/>
      <w:color w:val="E49A06"/>
      <w:sz w:val="28"/>
      <w:szCs w:val="28"/>
      <w:lang w:val="en-US" w:eastAsia="en-US"/>
    </w:rPr>
  </w:style>
  <w:style w:type="paragraph" w:styleId="NormalWeb">
    <w:name w:val="Normal (Web)"/>
    <w:basedOn w:val="Normal"/>
    <w:uiPriority w:val="99"/>
    <w:unhideWhenUsed/>
    <w:locked/>
    <w:pPr>
      <w:spacing w:before="100" w:beforeAutospacing="1" w:after="100" w:afterAutospacing="1"/>
      <w:jc w:val="left"/>
    </w:pPr>
    <w:rPr>
      <w:rFonts w:eastAsiaTheme="minorEastAsia"/>
      <w:szCs w:val="24"/>
      <w:lang w:val="fr-BE"/>
    </w:rPr>
  </w:style>
  <w:style w:type="numbering" w:customStyle="1" w:styleId="NumLstTableBullet">
    <w:name w:val="NumLstTableBullet"/>
    <w:uiPriority w:val="99"/>
    <w:pPr>
      <w:numPr>
        <w:numId w:val="24"/>
      </w:numPr>
    </w:pPr>
  </w:style>
  <w:style w:type="numbering" w:customStyle="1" w:styleId="NumbListNumb1">
    <w:name w:val="NumbListNumb1"/>
    <w:uiPriority w:val="99"/>
    <w:pPr>
      <w:numPr>
        <w:numId w:val="25"/>
      </w:numPr>
    </w:pPr>
  </w:style>
  <w:style w:type="paragraph" w:customStyle="1" w:styleId="Tablebullet1">
    <w:name w:val="Table bullet 1"/>
    <w:basedOn w:val="Normal"/>
    <w:link w:val="Tablebullet1Char"/>
    <w:uiPriority w:val="41"/>
    <w:qFormat/>
    <w:pPr>
      <w:framePr w:hSpace="180" w:wrap="around" w:vAnchor="text" w:hAnchor="text" w:y="1"/>
      <w:numPr>
        <w:numId w:val="25"/>
      </w:numPr>
      <w:tabs>
        <w:tab w:val="clear" w:pos="227"/>
      </w:tabs>
      <w:spacing w:before="60" w:after="80"/>
      <w:ind w:left="340" w:hanging="340"/>
      <w:suppressOverlap/>
      <w:jc w:val="left"/>
    </w:pPr>
    <w:rPr>
      <w:rFonts w:eastAsiaTheme="minorHAnsi"/>
      <w:color w:val="000000" w:themeColor="text1"/>
      <w:kern w:val="16"/>
      <w:sz w:val="18"/>
      <w:szCs w:val="18"/>
      <w:lang w:eastAsia="en-US"/>
    </w:rPr>
  </w:style>
  <w:style w:type="paragraph" w:customStyle="1" w:styleId="Tablebullet2">
    <w:name w:val="Table bullet 2"/>
    <w:basedOn w:val="Normal"/>
    <w:link w:val="Tablebullet2Char"/>
    <w:uiPriority w:val="41"/>
    <w:qFormat/>
    <w:pPr>
      <w:numPr>
        <w:ilvl w:val="1"/>
        <w:numId w:val="25"/>
      </w:numPr>
      <w:tabs>
        <w:tab w:val="clear" w:pos="340"/>
        <w:tab w:val="num" w:pos="643"/>
      </w:tabs>
      <w:spacing w:before="60" w:after="80"/>
      <w:ind w:left="680" w:hanging="340"/>
      <w:jc w:val="left"/>
    </w:pPr>
    <w:rPr>
      <w:rFonts w:ascii="Georgia" w:eastAsiaTheme="minorHAnsi" w:hAnsi="Georgia" w:cstheme="minorBidi"/>
      <w:kern w:val="16"/>
      <w:sz w:val="16"/>
      <w:szCs w:val="24"/>
      <w:lang w:eastAsia="en-US"/>
    </w:rPr>
  </w:style>
  <w:style w:type="paragraph" w:customStyle="1" w:styleId="Tablebullet3">
    <w:name w:val="Table bullet 3"/>
    <w:basedOn w:val="Normal"/>
    <w:link w:val="Tablebullet3Char"/>
    <w:uiPriority w:val="41"/>
    <w:qFormat/>
    <w:pPr>
      <w:numPr>
        <w:ilvl w:val="2"/>
        <w:numId w:val="25"/>
      </w:numPr>
      <w:tabs>
        <w:tab w:val="clear" w:pos="454"/>
        <w:tab w:val="num" w:pos="643"/>
      </w:tabs>
      <w:spacing w:before="60" w:after="80"/>
      <w:ind w:left="1021" w:hanging="341"/>
      <w:jc w:val="left"/>
    </w:pPr>
    <w:rPr>
      <w:rFonts w:ascii="Georgia" w:eastAsiaTheme="minorHAnsi" w:hAnsi="Georgia" w:cstheme="minorBidi"/>
      <w:kern w:val="16"/>
      <w:sz w:val="16"/>
      <w:szCs w:val="24"/>
      <w:lang w:eastAsia="en-US"/>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US"/>
    </w:rPr>
  </w:style>
  <w:style w:type="paragraph" w:customStyle="1" w:styleId="Tabletext0">
    <w:name w:val="Table text"/>
    <w:aliases w:val="ttx,F12 Table and Box Text"/>
    <w:basedOn w:val="BodyText"/>
    <w:link w:val="TabletextChar"/>
    <w:uiPriority w:val="39"/>
    <w:qFormat/>
    <w:pPr>
      <w:spacing w:after="0" w:line="240" w:lineRule="auto"/>
      <w:jc w:val="left"/>
    </w:pPr>
    <w:rPr>
      <w:sz w:val="16"/>
      <w:szCs w:val="24"/>
      <w:lang w:val="en-GB"/>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
    <w:name w:val="NumbListMain"/>
    <w:uiPriority w:val="99"/>
    <w:pPr>
      <w:numPr>
        <w:numId w:val="56"/>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pPr>
      <w:numPr>
        <w:numId w:val="26"/>
      </w:numPr>
    </w:pPr>
  </w:style>
  <w:style w:type="paragraph" w:customStyle="1" w:styleId="Bullet2">
    <w:name w:val="Bullet 2"/>
    <w:basedOn w:val="Normal"/>
    <w:link w:val="Bullet2Char"/>
    <w:uiPriority w:val="19"/>
    <w:qFormat/>
    <w:pPr>
      <w:tabs>
        <w:tab w:val="num" w:pos="595"/>
        <w:tab w:val="num" w:pos="907"/>
      </w:tabs>
      <w:spacing w:after="80" w:line="259" w:lineRule="auto"/>
      <w:ind w:left="595" w:hanging="595"/>
      <w:jc w:val="left"/>
    </w:pPr>
    <w:rPr>
      <w:rFonts w:asciiTheme="minorHAnsi" w:eastAsiaTheme="minorHAnsi" w:hAnsiTheme="minorHAnsi" w:cstheme="minorBidi"/>
      <w:sz w:val="20"/>
      <w:szCs w:val="24"/>
      <w:lang w:eastAsia="en-US"/>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jc w:val="left"/>
    </w:pPr>
    <w:rPr>
      <w:rFonts w:asciiTheme="minorHAnsi" w:eastAsiaTheme="minorHAnsi" w:hAnsiTheme="minorHAnsi" w:cstheme="minorBidi"/>
      <w:sz w:val="20"/>
      <w:szCs w:val="24"/>
      <w:lang w:eastAsia="en-US"/>
    </w:rPr>
  </w:style>
  <w:style w:type="character" w:styleId="PageNumber">
    <w:name w:val="page number"/>
    <w:basedOn w:val="DefaultParagraphFont"/>
    <w:uiPriority w:val="99"/>
    <w:semiHidden/>
    <w:locked/>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US"/>
    </w:rPr>
  </w:style>
  <w:style w:type="character" w:customStyle="1" w:styleId="apple-converted-space">
    <w:name w:val="apple-converted-space"/>
    <w:basedOn w:val="DefaultParagraphFont"/>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iPriority w:val="37"/>
    <w:unhideWhenUsed/>
    <w:locked/>
    <w:pPr>
      <w:spacing w:after="0"/>
      <w:jc w:val="left"/>
    </w:pPr>
    <w:rPr>
      <w:rFonts w:asciiTheme="minorHAnsi" w:eastAsiaTheme="minorHAnsi" w:hAnsiTheme="minorHAnsi" w:cstheme="minorBidi"/>
      <w:szCs w:val="24"/>
      <w:lang w:eastAsia="en-US"/>
    </w:rPr>
  </w:style>
  <w:style w:type="paragraph" w:customStyle="1" w:styleId="msonormal0">
    <w:name w:val="msonormal"/>
    <w:basedOn w:val="Normal"/>
    <w:pPr>
      <w:spacing w:before="100" w:beforeAutospacing="1" w:after="100" w:afterAutospacing="1"/>
      <w:jc w:val="left"/>
    </w:pPr>
    <w:rPr>
      <w:szCs w:val="24"/>
      <w:lang w:eastAsia="zh-C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zh-CN"/>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zh-CN"/>
    </w:rPr>
  </w:style>
  <w:style w:type="paragraph" w:customStyle="1" w:styleId="xl67">
    <w:name w:val="xl67"/>
    <w:basedOn w:val="Normal"/>
    <w:pPr>
      <w:spacing w:before="100" w:beforeAutospacing="1" w:after="100" w:afterAutospacing="1"/>
      <w:jc w:val="left"/>
    </w:pPr>
    <w:rPr>
      <w:szCs w:val="24"/>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zh-CN"/>
    </w:rPr>
  </w:style>
  <w:style w:type="paragraph" w:customStyle="1" w:styleId="xl69">
    <w:name w:val="xl69"/>
    <w:basedOn w:val="Normal"/>
    <w:pPr>
      <w:pBdr>
        <w:bottom w:val="single" w:sz="4" w:space="0" w:color="auto"/>
        <w:right w:val="single" w:sz="4" w:space="0" w:color="auto"/>
      </w:pBdr>
      <w:spacing w:before="100" w:beforeAutospacing="1" w:after="100" w:afterAutospacing="1"/>
      <w:jc w:val="left"/>
    </w:pPr>
    <w:rPr>
      <w:b/>
      <w:bCs/>
      <w:szCs w:val="24"/>
      <w:lang w:eastAsia="zh-CN"/>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zh-CN"/>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zh-CN"/>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jc w:val="left"/>
    </w:pPr>
    <w:rPr>
      <w:szCs w:val="24"/>
      <w:lang w:eastAsia="zh-CN"/>
    </w:rPr>
  </w:style>
  <w:style w:type="paragraph" w:customStyle="1" w:styleId="xl73">
    <w:name w:val="xl73"/>
    <w:basedOn w:val="Normal"/>
    <w:pPr>
      <w:pBdr>
        <w:top w:val="single" w:sz="4" w:space="0" w:color="auto"/>
        <w:right w:val="single" w:sz="4" w:space="0" w:color="auto"/>
      </w:pBdr>
      <w:spacing w:before="100" w:beforeAutospacing="1" w:after="100" w:afterAutospacing="1"/>
      <w:jc w:val="left"/>
    </w:pPr>
    <w:rPr>
      <w:szCs w:val="24"/>
      <w:lang w:eastAsia="zh-CN"/>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zh-CN"/>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style>
  <w:style w:type="character" w:customStyle="1" w:styleId="Heading9Char">
    <w:name w:val="Heading 9 Char"/>
    <w:basedOn w:val="DefaultParagraphFont"/>
    <w:link w:val="Heading9"/>
    <w:uiPriority w:val="29"/>
    <w:semiHidden/>
  </w:style>
  <w:style w:type="character" w:customStyle="1" w:styleId="TitleChar">
    <w:name w:val="Title Char"/>
    <w:basedOn w:val="DefaultParagraphFont"/>
    <w:link w:val="Title"/>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character" w:styleId="Strong">
    <w:name w:val="Strong"/>
    <w:basedOn w:val="DefaultParagraphFont"/>
    <w:uiPriority w:val="22"/>
    <w:qFormat/>
    <w:locked/>
    <w:rPr>
      <w:b/>
      <w:bCs/>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paragraph" w:customStyle="1" w:styleId="TableListBullet">
    <w:name w:val="Table List Bullet"/>
    <w:basedOn w:val="BodyText"/>
    <w:qFormat/>
    <w:pPr>
      <w:numPr>
        <w:numId w:val="27"/>
      </w:numPr>
      <w:spacing w:before="60" w:after="60" w:line="240" w:lineRule="auto"/>
    </w:pPr>
    <w:rPr>
      <w:rFonts w:ascii="Times New Roman" w:hAnsi="Times New Roman"/>
      <w:sz w:val="18"/>
      <w:szCs w:val="16"/>
      <w:lang w:val="en-US" w:eastAsia="en-GB"/>
    </w:rPr>
  </w:style>
  <w:style w:type="numbering" w:customStyle="1" w:styleId="NumbListAppendix1">
    <w:name w:val="NumbListAppendix1"/>
    <w:uiPriority w:val="99"/>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30"/>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Source">
    <w:name w:val="Source"/>
    <w:basedOn w:val="BodyText"/>
    <w:next w:val="BodyText"/>
    <w:link w:val="SourceChar"/>
    <w:uiPriority w:val="42"/>
    <w:qFormat/>
    <w:pPr>
      <w:spacing w:after="360" w:line="240" w:lineRule="auto"/>
    </w:pPr>
    <w:rPr>
      <w:color w:val="44546A" w:themeColor="text2"/>
      <w:sz w:val="18"/>
      <w:szCs w:val="16"/>
      <w:lang w:val="en-US" w:eastAsia="en-GB"/>
    </w:rPr>
  </w:style>
  <w:style w:type="character" w:customStyle="1" w:styleId="SourceChar">
    <w:name w:val="Source Char"/>
    <w:basedOn w:val="BodyTextChar"/>
    <w:link w:val="Source"/>
    <w:uiPriority w:val="42"/>
    <w:rPr>
      <w:rFonts w:ascii="Georgia" w:hAnsi="Georgia"/>
      <w:color w:val="44546A" w:themeColor="text2"/>
      <w:sz w:val="18"/>
      <w:szCs w:val="16"/>
      <w:lang w:val="en-US" w:eastAsia="en-GB"/>
    </w:rPr>
  </w:style>
  <w:style w:type="paragraph" w:customStyle="1" w:styleId="Tablenumber1">
    <w:name w:val="Table number 1"/>
    <w:basedOn w:val="Normal"/>
    <w:link w:val="Tablenumber1Char"/>
    <w:autoRedefine/>
    <w:uiPriority w:val="41"/>
    <w:qFormat/>
    <w:pPr>
      <w:numPr>
        <w:numId w:val="30"/>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link w:val="Tablenumber2Char"/>
    <w:uiPriority w:val="41"/>
    <w:qFormat/>
    <w:pPr>
      <w:numPr>
        <w:ilvl w:val="1"/>
      </w:numPr>
      <w:ind w:left="576" w:hanging="576"/>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lang w:val="en-US"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US"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val="en-US"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val="en-US"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val="en-US" w:eastAsia="en-GB"/>
    </w:rPr>
  </w:style>
  <w:style w:type="character" w:customStyle="1" w:styleId="BodyText2Char">
    <w:name w:val="Body Text 2 Char"/>
    <w:basedOn w:val="DefaultParagraphFont"/>
    <w:link w:val="BodyText2"/>
    <w:uiPriority w:val="99"/>
    <w:semiHidden/>
    <w:rPr>
      <w:rFonts w:eastAsiaTheme="minorEastAsia"/>
      <w:sz w:val="20"/>
      <w:szCs w:val="16"/>
      <w:lang w:val="en-US" w:eastAsia="en-GB"/>
    </w:rPr>
  </w:style>
  <w:style w:type="paragraph" w:styleId="BodyText3">
    <w:name w:val="Body Text 3"/>
    <w:basedOn w:val="Normal"/>
    <w:link w:val="BodyText3Char"/>
    <w:uiPriority w:val="99"/>
    <w:semiHidden/>
    <w:unhideWhenUsed/>
    <w:locked/>
    <w:pPr>
      <w:spacing w:after="120"/>
    </w:pPr>
    <w:rPr>
      <w:rFonts w:eastAsiaTheme="minorEastAsia"/>
      <w:sz w:val="20"/>
      <w:szCs w:val="16"/>
      <w:lang w:val="en-US" w:eastAsia="en-GB"/>
    </w:rPr>
  </w:style>
  <w:style w:type="character" w:customStyle="1" w:styleId="BodyText3Char">
    <w:name w:val="Body Text 3 Char"/>
    <w:basedOn w:val="DefaultParagraphFont"/>
    <w:link w:val="BodyText3"/>
    <w:uiPriority w:val="99"/>
    <w:semiHidden/>
    <w:rPr>
      <w:rFonts w:eastAsiaTheme="minorEastAsia"/>
      <w:sz w:val="20"/>
      <w:szCs w:val="16"/>
      <w:lang w:val="en-US" w:eastAsia="en-GB"/>
    </w:rPr>
  </w:style>
  <w:style w:type="paragraph" w:styleId="BodyTextFirstIndent">
    <w:name w:val="Body Text First Indent"/>
    <w:basedOn w:val="BodyText"/>
    <w:link w:val="BodyTextFirstIndentChar"/>
    <w:uiPriority w:val="99"/>
    <w:semiHidden/>
    <w:unhideWhenUsed/>
    <w:locked/>
    <w:pPr>
      <w:spacing w:line="240" w:lineRule="auto"/>
      <w:ind w:firstLine="360"/>
    </w:pPr>
    <w:rPr>
      <w:rFonts w:asciiTheme="minorHAnsi" w:eastAsiaTheme="minorEastAsia" w:hAnsiTheme="minorHAnsi"/>
      <w:sz w:val="22"/>
      <w:szCs w:val="16"/>
      <w:lang w:val="en-US"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US"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val="en-US"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US"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US"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val="en-US"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US"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val="en-US"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US" w:eastAsia="en-GB"/>
    </w:rPr>
  </w:style>
  <w:style w:type="paragraph" w:styleId="NoSpacing">
    <w:name w:val="No Spacing"/>
    <w:basedOn w:val="BodyText"/>
    <w:next w:val="BodyText"/>
    <w:uiPriority w:val="9"/>
    <w:locked/>
    <w:pPr>
      <w:spacing w:line="240" w:lineRule="auto"/>
    </w:pPr>
    <w:rPr>
      <w:rFonts w:asciiTheme="minorHAnsi" w:eastAsiaTheme="minorEastAsia" w:hAnsiTheme="minorHAnsi"/>
      <w:noProof/>
      <w:sz w:val="22"/>
      <w:szCs w:val="16"/>
      <w:lang w:val="nl-NL" w:eastAsia="en-GB"/>
    </w:rPr>
  </w:style>
  <w:style w:type="paragraph" w:customStyle="1" w:styleId="BodytextNospace">
    <w:name w:val="Body text No space"/>
    <w:basedOn w:val="NoSpacing"/>
  </w:style>
  <w:style w:type="character" w:styleId="BookTitle">
    <w:name w:val="Book Title"/>
    <w:basedOn w:val="DefaultParagraphFont"/>
    <w:uiPriority w:val="33"/>
    <w:qFormat/>
    <w:locked/>
    <w:rPr>
      <w:b/>
      <w:bCs/>
      <w:i/>
      <w:iCs/>
      <w:spacing w:val="5"/>
    </w:rPr>
  </w:style>
  <w:style w:type="character" w:styleId="Emphasis">
    <w:name w:val="Emphasis"/>
    <w:basedOn w:val="DefaultParagraphFont"/>
    <w:uiPriority w:val="22"/>
    <w:locked/>
    <w:rPr>
      <w:i/>
      <w:iCs/>
    </w:rPr>
  </w:style>
  <w:style w:type="paragraph" w:customStyle="1" w:styleId="Headline">
    <w:name w:val="Headline"/>
    <w:basedOn w:val="Normal"/>
    <w:next w:val="BodyText"/>
    <w:link w:val="HeadlineChar"/>
    <w:uiPriority w:val="29"/>
    <w:pPr>
      <w:spacing w:before="200" w:after="120"/>
    </w:pPr>
    <w:rPr>
      <w:rFonts w:eastAsiaTheme="minorEastAsia"/>
      <w:b/>
      <w:sz w:val="22"/>
      <w:szCs w:val="16"/>
      <w:lang w:val="en-US" w:eastAsia="en-GB"/>
    </w:rPr>
  </w:style>
  <w:style w:type="character" w:customStyle="1" w:styleId="HeadlineChar">
    <w:name w:val="Headline Char"/>
    <w:basedOn w:val="DefaultParagraphFont"/>
    <w:link w:val="Headline"/>
    <w:uiPriority w:val="29"/>
    <w:rPr>
      <w:rFonts w:eastAsiaTheme="minorEastAsia"/>
      <w:b/>
      <w:sz w:val="22"/>
      <w:szCs w:val="16"/>
      <w:lang w:val="en-US"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val="en-US"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US"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i/>
      <w:iCs/>
      <w:color w:val="404040" w:themeColor="text1" w:themeTint="BF"/>
      <w:sz w:val="20"/>
      <w:szCs w:val="16"/>
      <w:lang w:val="en-US"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US"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eastAsia="en-US"/>
    </w:rPr>
  </w:style>
  <w:style w:type="paragraph" w:customStyle="1" w:styleId="Tablecolumnheader">
    <w:name w:val="Table column header"/>
    <w:basedOn w:val="BodyText"/>
    <w:uiPriority w:val="40"/>
    <w:pPr>
      <w:spacing w:before="60" w:line="240" w:lineRule="auto"/>
    </w:pPr>
    <w:rPr>
      <w:rFonts w:asciiTheme="majorHAnsi" w:hAnsiTheme="majorHAnsi"/>
      <w:sz w:val="16"/>
      <w:szCs w:val="24"/>
      <w:lang w:val="en-US"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val="en-US" w:eastAsia="en-GB"/>
    </w:rPr>
  </w:style>
  <w:style w:type="character" w:customStyle="1" w:styleId="Tablenumber2Char">
    <w:name w:val="Table number 2 Char"/>
    <w:basedOn w:val="Tablenumber1Char"/>
    <w:link w:val="Tablenumber2"/>
    <w:uiPriority w:val="41"/>
    <w:rPr>
      <w:rFonts w:ascii="Georgia" w:hAnsi="Georgia"/>
      <w:kern w:val="16"/>
      <w:sz w:val="16"/>
      <w:szCs w:val="16"/>
      <w:lang w:val="en-US" w:eastAsia="en-GB"/>
    </w:rPr>
  </w:style>
  <w:style w:type="character" w:customStyle="1" w:styleId="Tablenumber3Char">
    <w:name w:val="Table number 3 Char"/>
    <w:basedOn w:val="Tablenumber2Char"/>
    <w:link w:val="Tablenumber3"/>
    <w:uiPriority w:val="41"/>
    <w:rPr>
      <w:rFonts w:ascii="Georgia" w:hAnsi="Georgia"/>
      <w:kern w:val="16"/>
      <w:sz w:val="16"/>
      <w:szCs w:val="16"/>
      <w:lang w:val="en-US"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val="en-US" w:eastAsia="en-GB"/>
    </w:rPr>
  </w:style>
  <w:style w:type="character" w:customStyle="1" w:styleId="TabletextChar">
    <w:name w:val="Table text Char"/>
    <w:aliases w:val="ttx Char"/>
    <w:basedOn w:val="DefaultParagraphFont"/>
    <w:link w:val="Tabletext0"/>
    <w:uiPriority w:val="39"/>
    <w:rPr>
      <w:rFonts w:ascii="Georgia" w:hAnsi="Georgia"/>
      <w:sz w:val="16"/>
      <w:szCs w:val="24"/>
      <w:lang w:eastAsia="en-US"/>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
    <w:name w:val="Table"/>
    <w:basedOn w:val="Normal"/>
    <w:link w:val="TableChar"/>
    <w:qFormat/>
    <w:pPr>
      <w:spacing w:after="160" w:line="259" w:lineRule="auto"/>
    </w:pPr>
    <w:rPr>
      <w:rFonts w:ascii="Georgia" w:eastAsiaTheme="minorEastAsia" w:hAnsi="Georgia"/>
      <w:kern w:val="16"/>
      <w:sz w:val="16"/>
      <w:szCs w:val="16"/>
      <w:lang w:eastAsia="en-GB"/>
    </w:rPr>
  </w:style>
  <w:style w:type="character" w:customStyle="1" w:styleId="TableChar">
    <w:name w:val="Table Char"/>
    <w:basedOn w:val="DefaultParagraphFont"/>
    <w:link w:val="Table"/>
    <w:rPr>
      <w:rFonts w:ascii="Georgia" w:eastAsiaTheme="minorEastAsia" w:hAnsi="Georgia"/>
      <w:kern w:val="16"/>
      <w:sz w:val="16"/>
      <w:szCs w:val="16"/>
      <w:lang w:eastAsia="en-GB"/>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table" w:customStyle="1" w:styleId="ListTable4Accent1">
    <w:name w:val="List Table 4 Accent 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link w:val="TableFigureTitleCharChar"/>
    <w:pPr>
      <w:keepNext/>
      <w:spacing w:before="400" w:after="60" w:line="288" w:lineRule="auto"/>
    </w:pPr>
    <w:rPr>
      <w:rFonts w:ascii="Arial" w:eastAsiaTheme="minorEastAsia" w:hAnsi="Arial" w:cstheme="minorBidi"/>
      <w:b/>
      <w:i/>
      <w:noProof/>
      <w:color w:val="333333"/>
      <w:sz w:val="20"/>
      <w:szCs w:val="24"/>
      <w:lang w:val="en-GB" w:eastAsia="lt-LT"/>
    </w:rPr>
  </w:style>
  <w:style w:type="character" w:customStyle="1" w:styleId="TableFigureTitleCharChar">
    <w:name w:val="TableFigure Title Char Char"/>
    <w:link w:val="TableFigureTitle"/>
    <w:rPr>
      <w:rFonts w:ascii="Arial" w:eastAsiaTheme="minorEastAsia" w:hAnsi="Arial" w:cstheme="minorBidi"/>
      <w:b/>
      <w:i/>
      <w:noProof/>
      <w:color w:val="333333"/>
      <w:sz w:val="20"/>
      <w:szCs w:val="24"/>
      <w:lang w:eastAsia="lt-LT"/>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0" w:line="288" w:lineRule="auto"/>
      <w:jc w:val="center"/>
    </w:pPr>
    <w:rPr>
      <w:rFonts w:ascii="Arial" w:eastAsiaTheme="minorEastAsia" w:hAnsi="Arial" w:cstheme="minorBidi"/>
      <w:noProof/>
      <w:sz w:val="20"/>
      <w:szCs w:val="24"/>
      <w:lang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jc w:val="left"/>
    </w:pPr>
    <w:rPr>
      <w:szCs w:val="24"/>
      <w:lang w:eastAsia="en-GB"/>
    </w:rPr>
  </w:style>
  <w:style w:type="numbering" w:customStyle="1" w:styleId="Style3">
    <w:name w:val="Style3"/>
    <w:uiPriority w:val="99"/>
    <w:pPr>
      <w:numPr>
        <w:numId w:val="31"/>
      </w:numPr>
    </w:pPr>
  </w:style>
  <w:style w:type="numbering" w:customStyle="1" w:styleId="NumbListMain1">
    <w:name w:val="NumbListMain1"/>
    <w:uiPriority w:val="99"/>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Main2">
    <w:name w:val="NumbListMain2"/>
    <w:uiPriority w:val="99"/>
  </w:style>
  <w:style w:type="numbering" w:customStyle="1" w:styleId="NumbListMain3">
    <w:name w:val="NumbListMain3"/>
    <w:uiPriority w:val="99"/>
  </w:style>
  <w:style w:type="numbering" w:customStyle="1" w:styleId="NumbListMain4">
    <w:name w:val="NumbListMain4"/>
    <w:uiPriority w:val="99"/>
  </w:style>
  <w:style w:type="numbering" w:customStyle="1" w:styleId="NumListBullet1">
    <w:name w:val="NumListBullet1"/>
    <w:uiPriority w:val="99"/>
  </w:style>
  <w:style w:type="numbering" w:customStyle="1" w:styleId="NoList2">
    <w:name w:val="No List2"/>
    <w:next w:val="NoList"/>
    <w:uiPriority w:val="99"/>
    <w:semiHidden/>
    <w:unhideWhenUsed/>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Bullet1">
    <w:name w:val="NumLstTableBullet1"/>
    <w:uiPriority w:val="99"/>
    <w:pPr>
      <w:numPr>
        <w:numId w:val="34"/>
      </w:numPr>
    </w:pPr>
  </w:style>
  <w:style w:type="numbering" w:customStyle="1" w:styleId="NumbListNumb2">
    <w:name w:val="NumbListNumb2"/>
    <w:uiPriority w:val="99"/>
    <w:pPr>
      <w:numPr>
        <w:numId w:val="23"/>
      </w:numPr>
    </w:pPr>
  </w:style>
  <w:style w:type="numbering" w:customStyle="1" w:styleId="NumbListMain5">
    <w:name w:val="NumbListMain5"/>
    <w:uiPriority w:val="99"/>
    <w:pPr>
      <w:numPr>
        <w:numId w:val="7"/>
      </w:numPr>
    </w:pPr>
  </w:style>
  <w:style w:type="numbering" w:customStyle="1" w:styleId="NumListBullet2">
    <w:name w:val="NumListBullet2"/>
    <w:uiPriority w:val="99"/>
    <w:pPr>
      <w:numPr>
        <w:numId w:val="8"/>
      </w:numPr>
    </w:pPr>
  </w:style>
  <w:style w:type="numbering" w:customStyle="1" w:styleId="NumbListAppendix2">
    <w:name w:val="NumbListAppendix2"/>
    <w:uiPriority w:val="99"/>
    <w:pPr>
      <w:numPr>
        <w:numId w:val="15"/>
      </w:numPr>
    </w:pPr>
  </w:style>
  <w:style w:type="numbering" w:customStyle="1" w:styleId="NumLstTableNum1">
    <w:name w:val="NumLstTableNum1"/>
    <w:uiPriority w:val="99"/>
    <w:pPr>
      <w:numPr>
        <w:numId w:val="52"/>
      </w:numPr>
    </w:pPr>
  </w:style>
  <w:style w:type="numbering" w:customStyle="1" w:styleId="Style31">
    <w:name w:val="Style31"/>
    <w:uiPriority w:val="99"/>
    <w:pPr>
      <w:numPr>
        <w:numId w:val="36"/>
      </w:numPr>
    </w:pPr>
  </w:style>
  <w:style w:type="numbering" w:customStyle="1" w:styleId="Style32">
    <w:name w:val="Style32"/>
    <w:uiPriority w:val="99"/>
  </w:style>
  <w:style w:type="paragraph" w:customStyle="1" w:styleId="xmsolistparagraph">
    <w:name w:val="x_msolistparagraph"/>
    <w:basedOn w:val="Normal"/>
    <w:pPr>
      <w:spacing w:before="100" w:beforeAutospacing="1" w:after="100" w:afterAutospacing="1"/>
      <w:jc w:val="left"/>
    </w:pPr>
    <w:rPr>
      <w:szCs w:val="24"/>
      <w:lang w:val="en-US" w:eastAsia="en-US"/>
    </w:rPr>
  </w:style>
  <w:style w:type="paragraph" w:styleId="ListContinue5">
    <w:name w:val="List Continue 5"/>
    <w:basedOn w:val="Normal"/>
    <w:semiHidden/>
    <w:locked/>
    <w:pPr>
      <w:spacing w:after="120"/>
      <w:ind w:left="1415"/>
      <w:contextualSpacing/>
    </w:p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Deloitte11">
    <w:name w:val="Deloitte1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Num2">
    <w:name w:val="NumLstTableNum2"/>
    <w:uiPriority w:val="99"/>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985043">
      <w:bodyDiv w:val="1"/>
      <w:marLeft w:val="0"/>
      <w:marRight w:val="0"/>
      <w:marTop w:val="0"/>
      <w:marBottom w:val="0"/>
      <w:divBdr>
        <w:top w:val="none" w:sz="0" w:space="0" w:color="auto"/>
        <w:left w:val="none" w:sz="0" w:space="0" w:color="auto"/>
        <w:bottom w:val="none" w:sz="0" w:space="0" w:color="auto"/>
        <w:right w:val="none" w:sz="0" w:space="0" w:color="auto"/>
      </w:divBdr>
    </w:div>
    <w:div w:id="1134637230">
      <w:bodyDiv w:val="1"/>
      <w:marLeft w:val="0"/>
      <w:marRight w:val="0"/>
      <w:marTop w:val="0"/>
      <w:marBottom w:val="0"/>
      <w:divBdr>
        <w:top w:val="none" w:sz="0" w:space="0" w:color="auto"/>
        <w:left w:val="none" w:sz="0" w:space="0" w:color="auto"/>
        <w:bottom w:val="none" w:sz="0" w:space="0" w:color="auto"/>
        <w:right w:val="none" w:sz="0" w:space="0" w:color="auto"/>
      </w:divBdr>
    </w:div>
    <w:div w:id="1158375970">
      <w:bodyDiv w:val="1"/>
      <w:marLeft w:val="0"/>
      <w:marRight w:val="0"/>
      <w:marTop w:val="0"/>
      <w:marBottom w:val="0"/>
      <w:divBdr>
        <w:top w:val="none" w:sz="0" w:space="0" w:color="auto"/>
        <w:left w:val="none" w:sz="0" w:space="0" w:color="auto"/>
        <w:bottom w:val="none" w:sz="0" w:space="0" w:color="auto"/>
        <w:right w:val="none" w:sz="0" w:space="0" w:color="auto"/>
      </w:divBdr>
    </w:div>
    <w:div w:id="1533036759">
      <w:bodyDiv w:val="1"/>
      <w:marLeft w:val="0"/>
      <w:marRight w:val="0"/>
      <w:marTop w:val="0"/>
      <w:marBottom w:val="0"/>
      <w:divBdr>
        <w:top w:val="none" w:sz="0" w:space="0" w:color="auto"/>
        <w:left w:val="none" w:sz="0" w:space="0" w:color="auto"/>
        <w:bottom w:val="none" w:sz="0" w:space="0" w:color="auto"/>
        <w:right w:val="none" w:sz="0" w:space="0" w:color="auto"/>
      </w:divBdr>
    </w:div>
    <w:div w:id="1944412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image" Target="media/image13.png"/><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chart" Target="charts/chart2.xml"/><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chart" Target="charts/chart4.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chart" Target="charts/chart1.xml"/><Relationship Id="rId45" Type="http://schemas.openxmlformats.org/officeDocument/2006/relationships/image" Target="media/image16.png"/><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2.tiff"/><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footer" Target="footer9.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chart" Target="charts/chart3.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chart" Target="charts/chart5.xml"/><Relationship Id="rId56" Type="http://schemas.openxmlformats.org/officeDocument/2006/relationships/header" Target="header9.xml"/><Relationship Id="rId8" Type="http://schemas.openxmlformats.org/officeDocument/2006/relationships/numbering" Target="numbering.xml"/><Relationship Id="rId51" Type="http://schemas.openxmlformats.org/officeDocument/2006/relationships/image" Target="media/image20.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HTML/?uri=CELEX:12008E003&amp;from=EN" TargetMode="External"/><Relationship Id="rId7" Type="http://schemas.openxmlformats.org/officeDocument/2006/relationships/hyperlink" Target="https://europa.eu/european-union/about-eu/eu-in-brief_en" TargetMode="External"/><Relationship Id="rId2" Type="http://schemas.openxmlformats.org/officeDocument/2006/relationships/hyperlink" Target="https://ec.europa.eu/eusurvey/runner/ConsultationPartnershipsHorizonEurop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5" Type="http://schemas.openxmlformats.org/officeDocument/2006/relationships/hyperlink" Target="https://eur-lex.europa.eu/LexUriServ/LexUriServ.do?uri=CELEX:12008E006:EN:HTML" TargetMode="External"/><Relationship Id="rId4" Type="http://schemas.openxmlformats.org/officeDocument/2006/relationships/hyperlink" Target="https://eur-lex.europa.eu/legal-content/EN/TXT/HTML/?uri=CELEX:12008E004&amp;from=EN"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https://technopolisltd223.sharepoint.com/sites/3194KDT/Shared%20Documents/7%20Data/Bibliometrics_patents/Scopus%20outcomes/KDT_Scopus%20keywords_expert%20validated_28.10.19.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https://technopolisltd223.sharepoint.com/sites/3194KDT/Shared%20Documents/7%20Data/Bibliometrics_patents/Scopus%20outcomes/KDT_Scopus%20keywords_expert%20validated_28.10.19.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https://technopolisltd223.sharepoint.com/sites/3194KDT/Shared%20Documents/7%20Data/Bibliometrics_patents/Scopus%20outcomes/KDT_Scopus%20keywords_expert%20validated_28.10.19.xlsx"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https://technopolisltd223.sharepoint.com/sites/3194KDT/Shared%20Documents/7%20Data/Bibliometrics_patents/Scopus%20outcomes/KDT_Scopus%20keywords_expert%20validated_28.10.19.xlsx" TargetMode="External"/><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https://technopolisltd223.sharepoint.com/sites/3194KDT/Shared%20Documents/7%20Data/Bibliometrics_patents/Scopus%20outcomes/KDT_Scopus%20keywords_expert%20validated_28.10.19.xlsx" TargetMode="External"/><Relationship Id="rId1" Type="http://schemas.openxmlformats.org/officeDocument/2006/relationships/themeOverride" Target="../theme/themeOverride5.xml"/><Relationship Id="rId4"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24186555394542E-2"/>
          <c:y val="3.0303030303030304E-2"/>
          <c:w val="0.87793442393980137"/>
          <c:h val="0.68023860653781909"/>
        </c:manualLayout>
      </c:layout>
      <c:lineChart>
        <c:grouping val="standard"/>
        <c:varyColors val="0"/>
        <c:ser>
          <c:idx val="0"/>
          <c:order val="0"/>
          <c:tx>
            <c:strRef>
              <c:f>'AI + microelectronics'!$K$2</c:f>
              <c:strCache>
                <c:ptCount val="1"/>
                <c:pt idx="0">
                  <c:v>World</c:v>
                </c:pt>
              </c:strCache>
            </c:strRef>
          </c:tx>
          <c:spPr>
            <a:ln w="28575" cap="rnd">
              <a:solidFill>
                <a:schemeClr val="accent1"/>
              </a:solidFill>
              <a:round/>
            </a:ln>
            <a:effectLst/>
          </c:spPr>
          <c:marker>
            <c:symbol val="none"/>
          </c:marker>
          <c:cat>
            <c:numRef>
              <c:f>'AI + microelectronics'!$L$1:$U$1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'AI + microelectronics'!$L$2:$U$2</c:f>
              <c:numCache>
                <c:formatCode>General</c:formatCode>
                <c:ptCount val="10"/>
                <c:pt idx="0">
                  <c:v>17</c:v>
                </c:pt>
                <c:pt idx="1">
                  <c:v>19</c:v>
                </c:pt>
                <c:pt idx="2">
                  <c:v>19</c:v>
                </c:pt>
                <c:pt idx="3">
                  <c:v>20</c:v>
                </c:pt>
                <c:pt idx="4">
                  <c:v>22</c:v>
                </c:pt>
                <c:pt idx="5">
                  <c:v>25</c:v>
                </c:pt>
                <c:pt idx="6">
                  <c:v>34</c:v>
                </c:pt>
                <c:pt idx="7">
                  <c:v>25</c:v>
                </c:pt>
                <c:pt idx="8">
                  <c:v>39</c:v>
                </c:pt>
                <c:pt idx="9">
                  <c:v>34</c:v>
                </c:pt>
              </c:numCache>
            </c:numRef>
          </c:val>
          <c:smooth val="0"/>
          <c:extLst xmlns:c16r2="http://schemas.microsoft.com/office/drawing/2015/06/chart">
            <c:ext xmlns:c16="http://schemas.microsoft.com/office/drawing/2014/chart" uri="{C3380CC4-5D6E-409C-BE32-E72D297353CC}">
              <c16:uniqueId val="{00000000-B381-42FE-A2DA-DCA543DAF2FD}"/>
            </c:ext>
          </c:extLst>
        </c:ser>
        <c:ser>
          <c:idx val="1"/>
          <c:order val="1"/>
          <c:tx>
            <c:strRef>
              <c:f>'AI + microelectronics'!$K$3</c:f>
              <c:strCache>
                <c:ptCount val="1"/>
                <c:pt idx="0">
                  <c:v>EU-28</c:v>
                </c:pt>
              </c:strCache>
            </c:strRef>
          </c:tx>
          <c:spPr>
            <a:ln w="28575" cap="rnd">
              <a:solidFill>
                <a:schemeClr val="accent2"/>
              </a:solidFill>
              <a:round/>
            </a:ln>
            <a:effectLst/>
          </c:spPr>
          <c:marker>
            <c:symbol val="none"/>
          </c:marker>
          <c:cat>
            <c:numRef>
              <c:f>'AI + microelectronics'!$L$1:$U$1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'AI + microelectronics'!$L$3:$U$3</c:f>
              <c:numCache>
                <c:formatCode>General</c:formatCode>
                <c:ptCount val="10"/>
                <c:pt idx="0">
                  <c:v>4</c:v>
                </c:pt>
                <c:pt idx="1">
                  <c:v>5</c:v>
                </c:pt>
                <c:pt idx="2">
                  <c:v>3</c:v>
                </c:pt>
                <c:pt idx="3">
                  <c:v>10</c:v>
                </c:pt>
                <c:pt idx="4">
                  <c:v>9</c:v>
                </c:pt>
                <c:pt idx="5">
                  <c:v>9</c:v>
                </c:pt>
                <c:pt idx="6">
                  <c:v>14</c:v>
                </c:pt>
                <c:pt idx="7">
                  <c:v>8</c:v>
                </c:pt>
                <c:pt idx="8">
                  <c:v>14</c:v>
                </c:pt>
                <c:pt idx="9">
                  <c:v>16</c:v>
                </c:pt>
              </c:numCache>
            </c:numRef>
          </c:val>
          <c:smooth val="0"/>
          <c:extLst xmlns:c16r2="http://schemas.microsoft.com/office/drawing/2015/06/chart">
            <c:ext xmlns:c16="http://schemas.microsoft.com/office/drawing/2014/chart" uri="{C3380CC4-5D6E-409C-BE32-E72D297353CC}">
              <c16:uniqueId val="{00000001-B381-42FE-A2DA-DCA543DAF2FD}"/>
            </c:ext>
          </c:extLst>
        </c:ser>
        <c:ser>
          <c:idx val="2"/>
          <c:order val="2"/>
          <c:tx>
            <c:strRef>
              <c:f>'AI + microelectronics'!$K$4</c:f>
              <c:strCache>
                <c:ptCount val="1"/>
                <c:pt idx="0">
                  <c:v>South Korea</c:v>
                </c:pt>
              </c:strCache>
            </c:strRef>
          </c:tx>
          <c:spPr>
            <a:ln w="28575" cap="rnd">
              <a:solidFill>
                <a:schemeClr val="accent3"/>
              </a:solidFill>
              <a:round/>
            </a:ln>
            <a:effectLst/>
          </c:spPr>
          <c:marker>
            <c:symbol val="none"/>
          </c:marker>
          <c:cat>
            <c:numRef>
              <c:f>'AI + microelectronics'!$L$1:$U$1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'AI + microelectronics'!$L$4:$U$4</c:f>
              <c:numCache>
                <c:formatCode>General</c:formatCode>
                <c:ptCount val="10"/>
                <c:pt idx="0">
                  <c:v>0</c:v>
                </c:pt>
                <c:pt idx="1">
                  <c:v>2</c:v>
                </c:pt>
                <c:pt idx="2">
                  <c:v>2</c:v>
                </c:pt>
                <c:pt idx="3">
                  <c:v>1</c:v>
                </c:pt>
                <c:pt idx="4">
                  <c:v>0</c:v>
                </c:pt>
                <c:pt idx="5">
                  <c:v>0</c:v>
                </c:pt>
                <c:pt idx="6">
                  <c:v>1</c:v>
                </c:pt>
                <c:pt idx="7">
                  <c:v>1</c:v>
                </c:pt>
                <c:pt idx="8">
                  <c:v>3</c:v>
                </c:pt>
                <c:pt idx="9">
                  <c:v>0</c:v>
                </c:pt>
              </c:numCache>
            </c:numRef>
          </c:val>
          <c:smooth val="0"/>
          <c:extLst xmlns:c16r2="http://schemas.microsoft.com/office/drawing/2015/06/chart">
            <c:ext xmlns:c16="http://schemas.microsoft.com/office/drawing/2014/chart" uri="{C3380CC4-5D6E-409C-BE32-E72D297353CC}">
              <c16:uniqueId val="{00000002-B381-42FE-A2DA-DCA543DAF2FD}"/>
            </c:ext>
          </c:extLst>
        </c:ser>
        <c:ser>
          <c:idx val="3"/>
          <c:order val="3"/>
          <c:tx>
            <c:strRef>
              <c:f>'AI + microelectronics'!$K$5</c:f>
              <c:strCache>
                <c:ptCount val="1"/>
                <c:pt idx="0">
                  <c:v>Taiwan</c:v>
                </c:pt>
              </c:strCache>
            </c:strRef>
          </c:tx>
          <c:spPr>
            <a:ln w="28575" cap="rnd">
              <a:solidFill>
                <a:schemeClr val="accent4"/>
              </a:solidFill>
              <a:round/>
            </a:ln>
            <a:effectLst/>
          </c:spPr>
          <c:marker>
            <c:symbol val="none"/>
          </c:marker>
          <c:cat>
            <c:numRef>
              <c:f>'AI + microelectronics'!$L$1:$U$1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'AI + microelectronics'!$L$5:$U$5</c:f>
              <c:numCache>
                <c:formatCode>General</c:formatCode>
                <c:ptCount val="10"/>
                <c:pt idx="0">
                  <c:v>1</c:v>
                </c:pt>
                <c:pt idx="1">
                  <c:v>2</c:v>
                </c:pt>
                <c:pt idx="2">
                  <c:v>3</c:v>
                </c:pt>
                <c:pt idx="3">
                  <c:v>1</c:v>
                </c:pt>
                <c:pt idx="4">
                  <c:v>0</c:v>
                </c:pt>
                <c:pt idx="5">
                  <c:v>1</c:v>
                </c:pt>
                <c:pt idx="6">
                  <c:v>1</c:v>
                </c:pt>
                <c:pt idx="7">
                  <c:v>2</c:v>
                </c:pt>
                <c:pt idx="8">
                  <c:v>1</c:v>
                </c:pt>
                <c:pt idx="9">
                  <c:v>0</c:v>
                </c:pt>
              </c:numCache>
            </c:numRef>
          </c:val>
          <c:smooth val="0"/>
          <c:extLst xmlns:c16r2="http://schemas.microsoft.com/office/drawing/2015/06/chart">
            <c:ext xmlns:c16="http://schemas.microsoft.com/office/drawing/2014/chart" uri="{C3380CC4-5D6E-409C-BE32-E72D297353CC}">
              <c16:uniqueId val="{00000003-B381-42FE-A2DA-DCA543DAF2FD}"/>
            </c:ext>
          </c:extLst>
        </c:ser>
        <c:ser>
          <c:idx val="4"/>
          <c:order val="4"/>
          <c:tx>
            <c:strRef>
              <c:f>'AI + microelectronics'!$K$6</c:f>
              <c:strCache>
                <c:ptCount val="1"/>
                <c:pt idx="0">
                  <c:v>USA</c:v>
                </c:pt>
              </c:strCache>
            </c:strRef>
          </c:tx>
          <c:spPr>
            <a:ln w="28575" cap="rnd">
              <a:solidFill>
                <a:schemeClr val="accent5"/>
              </a:solidFill>
              <a:round/>
            </a:ln>
            <a:effectLst/>
          </c:spPr>
          <c:marker>
            <c:symbol val="none"/>
          </c:marker>
          <c:cat>
            <c:numRef>
              <c:f>'AI + microelectronics'!$L$1:$U$1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'AI + microelectronics'!$L$6:$U$6</c:f>
              <c:numCache>
                <c:formatCode>General</c:formatCode>
                <c:ptCount val="10"/>
                <c:pt idx="0">
                  <c:v>4</c:v>
                </c:pt>
                <c:pt idx="1">
                  <c:v>10</c:v>
                </c:pt>
                <c:pt idx="2">
                  <c:v>3</c:v>
                </c:pt>
                <c:pt idx="3">
                  <c:v>1</c:v>
                </c:pt>
                <c:pt idx="4">
                  <c:v>8</c:v>
                </c:pt>
                <c:pt idx="5">
                  <c:v>7</c:v>
                </c:pt>
                <c:pt idx="6">
                  <c:v>8</c:v>
                </c:pt>
                <c:pt idx="7">
                  <c:v>5</c:v>
                </c:pt>
                <c:pt idx="8">
                  <c:v>12</c:v>
                </c:pt>
                <c:pt idx="9">
                  <c:v>11</c:v>
                </c:pt>
              </c:numCache>
            </c:numRef>
          </c:val>
          <c:smooth val="0"/>
          <c:extLst xmlns:c16r2="http://schemas.microsoft.com/office/drawing/2015/06/chart">
            <c:ext xmlns:c16="http://schemas.microsoft.com/office/drawing/2014/chart" uri="{C3380CC4-5D6E-409C-BE32-E72D297353CC}">
              <c16:uniqueId val="{00000004-B381-42FE-A2DA-DCA543DAF2FD}"/>
            </c:ext>
          </c:extLst>
        </c:ser>
        <c:ser>
          <c:idx val="5"/>
          <c:order val="5"/>
          <c:tx>
            <c:strRef>
              <c:f>'AI + microelectronics'!$K$7</c:f>
              <c:strCache>
                <c:ptCount val="1"/>
                <c:pt idx="0">
                  <c:v>China</c:v>
                </c:pt>
              </c:strCache>
            </c:strRef>
          </c:tx>
          <c:spPr>
            <a:ln w="28575" cap="rnd">
              <a:solidFill>
                <a:schemeClr val="accent6"/>
              </a:solidFill>
              <a:round/>
            </a:ln>
            <a:effectLst/>
          </c:spPr>
          <c:marker>
            <c:symbol val="none"/>
          </c:marker>
          <c:cat>
            <c:numRef>
              <c:f>'AI + microelectronics'!$L$1:$U$1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'AI + microelectronics'!$L$7:$U$7</c:f>
              <c:numCache>
                <c:formatCode>General</c:formatCode>
                <c:ptCount val="10"/>
                <c:pt idx="0">
                  <c:v>4</c:v>
                </c:pt>
                <c:pt idx="1">
                  <c:v>0</c:v>
                </c:pt>
                <c:pt idx="2">
                  <c:v>3</c:v>
                </c:pt>
                <c:pt idx="3">
                  <c:v>4</c:v>
                </c:pt>
                <c:pt idx="4">
                  <c:v>2</c:v>
                </c:pt>
                <c:pt idx="5">
                  <c:v>3</c:v>
                </c:pt>
                <c:pt idx="6">
                  <c:v>7</c:v>
                </c:pt>
                <c:pt idx="7">
                  <c:v>3</c:v>
                </c:pt>
                <c:pt idx="8">
                  <c:v>6</c:v>
                </c:pt>
                <c:pt idx="9">
                  <c:v>8</c:v>
                </c:pt>
              </c:numCache>
            </c:numRef>
          </c:val>
          <c:smooth val="0"/>
          <c:extLst xmlns:c16r2="http://schemas.microsoft.com/office/drawing/2015/06/chart">
            <c:ext xmlns:c16="http://schemas.microsoft.com/office/drawing/2014/chart" uri="{C3380CC4-5D6E-409C-BE32-E72D297353CC}">
              <c16:uniqueId val="{00000005-B381-42FE-A2DA-DCA543DAF2FD}"/>
            </c:ext>
          </c:extLst>
        </c:ser>
        <c:dLbls>
          <c:showLegendKey val="0"/>
          <c:showVal val="0"/>
          <c:showCatName val="0"/>
          <c:showSerName val="0"/>
          <c:showPercent val="0"/>
          <c:showBubbleSize val="0"/>
        </c:dLbls>
        <c:marker val="1"/>
        <c:smooth val="0"/>
        <c:axId val="101778176"/>
        <c:axId val="101779712"/>
      </c:lineChart>
      <c:catAx>
        <c:axId val="1017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crossAx val="101779712"/>
        <c:crosses val="autoZero"/>
        <c:auto val="1"/>
        <c:lblAlgn val="ctr"/>
        <c:lblOffset val="100"/>
        <c:noMultiLvlLbl val="0"/>
      </c:catAx>
      <c:valAx>
        <c:axId val="10177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crossAx val="101778176"/>
        <c:crosses val="autoZero"/>
        <c:crossBetween val="between"/>
        <c:majorUnit val="10"/>
      </c:valAx>
      <c:spPr>
        <a:noFill/>
        <a:ln>
          <a:noFill/>
        </a:ln>
        <a:effectLst/>
      </c:spPr>
    </c:plotArea>
    <c:legend>
      <c:legendPos val="b"/>
      <c:layout>
        <c:manualLayout>
          <c:xMode val="edge"/>
          <c:yMode val="edge"/>
          <c:x val="3.7323009235818903E-2"/>
          <c:y val="0.82776425674063459"/>
          <c:w val="0.9327446735455186"/>
          <c:h val="0.13587210689572896"/>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lumMod val="75000"/>
        </a:schemeClr>
      </a:solidFill>
      <a:round/>
    </a:ln>
    <a:effectLst/>
  </c:spPr>
  <c:txPr>
    <a:bodyPr/>
    <a:lstStyle/>
    <a:p>
      <a:pPr>
        <a:defRPr sz="800">
          <a:ln>
            <a:noFill/>
          </a:l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959590129767817E-2"/>
          <c:y val="7.7539171990431102E-2"/>
          <c:w val="0.86337994836160314"/>
          <c:h val="0.6430489490306216"/>
        </c:manualLayout>
      </c:layout>
      <c:lineChart>
        <c:grouping val="standard"/>
        <c:varyColors val="0"/>
        <c:ser>
          <c:idx val="0"/>
          <c:order val="0"/>
          <c:tx>
            <c:strRef>
              <c:f>'Computer architecture'!$L$2</c:f>
              <c:strCache>
                <c:ptCount val="1"/>
                <c:pt idx="0">
                  <c:v>World</c:v>
                </c:pt>
              </c:strCache>
            </c:strRef>
          </c:tx>
          <c:spPr>
            <a:ln w="28575" cap="rnd">
              <a:solidFill>
                <a:schemeClr val="accent1"/>
              </a:solidFill>
              <a:round/>
            </a:ln>
            <a:effectLst/>
          </c:spPr>
          <c:marker>
            <c:symbol val="none"/>
          </c:marker>
          <c:cat>
            <c:numRef>
              <c:f>'Computer architecture'!$M$1:$V$1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'Computer architecture'!$M$2:$V$2</c:f>
              <c:numCache>
                <c:formatCode>General</c:formatCode>
                <c:ptCount val="10"/>
                <c:pt idx="0">
                  <c:v>395</c:v>
                </c:pt>
                <c:pt idx="1">
                  <c:v>352</c:v>
                </c:pt>
                <c:pt idx="2">
                  <c:v>419</c:v>
                </c:pt>
                <c:pt idx="3">
                  <c:v>330</c:v>
                </c:pt>
                <c:pt idx="4">
                  <c:v>404</c:v>
                </c:pt>
                <c:pt idx="5">
                  <c:v>414</c:v>
                </c:pt>
                <c:pt idx="6">
                  <c:v>740</c:v>
                </c:pt>
                <c:pt idx="7">
                  <c:v>815</c:v>
                </c:pt>
                <c:pt idx="8">
                  <c:v>1103</c:v>
                </c:pt>
                <c:pt idx="9">
                  <c:v>1372</c:v>
                </c:pt>
              </c:numCache>
            </c:numRef>
          </c:val>
          <c:smooth val="0"/>
          <c:extLst xmlns:c16r2="http://schemas.microsoft.com/office/drawing/2015/06/chart">
            <c:ext xmlns:c16="http://schemas.microsoft.com/office/drawing/2014/chart" uri="{C3380CC4-5D6E-409C-BE32-E72D297353CC}">
              <c16:uniqueId val="{00000000-F1E7-4DDE-ABFF-2BC42436ED4C}"/>
            </c:ext>
          </c:extLst>
        </c:ser>
        <c:ser>
          <c:idx val="1"/>
          <c:order val="1"/>
          <c:tx>
            <c:strRef>
              <c:f>'Computer architecture'!$L$3</c:f>
              <c:strCache>
                <c:ptCount val="1"/>
                <c:pt idx="0">
                  <c:v>EU-28</c:v>
                </c:pt>
              </c:strCache>
            </c:strRef>
          </c:tx>
          <c:spPr>
            <a:ln w="28575" cap="rnd">
              <a:solidFill>
                <a:schemeClr val="accent2"/>
              </a:solidFill>
              <a:round/>
            </a:ln>
            <a:effectLst/>
          </c:spPr>
          <c:marker>
            <c:symbol val="none"/>
          </c:marker>
          <c:cat>
            <c:numRef>
              <c:f>'Computer architecture'!$M$1:$V$1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'Computer architecture'!$M$3:$V$3</c:f>
              <c:numCache>
                <c:formatCode>General</c:formatCode>
                <c:ptCount val="10"/>
                <c:pt idx="0">
                  <c:v>115</c:v>
                </c:pt>
                <c:pt idx="1">
                  <c:v>83</c:v>
                </c:pt>
                <c:pt idx="2">
                  <c:v>141</c:v>
                </c:pt>
                <c:pt idx="3">
                  <c:v>104</c:v>
                </c:pt>
                <c:pt idx="4">
                  <c:v>120</c:v>
                </c:pt>
                <c:pt idx="5">
                  <c:v>133</c:v>
                </c:pt>
                <c:pt idx="6">
                  <c:v>248</c:v>
                </c:pt>
                <c:pt idx="7">
                  <c:v>251</c:v>
                </c:pt>
                <c:pt idx="8">
                  <c:v>325</c:v>
                </c:pt>
                <c:pt idx="9">
                  <c:v>485</c:v>
                </c:pt>
              </c:numCache>
            </c:numRef>
          </c:val>
          <c:smooth val="0"/>
          <c:extLst xmlns:c16r2="http://schemas.microsoft.com/office/drawing/2015/06/chart">
            <c:ext xmlns:c16="http://schemas.microsoft.com/office/drawing/2014/chart" uri="{C3380CC4-5D6E-409C-BE32-E72D297353CC}">
              <c16:uniqueId val="{00000001-F1E7-4DDE-ABFF-2BC42436ED4C}"/>
            </c:ext>
          </c:extLst>
        </c:ser>
        <c:ser>
          <c:idx val="2"/>
          <c:order val="2"/>
          <c:tx>
            <c:strRef>
              <c:f>'Computer architecture'!$L$4</c:f>
              <c:strCache>
                <c:ptCount val="1"/>
                <c:pt idx="0">
                  <c:v>South Korea</c:v>
                </c:pt>
              </c:strCache>
            </c:strRef>
          </c:tx>
          <c:spPr>
            <a:ln w="28575" cap="rnd">
              <a:solidFill>
                <a:schemeClr val="accent3"/>
              </a:solidFill>
              <a:round/>
            </a:ln>
            <a:effectLst/>
          </c:spPr>
          <c:marker>
            <c:symbol val="none"/>
          </c:marker>
          <c:cat>
            <c:numRef>
              <c:f>'Computer architecture'!$M$1:$V$1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'Computer architecture'!$M$4:$V$4</c:f>
              <c:numCache>
                <c:formatCode>General</c:formatCode>
                <c:ptCount val="10"/>
                <c:pt idx="0">
                  <c:v>21</c:v>
                </c:pt>
                <c:pt idx="1">
                  <c:v>17</c:v>
                </c:pt>
                <c:pt idx="2">
                  <c:v>18</c:v>
                </c:pt>
                <c:pt idx="3">
                  <c:v>17</c:v>
                </c:pt>
                <c:pt idx="4">
                  <c:v>30</c:v>
                </c:pt>
                <c:pt idx="5">
                  <c:v>16</c:v>
                </c:pt>
                <c:pt idx="6">
                  <c:v>43</c:v>
                </c:pt>
                <c:pt idx="7">
                  <c:v>54</c:v>
                </c:pt>
                <c:pt idx="8">
                  <c:v>48</c:v>
                </c:pt>
                <c:pt idx="9">
                  <c:v>98</c:v>
                </c:pt>
              </c:numCache>
            </c:numRef>
          </c:val>
          <c:smooth val="0"/>
          <c:extLst xmlns:c16r2="http://schemas.microsoft.com/office/drawing/2015/06/chart">
            <c:ext xmlns:c16="http://schemas.microsoft.com/office/drawing/2014/chart" uri="{C3380CC4-5D6E-409C-BE32-E72D297353CC}">
              <c16:uniqueId val="{00000002-F1E7-4DDE-ABFF-2BC42436ED4C}"/>
            </c:ext>
          </c:extLst>
        </c:ser>
        <c:ser>
          <c:idx val="3"/>
          <c:order val="3"/>
          <c:tx>
            <c:strRef>
              <c:f>'Computer architecture'!$L$5</c:f>
              <c:strCache>
                <c:ptCount val="1"/>
                <c:pt idx="0">
                  <c:v>Taiwan</c:v>
                </c:pt>
              </c:strCache>
            </c:strRef>
          </c:tx>
          <c:spPr>
            <a:ln w="28575" cap="rnd">
              <a:solidFill>
                <a:schemeClr val="accent4"/>
              </a:solidFill>
              <a:round/>
            </a:ln>
            <a:effectLst/>
          </c:spPr>
          <c:marker>
            <c:symbol val="none"/>
          </c:marker>
          <c:cat>
            <c:numRef>
              <c:f>'Computer architecture'!$M$1:$V$1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'Computer architecture'!$M$5:$V$5</c:f>
              <c:numCache>
                <c:formatCode>General</c:formatCode>
                <c:ptCount val="10"/>
                <c:pt idx="0">
                  <c:v>14</c:v>
                </c:pt>
                <c:pt idx="1">
                  <c:v>16</c:v>
                </c:pt>
                <c:pt idx="2">
                  <c:v>30</c:v>
                </c:pt>
                <c:pt idx="3">
                  <c:v>8</c:v>
                </c:pt>
                <c:pt idx="4">
                  <c:v>15</c:v>
                </c:pt>
                <c:pt idx="5">
                  <c:v>11</c:v>
                </c:pt>
                <c:pt idx="6">
                  <c:v>23</c:v>
                </c:pt>
                <c:pt idx="7">
                  <c:v>24</c:v>
                </c:pt>
                <c:pt idx="8">
                  <c:v>28</c:v>
                </c:pt>
                <c:pt idx="9">
                  <c:v>36</c:v>
                </c:pt>
              </c:numCache>
            </c:numRef>
          </c:val>
          <c:smooth val="0"/>
          <c:extLst xmlns:c16r2="http://schemas.microsoft.com/office/drawing/2015/06/chart">
            <c:ext xmlns:c16="http://schemas.microsoft.com/office/drawing/2014/chart" uri="{C3380CC4-5D6E-409C-BE32-E72D297353CC}">
              <c16:uniqueId val="{00000003-F1E7-4DDE-ABFF-2BC42436ED4C}"/>
            </c:ext>
          </c:extLst>
        </c:ser>
        <c:ser>
          <c:idx val="4"/>
          <c:order val="4"/>
          <c:tx>
            <c:strRef>
              <c:f>'Computer architecture'!$L$6</c:f>
              <c:strCache>
                <c:ptCount val="1"/>
                <c:pt idx="0">
                  <c:v>USA</c:v>
                </c:pt>
              </c:strCache>
            </c:strRef>
          </c:tx>
          <c:spPr>
            <a:ln w="28575" cap="rnd">
              <a:solidFill>
                <a:schemeClr val="accent5"/>
              </a:solidFill>
              <a:round/>
            </a:ln>
            <a:effectLst/>
          </c:spPr>
          <c:marker>
            <c:symbol val="none"/>
          </c:marker>
          <c:cat>
            <c:numRef>
              <c:f>'Computer architecture'!$M$1:$V$1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'Computer architecture'!$M$6:$V$6</c:f>
              <c:numCache>
                <c:formatCode>General</c:formatCode>
                <c:ptCount val="10"/>
                <c:pt idx="0">
                  <c:v>121</c:v>
                </c:pt>
                <c:pt idx="1">
                  <c:v>119</c:v>
                </c:pt>
                <c:pt idx="2">
                  <c:v>107</c:v>
                </c:pt>
                <c:pt idx="3">
                  <c:v>76</c:v>
                </c:pt>
                <c:pt idx="4">
                  <c:v>111</c:v>
                </c:pt>
                <c:pt idx="5">
                  <c:v>109</c:v>
                </c:pt>
                <c:pt idx="6">
                  <c:v>202</c:v>
                </c:pt>
                <c:pt idx="7">
                  <c:v>200</c:v>
                </c:pt>
                <c:pt idx="8">
                  <c:v>233</c:v>
                </c:pt>
                <c:pt idx="9">
                  <c:v>363</c:v>
                </c:pt>
              </c:numCache>
            </c:numRef>
          </c:val>
          <c:smooth val="0"/>
          <c:extLst xmlns:c16r2="http://schemas.microsoft.com/office/drawing/2015/06/chart">
            <c:ext xmlns:c16="http://schemas.microsoft.com/office/drawing/2014/chart" uri="{C3380CC4-5D6E-409C-BE32-E72D297353CC}">
              <c16:uniqueId val="{00000004-F1E7-4DDE-ABFF-2BC42436ED4C}"/>
            </c:ext>
          </c:extLst>
        </c:ser>
        <c:ser>
          <c:idx val="5"/>
          <c:order val="5"/>
          <c:tx>
            <c:strRef>
              <c:f>'Computer architecture'!$L$7</c:f>
              <c:strCache>
                <c:ptCount val="1"/>
                <c:pt idx="0">
                  <c:v>China</c:v>
                </c:pt>
              </c:strCache>
            </c:strRef>
          </c:tx>
          <c:spPr>
            <a:ln w="28575" cap="rnd">
              <a:solidFill>
                <a:schemeClr val="accent6"/>
              </a:solidFill>
              <a:round/>
            </a:ln>
            <a:effectLst/>
          </c:spPr>
          <c:marker>
            <c:symbol val="none"/>
          </c:marker>
          <c:cat>
            <c:numRef>
              <c:f>'Computer architecture'!$M$1:$V$1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'Computer architecture'!$M$7:$V$7</c:f>
              <c:numCache>
                <c:formatCode>General</c:formatCode>
                <c:ptCount val="10"/>
                <c:pt idx="0">
                  <c:v>75</c:v>
                </c:pt>
                <c:pt idx="1">
                  <c:v>80</c:v>
                </c:pt>
                <c:pt idx="2">
                  <c:v>83</c:v>
                </c:pt>
                <c:pt idx="3">
                  <c:v>88</c:v>
                </c:pt>
                <c:pt idx="4">
                  <c:v>93</c:v>
                </c:pt>
                <c:pt idx="5">
                  <c:v>97</c:v>
                </c:pt>
                <c:pt idx="6">
                  <c:v>167</c:v>
                </c:pt>
                <c:pt idx="7">
                  <c:v>211</c:v>
                </c:pt>
                <c:pt idx="8">
                  <c:v>246</c:v>
                </c:pt>
                <c:pt idx="9">
                  <c:v>375</c:v>
                </c:pt>
              </c:numCache>
            </c:numRef>
          </c:val>
          <c:smooth val="0"/>
          <c:extLst xmlns:c16r2="http://schemas.microsoft.com/office/drawing/2015/06/chart">
            <c:ext xmlns:c16="http://schemas.microsoft.com/office/drawing/2014/chart" uri="{C3380CC4-5D6E-409C-BE32-E72D297353CC}">
              <c16:uniqueId val="{00000005-F1E7-4DDE-ABFF-2BC42436ED4C}"/>
            </c:ext>
          </c:extLst>
        </c:ser>
        <c:dLbls>
          <c:showLegendKey val="0"/>
          <c:showVal val="0"/>
          <c:showCatName val="0"/>
          <c:showSerName val="0"/>
          <c:showPercent val="0"/>
          <c:showBubbleSize val="0"/>
        </c:dLbls>
        <c:marker val="1"/>
        <c:smooth val="0"/>
        <c:axId val="102897920"/>
        <c:axId val="102907904"/>
      </c:lineChart>
      <c:catAx>
        <c:axId val="1028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02907904"/>
        <c:crosses val="autoZero"/>
        <c:auto val="1"/>
        <c:lblAlgn val="ctr"/>
        <c:lblOffset val="100"/>
        <c:noMultiLvlLbl val="0"/>
      </c:catAx>
      <c:valAx>
        <c:axId val="10290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02897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lumMod val="75000"/>
        </a:schemeClr>
      </a:solidFill>
      <a:round/>
    </a:ln>
    <a:effectLst/>
  </c:spPr>
  <c:txPr>
    <a:bodyPr/>
    <a:lstStyle/>
    <a:p>
      <a:pPr>
        <a:defRPr sz="6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1703732429592"/>
          <c:y val="4.1768210532618782E-2"/>
          <c:w val="0.85892528958505454"/>
          <c:h val="0.6074599880178021"/>
        </c:manualLayout>
      </c:layout>
      <c:lineChart>
        <c:grouping val="standard"/>
        <c:varyColors val="0"/>
        <c:ser>
          <c:idx val="0"/>
          <c:order val="0"/>
          <c:tx>
            <c:strRef>
              <c:f>'Edge + computing'!$K$2:$L$2</c:f>
              <c:strCache>
                <c:ptCount val="2"/>
                <c:pt idx="1">
                  <c:v>World</c:v>
                </c:pt>
              </c:strCache>
            </c:strRef>
          </c:tx>
          <c:spPr>
            <a:ln w="28575" cap="rnd">
              <a:solidFill>
                <a:schemeClr val="accent1"/>
              </a:solidFill>
              <a:round/>
            </a:ln>
            <a:effectLst/>
          </c:spPr>
          <c:marker>
            <c:symbol val="none"/>
          </c:marker>
          <c:cat>
            <c:numRef>
              <c:f>'Edge + computing'!$R$1:$V$1</c:f>
              <c:numCache>
                <c:formatCode>General</c:formatCode>
                <c:ptCount val="5"/>
                <c:pt idx="0">
                  <c:v>2014</c:v>
                </c:pt>
                <c:pt idx="1">
                  <c:v>2015</c:v>
                </c:pt>
                <c:pt idx="2">
                  <c:v>2016</c:v>
                </c:pt>
                <c:pt idx="3">
                  <c:v>2017</c:v>
                </c:pt>
                <c:pt idx="4">
                  <c:v>2018</c:v>
                </c:pt>
              </c:numCache>
            </c:numRef>
          </c:cat>
          <c:val>
            <c:numRef>
              <c:f>'Edge + computing'!$R$2:$V$2</c:f>
              <c:numCache>
                <c:formatCode>General</c:formatCode>
                <c:ptCount val="5"/>
                <c:pt idx="0">
                  <c:v>1</c:v>
                </c:pt>
                <c:pt idx="1">
                  <c:v>7</c:v>
                </c:pt>
                <c:pt idx="2">
                  <c:v>39</c:v>
                </c:pt>
                <c:pt idx="3">
                  <c:v>172</c:v>
                </c:pt>
                <c:pt idx="4">
                  <c:v>541</c:v>
                </c:pt>
              </c:numCache>
            </c:numRef>
          </c:val>
          <c:smooth val="0"/>
          <c:extLst xmlns:c16r2="http://schemas.microsoft.com/office/drawing/2015/06/chart">
            <c:ext xmlns:c16="http://schemas.microsoft.com/office/drawing/2014/chart" uri="{C3380CC4-5D6E-409C-BE32-E72D297353CC}">
              <c16:uniqueId val="{00000000-5B46-4040-9E1C-4AC8AFC68663}"/>
            </c:ext>
          </c:extLst>
        </c:ser>
        <c:ser>
          <c:idx val="1"/>
          <c:order val="1"/>
          <c:tx>
            <c:strRef>
              <c:f>'Edge + computing'!$K$3:$L$3</c:f>
              <c:strCache>
                <c:ptCount val="2"/>
                <c:pt idx="1">
                  <c:v>EU-28</c:v>
                </c:pt>
              </c:strCache>
            </c:strRef>
          </c:tx>
          <c:spPr>
            <a:ln w="28575" cap="rnd">
              <a:solidFill>
                <a:schemeClr val="accent2"/>
              </a:solidFill>
              <a:round/>
            </a:ln>
            <a:effectLst/>
          </c:spPr>
          <c:marker>
            <c:symbol val="none"/>
          </c:marker>
          <c:cat>
            <c:numRef>
              <c:f>'Edge + computing'!$R$1:$V$1</c:f>
              <c:numCache>
                <c:formatCode>General</c:formatCode>
                <c:ptCount val="5"/>
                <c:pt idx="0">
                  <c:v>2014</c:v>
                </c:pt>
                <c:pt idx="1">
                  <c:v>2015</c:v>
                </c:pt>
                <c:pt idx="2">
                  <c:v>2016</c:v>
                </c:pt>
                <c:pt idx="3">
                  <c:v>2017</c:v>
                </c:pt>
                <c:pt idx="4">
                  <c:v>2018</c:v>
                </c:pt>
              </c:numCache>
            </c:numRef>
          </c:cat>
          <c:val>
            <c:numRef>
              <c:f>'Edge + computing'!$R$3:$V$3</c:f>
              <c:numCache>
                <c:formatCode>General</c:formatCode>
                <c:ptCount val="5"/>
                <c:pt idx="0">
                  <c:v>1</c:v>
                </c:pt>
                <c:pt idx="1">
                  <c:v>4</c:v>
                </c:pt>
                <c:pt idx="2">
                  <c:v>15</c:v>
                </c:pt>
                <c:pt idx="3">
                  <c:v>64</c:v>
                </c:pt>
                <c:pt idx="4">
                  <c:v>170</c:v>
                </c:pt>
              </c:numCache>
            </c:numRef>
          </c:val>
          <c:smooth val="0"/>
          <c:extLst xmlns:c16r2="http://schemas.microsoft.com/office/drawing/2015/06/chart">
            <c:ext xmlns:c16="http://schemas.microsoft.com/office/drawing/2014/chart" uri="{C3380CC4-5D6E-409C-BE32-E72D297353CC}">
              <c16:uniqueId val="{00000001-5B46-4040-9E1C-4AC8AFC68663}"/>
            </c:ext>
          </c:extLst>
        </c:ser>
        <c:ser>
          <c:idx val="2"/>
          <c:order val="2"/>
          <c:tx>
            <c:strRef>
              <c:f>'Edge + computing'!$K$4:$L$4</c:f>
              <c:strCache>
                <c:ptCount val="2"/>
                <c:pt idx="1">
                  <c:v>South Korea</c:v>
                </c:pt>
              </c:strCache>
            </c:strRef>
          </c:tx>
          <c:spPr>
            <a:ln w="28575" cap="rnd">
              <a:solidFill>
                <a:schemeClr val="accent3"/>
              </a:solidFill>
              <a:round/>
            </a:ln>
            <a:effectLst/>
          </c:spPr>
          <c:marker>
            <c:symbol val="none"/>
          </c:marker>
          <c:cat>
            <c:numRef>
              <c:f>'Edge + computing'!$R$1:$V$1</c:f>
              <c:numCache>
                <c:formatCode>General</c:formatCode>
                <c:ptCount val="5"/>
                <c:pt idx="0">
                  <c:v>2014</c:v>
                </c:pt>
                <c:pt idx="1">
                  <c:v>2015</c:v>
                </c:pt>
                <c:pt idx="2">
                  <c:v>2016</c:v>
                </c:pt>
                <c:pt idx="3">
                  <c:v>2017</c:v>
                </c:pt>
                <c:pt idx="4">
                  <c:v>2018</c:v>
                </c:pt>
              </c:numCache>
            </c:numRef>
          </c:cat>
          <c:val>
            <c:numRef>
              <c:f>'Edge + computing'!$R$4:$V$4</c:f>
              <c:numCache>
                <c:formatCode>General</c:formatCode>
                <c:ptCount val="5"/>
                <c:pt idx="0">
                  <c:v>0</c:v>
                </c:pt>
                <c:pt idx="1">
                  <c:v>0</c:v>
                </c:pt>
                <c:pt idx="2">
                  <c:v>0</c:v>
                </c:pt>
                <c:pt idx="3">
                  <c:v>11</c:v>
                </c:pt>
                <c:pt idx="4">
                  <c:v>46</c:v>
                </c:pt>
              </c:numCache>
            </c:numRef>
          </c:val>
          <c:smooth val="0"/>
          <c:extLst xmlns:c16r2="http://schemas.microsoft.com/office/drawing/2015/06/chart">
            <c:ext xmlns:c16="http://schemas.microsoft.com/office/drawing/2014/chart" uri="{C3380CC4-5D6E-409C-BE32-E72D297353CC}">
              <c16:uniqueId val="{00000002-5B46-4040-9E1C-4AC8AFC68663}"/>
            </c:ext>
          </c:extLst>
        </c:ser>
        <c:ser>
          <c:idx val="3"/>
          <c:order val="3"/>
          <c:tx>
            <c:strRef>
              <c:f>'Edge + computing'!$K$5:$L$5</c:f>
              <c:strCache>
                <c:ptCount val="2"/>
                <c:pt idx="1">
                  <c:v>Taiwan</c:v>
                </c:pt>
              </c:strCache>
            </c:strRef>
          </c:tx>
          <c:spPr>
            <a:ln w="28575" cap="rnd">
              <a:solidFill>
                <a:schemeClr val="accent4"/>
              </a:solidFill>
              <a:round/>
            </a:ln>
            <a:effectLst/>
          </c:spPr>
          <c:marker>
            <c:symbol val="none"/>
          </c:marker>
          <c:cat>
            <c:numRef>
              <c:f>'Edge + computing'!$R$1:$V$1</c:f>
              <c:numCache>
                <c:formatCode>General</c:formatCode>
                <c:ptCount val="5"/>
                <c:pt idx="0">
                  <c:v>2014</c:v>
                </c:pt>
                <c:pt idx="1">
                  <c:v>2015</c:v>
                </c:pt>
                <c:pt idx="2">
                  <c:v>2016</c:v>
                </c:pt>
                <c:pt idx="3">
                  <c:v>2017</c:v>
                </c:pt>
                <c:pt idx="4">
                  <c:v>2018</c:v>
                </c:pt>
              </c:numCache>
            </c:numRef>
          </c:cat>
          <c:val>
            <c:numRef>
              <c:f>'Edge + computing'!$R$5:$V$5</c:f>
              <c:numCache>
                <c:formatCode>General</c:formatCode>
                <c:ptCount val="5"/>
                <c:pt idx="0">
                  <c:v>0</c:v>
                </c:pt>
                <c:pt idx="1">
                  <c:v>1</c:v>
                </c:pt>
                <c:pt idx="2">
                  <c:v>0</c:v>
                </c:pt>
                <c:pt idx="3">
                  <c:v>3</c:v>
                </c:pt>
                <c:pt idx="4">
                  <c:v>20</c:v>
                </c:pt>
              </c:numCache>
            </c:numRef>
          </c:val>
          <c:smooth val="0"/>
          <c:extLst xmlns:c16r2="http://schemas.microsoft.com/office/drawing/2015/06/chart">
            <c:ext xmlns:c16="http://schemas.microsoft.com/office/drawing/2014/chart" uri="{C3380CC4-5D6E-409C-BE32-E72D297353CC}">
              <c16:uniqueId val="{00000003-5B46-4040-9E1C-4AC8AFC68663}"/>
            </c:ext>
          </c:extLst>
        </c:ser>
        <c:ser>
          <c:idx val="4"/>
          <c:order val="4"/>
          <c:tx>
            <c:strRef>
              <c:f>'Edge + computing'!$K$6:$L$6</c:f>
              <c:strCache>
                <c:ptCount val="2"/>
                <c:pt idx="1">
                  <c:v>USA</c:v>
                </c:pt>
              </c:strCache>
            </c:strRef>
          </c:tx>
          <c:spPr>
            <a:ln w="28575" cap="rnd">
              <a:solidFill>
                <a:schemeClr val="accent5"/>
              </a:solidFill>
              <a:round/>
            </a:ln>
            <a:effectLst/>
          </c:spPr>
          <c:marker>
            <c:symbol val="none"/>
          </c:marker>
          <c:cat>
            <c:numRef>
              <c:f>'Edge + computing'!$R$1:$V$1</c:f>
              <c:numCache>
                <c:formatCode>General</c:formatCode>
                <c:ptCount val="5"/>
                <c:pt idx="0">
                  <c:v>2014</c:v>
                </c:pt>
                <c:pt idx="1">
                  <c:v>2015</c:v>
                </c:pt>
                <c:pt idx="2">
                  <c:v>2016</c:v>
                </c:pt>
                <c:pt idx="3">
                  <c:v>2017</c:v>
                </c:pt>
                <c:pt idx="4">
                  <c:v>2018</c:v>
                </c:pt>
              </c:numCache>
            </c:numRef>
          </c:cat>
          <c:val>
            <c:numRef>
              <c:f>'Edge + computing'!$R$6:$V$6</c:f>
              <c:numCache>
                <c:formatCode>General</c:formatCode>
                <c:ptCount val="5"/>
                <c:pt idx="0">
                  <c:v>0</c:v>
                </c:pt>
                <c:pt idx="1">
                  <c:v>2</c:v>
                </c:pt>
                <c:pt idx="2">
                  <c:v>8</c:v>
                </c:pt>
                <c:pt idx="3">
                  <c:v>45</c:v>
                </c:pt>
                <c:pt idx="4">
                  <c:v>113</c:v>
                </c:pt>
              </c:numCache>
            </c:numRef>
          </c:val>
          <c:smooth val="0"/>
          <c:extLst xmlns:c16r2="http://schemas.microsoft.com/office/drawing/2015/06/chart">
            <c:ext xmlns:c16="http://schemas.microsoft.com/office/drawing/2014/chart" uri="{C3380CC4-5D6E-409C-BE32-E72D297353CC}">
              <c16:uniqueId val="{00000004-5B46-4040-9E1C-4AC8AFC68663}"/>
            </c:ext>
          </c:extLst>
        </c:ser>
        <c:ser>
          <c:idx val="5"/>
          <c:order val="5"/>
          <c:tx>
            <c:strRef>
              <c:f>'Edge + computing'!$K$7:$L$7</c:f>
              <c:strCache>
                <c:ptCount val="2"/>
                <c:pt idx="1">
                  <c:v>China</c:v>
                </c:pt>
              </c:strCache>
            </c:strRef>
          </c:tx>
          <c:spPr>
            <a:ln w="28575" cap="rnd">
              <a:solidFill>
                <a:schemeClr val="accent6"/>
              </a:solidFill>
              <a:round/>
            </a:ln>
            <a:effectLst/>
          </c:spPr>
          <c:marker>
            <c:symbol val="none"/>
          </c:marker>
          <c:cat>
            <c:numRef>
              <c:f>'Edge + computing'!$R$1:$V$1</c:f>
              <c:numCache>
                <c:formatCode>General</c:formatCode>
                <c:ptCount val="5"/>
                <c:pt idx="0">
                  <c:v>2014</c:v>
                </c:pt>
                <c:pt idx="1">
                  <c:v>2015</c:v>
                </c:pt>
                <c:pt idx="2">
                  <c:v>2016</c:v>
                </c:pt>
                <c:pt idx="3">
                  <c:v>2017</c:v>
                </c:pt>
                <c:pt idx="4">
                  <c:v>2018</c:v>
                </c:pt>
              </c:numCache>
            </c:numRef>
          </c:cat>
          <c:val>
            <c:numRef>
              <c:f>'Edge + computing'!$R$7:$V$7</c:f>
              <c:numCache>
                <c:formatCode>General</c:formatCode>
                <c:ptCount val="5"/>
                <c:pt idx="0">
                  <c:v>0</c:v>
                </c:pt>
                <c:pt idx="1">
                  <c:v>0</c:v>
                </c:pt>
                <c:pt idx="2">
                  <c:v>6</c:v>
                </c:pt>
                <c:pt idx="3">
                  <c:v>52</c:v>
                </c:pt>
                <c:pt idx="4">
                  <c:v>246</c:v>
                </c:pt>
              </c:numCache>
            </c:numRef>
          </c:val>
          <c:smooth val="0"/>
          <c:extLst xmlns:c16r2="http://schemas.microsoft.com/office/drawing/2015/06/chart">
            <c:ext xmlns:c16="http://schemas.microsoft.com/office/drawing/2014/chart" uri="{C3380CC4-5D6E-409C-BE32-E72D297353CC}">
              <c16:uniqueId val="{00000005-5B46-4040-9E1C-4AC8AFC68663}"/>
            </c:ext>
          </c:extLst>
        </c:ser>
        <c:dLbls>
          <c:showLegendKey val="0"/>
          <c:showVal val="0"/>
          <c:showCatName val="0"/>
          <c:showSerName val="0"/>
          <c:showPercent val="0"/>
          <c:showBubbleSize val="0"/>
        </c:dLbls>
        <c:marker val="1"/>
        <c:smooth val="0"/>
        <c:axId val="102702464"/>
        <c:axId val="102704256"/>
      </c:lineChart>
      <c:catAx>
        <c:axId val="1027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704256"/>
        <c:crosses val="autoZero"/>
        <c:auto val="1"/>
        <c:lblAlgn val="ctr"/>
        <c:lblOffset val="100"/>
        <c:noMultiLvlLbl val="0"/>
      </c:catAx>
      <c:valAx>
        <c:axId val="10270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702464"/>
        <c:crosses val="autoZero"/>
        <c:crossBetween val="between"/>
      </c:valAx>
      <c:spPr>
        <a:noFill/>
        <a:ln>
          <a:noFill/>
        </a:ln>
        <a:effectLst/>
      </c:spPr>
    </c:plotArea>
    <c:legend>
      <c:legendPos val="b"/>
      <c:layout>
        <c:manualLayout>
          <c:xMode val="edge"/>
          <c:yMode val="edge"/>
          <c:x val="7.4724639169546081E-2"/>
          <c:y val="0.79752492725094137"/>
          <c:w val="0.8936499238451725"/>
          <c:h val="0.1745415739472783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lumMod val="75000"/>
        </a:schemeClr>
      </a:solidFill>
      <a:round/>
    </a:ln>
    <a:effectLst/>
  </c:spPr>
  <c:txPr>
    <a:bodyPr/>
    <a:lstStyle/>
    <a:p>
      <a:pPr>
        <a:defRPr sz="7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'https://technopolisltd223.sharepoint.com/sites/3194KDT/Shared Documents/7 Data/Bibliometrics_patents/Scopus outcomes/[PS_KDT_Scopus keywords_expert validated_28.10.19.xlsx]Microelectronics'!$L$2</c:f>
              <c:strCache>
                <c:ptCount val="1"/>
                <c:pt idx="0">
                  <c:v>World</c:v>
                </c:pt>
              </c:strCache>
            </c:strRef>
          </c:tx>
          <c:spPr>
            <a:ln w="28575" cap="rnd">
              <a:solidFill>
                <a:schemeClr val="accent1"/>
              </a:solidFill>
              <a:round/>
            </a:ln>
            <a:effectLst/>
          </c:spPr>
          <c:marker>
            <c:symbol val="none"/>
          </c:marker>
          <c:cat>
            <c:numRef>
              <c:f>[1]Microelectronics!$M$1:$V$1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[1]Microelectronics!$M$2:$V$2</c:f>
              <c:numCache>
                <c:formatCode>General</c:formatCode>
                <c:ptCount val="10"/>
                <c:pt idx="0">
                  <c:v>207</c:v>
                </c:pt>
                <c:pt idx="1">
                  <c:v>301</c:v>
                </c:pt>
                <c:pt idx="2">
                  <c:v>293</c:v>
                </c:pt>
                <c:pt idx="3">
                  <c:v>320</c:v>
                </c:pt>
                <c:pt idx="4">
                  <c:v>391</c:v>
                </c:pt>
                <c:pt idx="5">
                  <c:v>386</c:v>
                </c:pt>
                <c:pt idx="6">
                  <c:v>490</c:v>
                </c:pt>
                <c:pt idx="7">
                  <c:v>468</c:v>
                </c:pt>
                <c:pt idx="8">
                  <c:v>498</c:v>
                </c:pt>
                <c:pt idx="9">
                  <c:v>533</c:v>
                </c:pt>
              </c:numCache>
            </c:numRef>
          </c:val>
          <c:smooth val="0"/>
          <c:extLst xmlns:c16r2="http://schemas.microsoft.com/office/drawing/2015/06/chart">
            <c:ext xmlns:c16="http://schemas.microsoft.com/office/drawing/2014/chart" uri="{C3380CC4-5D6E-409C-BE32-E72D297353CC}">
              <c16:uniqueId val="{00000000-FB78-427A-9556-AC6C4BA090C7}"/>
            </c:ext>
          </c:extLst>
        </c:ser>
        <c:ser>
          <c:idx val="1"/>
          <c:order val="1"/>
          <c:tx>
            <c:strRef>
              <c:f>'https://technopolisltd223.sharepoint.com/sites/3194KDT/Shared Documents/7 Data/Bibliometrics_patents/Scopus outcomes/[PS_KDT_Scopus keywords_expert validated_28.10.19.xlsx]Microelectronics'!$L$3</c:f>
              <c:strCache>
                <c:ptCount val="1"/>
                <c:pt idx="0">
                  <c:v>EU-28</c:v>
                </c:pt>
              </c:strCache>
            </c:strRef>
          </c:tx>
          <c:spPr>
            <a:ln w="28575" cap="rnd">
              <a:solidFill>
                <a:schemeClr val="accent2"/>
              </a:solidFill>
              <a:round/>
            </a:ln>
            <a:effectLst/>
          </c:spPr>
          <c:marker>
            <c:symbol val="none"/>
          </c:marker>
          <c:cat>
            <c:numRef>
              <c:f>[1]Microelectronics!$M$1:$V$1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[1]Microelectronics!$M$3:$V$3</c:f>
              <c:numCache>
                <c:formatCode>General</c:formatCode>
                <c:ptCount val="10"/>
                <c:pt idx="0">
                  <c:v>82</c:v>
                </c:pt>
                <c:pt idx="1">
                  <c:v>102</c:v>
                </c:pt>
                <c:pt idx="2">
                  <c:v>96</c:v>
                </c:pt>
                <c:pt idx="3">
                  <c:v>120</c:v>
                </c:pt>
                <c:pt idx="4">
                  <c:v>133</c:v>
                </c:pt>
                <c:pt idx="5">
                  <c:v>136</c:v>
                </c:pt>
                <c:pt idx="6">
                  <c:v>143</c:v>
                </c:pt>
                <c:pt idx="7">
                  <c:v>153</c:v>
                </c:pt>
                <c:pt idx="8">
                  <c:v>132</c:v>
                </c:pt>
                <c:pt idx="9">
                  <c:v>148</c:v>
                </c:pt>
              </c:numCache>
            </c:numRef>
          </c:val>
          <c:smooth val="0"/>
          <c:extLst xmlns:c16r2="http://schemas.microsoft.com/office/drawing/2015/06/chart">
            <c:ext xmlns:c16="http://schemas.microsoft.com/office/drawing/2014/chart" uri="{C3380CC4-5D6E-409C-BE32-E72D297353CC}">
              <c16:uniqueId val="{00000001-FB78-427A-9556-AC6C4BA090C7}"/>
            </c:ext>
          </c:extLst>
        </c:ser>
        <c:ser>
          <c:idx val="2"/>
          <c:order val="2"/>
          <c:tx>
            <c:strRef>
              <c:f>'https://technopolisltd223.sharepoint.com/sites/3194KDT/Shared Documents/7 Data/Bibliometrics_patents/Scopus outcomes/[PS_KDT_Scopus keywords_expert validated_28.10.19.xlsx]Microelectronics'!$L$4</c:f>
              <c:strCache>
                <c:ptCount val="1"/>
                <c:pt idx="0">
                  <c:v>South Korea</c:v>
                </c:pt>
              </c:strCache>
            </c:strRef>
          </c:tx>
          <c:spPr>
            <a:ln w="28575" cap="rnd">
              <a:solidFill>
                <a:schemeClr val="accent3"/>
              </a:solidFill>
              <a:round/>
            </a:ln>
            <a:effectLst/>
          </c:spPr>
          <c:marker>
            <c:symbol val="none"/>
          </c:marker>
          <c:cat>
            <c:numRef>
              <c:f>[1]Microelectronics!$M$1:$V$1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[1]Microelectronics!$M$4:$V$4</c:f>
              <c:numCache>
                <c:formatCode>General</c:formatCode>
                <c:ptCount val="10"/>
                <c:pt idx="0">
                  <c:v>7</c:v>
                </c:pt>
                <c:pt idx="1">
                  <c:v>15</c:v>
                </c:pt>
                <c:pt idx="2">
                  <c:v>13</c:v>
                </c:pt>
                <c:pt idx="3">
                  <c:v>14</c:v>
                </c:pt>
                <c:pt idx="4">
                  <c:v>16</c:v>
                </c:pt>
                <c:pt idx="5">
                  <c:v>15</c:v>
                </c:pt>
                <c:pt idx="6">
                  <c:v>29</c:v>
                </c:pt>
                <c:pt idx="7">
                  <c:v>19</c:v>
                </c:pt>
                <c:pt idx="8">
                  <c:v>16</c:v>
                </c:pt>
                <c:pt idx="9">
                  <c:v>14</c:v>
                </c:pt>
              </c:numCache>
            </c:numRef>
          </c:val>
          <c:smooth val="0"/>
          <c:extLst xmlns:c16r2="http://schemas.microsoft.com/office/drawing/2015/06/chart">
            <c:ext xmlns:c16="http://schemas.microsoft.com/office/drawing/2014/chart" uri="{C3380CC4-5D6E-409C-BE32-E72D297353CC}">
              <c16:uniqueId val="{00000002-FB78-427A-9556-AC6C4BA090C7}"/>
            </c:ext>
          </c:extLst>
        </c:ser>
        <c:ser>
          <c:idx val="3"/>
          <c:order val="3"/>
          <c:tx>
            <c:strRef>
              <c:f>'https://technopolisltd223.sharepoint.com/sites/3194KDT/Shared Documents/7 Data/Bibliometrics_patents/Scopus outcomes/[PS_KDT_Scopus keywords_expert validated_28.10.19.xlsx]Microelectronics'!$L$5</c:f>
              <c:strCache>
                <c:ptCount val="1"/>
                <c:pt idx="0">
                  <c:v>Taiwan</c:v>
                </c:pt>
              </c:strCache>
            </c:strRef>
          </c:tx>
          <c:spPr>
            <a:ln w="28575" cap="rnd">
              <a:solidFill>
                <a:schemeClr val="accent4"/>
              </a:solidFill>
              <a:round/>
            </a:ln>
            <a:effectLst/>
          </c:spPr>
          <c:marker>
            <c:symbol val="none"/>
          </c:marker>
          <c:cat>
            <c:numRef>
              <c:f>[1]Microelectronics!$M$1:$V$1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[1]Microelectronics!$M$5:$V$5</c:f>
              <c:numCache>
                <c:formatCode>General</c:formatCode>
                <c:ptCount val="10"/>
                <c:pt idx="0">
                  <c:v>3</c:v>
                </c:pt>
                <c:pt idx="1">
                  <c:v>17</c:v>
                </c:pt>
                <c:pt idx="2">
                  <c:v>7</c:v>
                </c:pt>
                <c:pt idx="3">
                  <c:v>10</c:v>
                </c:pt>
                <c:pt idx="4">
                  <c:v>18</c:v>
                </c:pt>
                <c:pt idx="5">
                  <c:v>22</c:v>
                </c:pt>
                <c:pt idx="6">
                  <c:v>20</c:v>
                </c:pt>
                <c:pt idx="7">
                  <c:v>35</c:v>
                </c:pt>
                <c:pt idx="8">
                  <c:v>11</c:v>
                </c:pt>
                <c:pt idx="9">
                  <c:v>17</c:v>
                </c:pt>
              </c:numCache>
            </c:numRef>
          </c:val>
          <c:smooth val="0"/>
          <c:extLst xmlns:c16r2="http://schemas.microsoft.com/office/drawing/2015/06/chart">
            <c:ext xmlns:c16="http://schemas.microsoft.com/office/drawing/2014/chart" uri="{C3380CC4-5D6E-409C-BE32-E72D297353CC}">
              <c16:uniqueId val="{00000003-FB78-427A-9556-AC6C4BA090C7}"/>
            </c:ext>
          </c:extLst>
        </c:ser>
        <c:ser>
          <c:idx val="4"/>
          <c:order val="4"/>
          <c:tx>
            <c:strRef>
              <c:f>'https://technopolisltd223.sharepoint.com/sites/3194KDT/Shared Documents/7 Data/Bibliometrics_patents/Scopus outcomes/[PS_KDT_Scopus keywords_expert validated_28.10.19.xlsx]Microelectronics'!$L$6</c:f>
              <c:strCache>
                <c:ptCount val="1"/>
                <c:pt idx="0">
                  <c:v>USA</c:v>
                </c:pt>
              </c:strCache>
            </c:strRef>
          </c:tx>
          <c:spPr>
            <a:ln w="28575" cap="rnd">
              <a:solidFill>
                <a:schemeClr val="accent5"/>
              </a:solidFill>
              <a:round/>
            </a:ln>
            <a:effectLst/>
          </c:spPr>
          <c:marker>
            <c:symbol val="none"/>
          </c:marker>
          <c:cat>
            <c:numRef>
              <c:f>[1]Microelectronics!$M$1:$V$1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[1]Microelectronics!$M$6:$V$6</c:f>
              <c:numCache>
                <c:formatCode>General</c:formatCode>
                <c:ptCount val="10"/>
                <c:pt idx="0">
                  <c:v>54</c:v>
                </c:pt>
                <c:pt idx="1">
                  <c:v>92</c:v>
                </c:pt>
                <c:pt idx="2">
                  <c:v>80</c:v>
                </c:pt>
                <c:pt idx="3">
                  <c:v>87</c:v>
                </c:pt>
                <c:pt idx="4">
                  <c:v>95</c:v>
                </c:pt>
                <c:pt idx="5">
                  <c:v>95</c:v>
                </c:pt>
                <c:pt idx="6">
                  <c:v>111</c:v>
                </c:pt>
                <c:pt idx="7">
                  <c:v>99</c:v>
                </c:pt>
                <c:pt idx="8">
                  <c:v>108</c:v>
                </c:pt>
                <c:pt idx="9">
                  <c:v>113</c:v>
                </c:pt>
              </c:numCache>
            </c:numRef>
          </c:val>
          <c:smooth val="0"/>
          <c:extLst xmlns:c16r2="http://schemas.microsoft.com/office/drawing/2015/06/chart">
            <c:ext xmlns:c16="http://schemas.microsoft.com/office/drawing/2014/chart" uri="{C3380CC4-5D6E-409C-BE32-E72D297353CC}">
              <c16:uniqueId val="{00000004-FB78-427A-9556-AC6C4BA090C7}"/>
            </c:ext>
          </c:extLst>
        </c:ser>
        <c:ser>
          <c:idx val="5"/>
          <c:order val="5"/>
          <c:tx>
            <c:strRef>
              <c:f>'https://technopolisltd223.sharepoint.com/sites/3194KDT/Shared Documents/7 Data/Bibliometrics_patents/Scopus outcomes/[PS_KDT_Scopus keywords_expert validated_28.10.19.xlsx]Microelectronics'!$L$7</c:f>
              <c:strCache>
                <c:ptCount val="1"/>
                <c:pt idx="0">
                  <c:v>China</c:v>
                </c:pt>
              </c:strCache>
            </c:strRef>
          </c:tx>
          <c:spPr>
            <a:ln w="28575" cap="rnd">
              <a:solidFill>
                <a:schemeClr val="accent6"/>
              </a:solidFill>
              <a:round/>
            </a:ln>
            <a:effectLst/>
          </c:spPr>
          <c:marker>
            <c:symbol val="none"/>
          </c:marker>
          <c:cat>
            <c:numRef>
              <c:f>[1]Microelectronics!$M$1:$V$1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[1]Microelectronics!$M$7:$V$7</c:f>
              <c:numCache>
                <c:formatCode>General</c:formatCode>
                <c:ptCount val="10"/>
                <c:pt idx="0">
                  <c:v>30</c:v>
                </c:pt>
                <c:pt idx="1">
                  <c:v>42</c:v>
                </c:pt>
                <c:pt idx="2">
                  <c:v>50</c:v>
                </c:pt>
                <c:pt idx="3">
                  <c:v>51</c:v>
                </c:pt>
                <c:pt idx="4">
                  <c:v>95</c:v>
                </c:pt>
                <c:pt idx="5">
                  <c:v>85</c:v>
                </c:pt>
                <c:pt idx="6">
                  <c:v>116</c:v>
                </c:pt>
                <c:pt idx="7">
                  <c:v>108</c:v>
                </c:pt>
                <c:pt idx="8">
                  <c:v>153</c:v>
                </c:pt>
                <c:pt idx="9">
                  <c:v>193</c:v>
                </c:pt>
              </c:numCache>
            </c:numRef>
          </c:val>
          <c:smooth val="0"/>
          <c:extLst xmlns:c16r2="http://schemas.microsoft.com/office/drawing/2015/06/chart">
            <c:ext xmlns:c16="http://schemas.microsoft.com/office/drawing/2014/chart" uri="{C3380CC4-5D6E-409C-BE32-E72D297353CC}">
              <c16:uniqueId val="{00000005-FB78-427A-9556-AC6C4BA090C7}"/>
            </c:ext>
          </c:extLst>
        </c:ser>
        <c:dLbls>
          <c:showLegendKey val="0"/>
          <c:showVal val="0"/>
          <c:showCatName val="0"/>
          <c:showSerName val="0"/>
          <c:showPercent val="0"/>
          <c:showBubbleSize val="0"/>
        </c:dLbls>
        <c:marker val="1"/>
        <c:smooth val="0"/>
        <c:axId val="102847616"/>
        <c:axId val="102849152"/>
      </c:lineChart>
      <c:catAx>
        <c:axId val="10284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2849152"/>
        <c:crosses val="autoZero"/>
        <c:auto val="1"/>
        <c:lblAlgn val="ctr"/>
        <c:lblOffset val="100"/>
        <c:noMultiLvlLbl val="0"/>
      </c:catAx>
      <c:valAx>
        <c:axId val="10284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2847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lumMod val="75000"/>
        </a:schemeClr>
      </a:solidFill>
      <a:round/>
    </a:ln>
    <a:effectLst/>
  </c:spPr>
  <c:txPr>
    <a:bodyPr/>
    <a:lstStyle/>
    <a:p>
      <a:pPr>
        <a:defRPr sz="7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'https://technopolisltd223.sharepoint.com/sites/3194KDT/Shared Documents/7 Data/Bibliometrics_patents/Scopus outcomes/[PS_KDT_Scopus keywords_expert validated_28.10.19.xlsx]Microelectronics'!$M$10</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9-4A9F-BC3C-A5211E41BA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9-4A9F-BC3C-A5211E41BA9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29-4A9F-BC3C-A5211E41BA9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929-4A9F-BC3C-A5211E41BA9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929-4A9F-BC3C-A5211E41BA9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929-4A9F-BC3C-A5211E41BA9E}"/>
              </c:ext>
            </c:extLst>
          </c:dPt>
          <c:dLbls>
            <c:dLbl>
              <c:idx val="1"/>
              <c:layout>
                <c:manualLayout>
                  <c:x val="8.611111111111111E-2"/>
                  <c:y val="-9.259259259259428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929-4A9F-BC3C-A5211E41BA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[1]Microelectronics!$L$11:$L$16</c:f>
              <c:strCache>
                <c:ptCount val="6"/>
                <c:pt idx="0">
                  <c:v>EU-28</c:v>
                </c:pt>
                <c:pt idx="1">
                  <c:v>South Korea</c:v>
                </c:pt>
                <c:pt idx="2">
                  <c:v>Taiwan</c:v>
                </c:pt>
                <c:pt idx="3">
                  <c:v>USA</c:v>
                </c:pt>
                <c:pt idx="4">
                  <c:v>China</c:v>
                </c:pt>
                <c:pt idx="5">
                  <c:v>Rest of the world</c:v>
                </c:pt>
              </c:strCache>
            </c:strRef>
          </c:cat>
          <c:val>
            <c:numRef>
              <c:f>[1]Microelectronics!$M$11:$M$16</c:f>
              <c:numCache>
                <c:formatCode>General</c:formatCode>
                <c:ptCount val="6"/>
                <c:pt idx="0">
                  <c:v>0.31474654377880185</c:v>
                </c:pt>
                <c:pt idx="1">
                  <c:v>3.9861751152073729E-2</c:v>
                </c:pt>
                <c:pt idx="2">
                  <c:v>3.8940092165898617E-2</c:v>
                </c:pt>
                <c:pt idx="3">
                  <c:v>0.23571428571428571</c:v>
                </c:pt>
                <c:pt idx="4">
                  <c:v>0.25299539170506913</c:v>
                </c:pt>
                <c:pt idx="5">
                  <c:v>0.11774193548387096</c:v>
                </c:pt>
              </c:numCache>
            </c:numRef>
          </c:val>
          <c:extLst xmlns:c16r2="http://schemas.microsoft.com/office/drawing/2015/06/chart">
            <c:ext xmlns:c16="http://schemas.microsoft.com/office/drawing/2014/chart" uri="{C3380CC4-5D6E-409C-BE32-E72D297353CC}">
              <c16:uniqueId val="{0000000C-4929-4A9F-BC3C-A5211E41BA9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4cfaf00e-91a2-42d1-9739-ae3fff086cb6">
      <Terms xmlns="http://schemas.microsoft.com/office/infopath/2007/PartnerControls"/>
    </TaxKeywordTaxHTField>
    <TaxCatchAll xmlns="4cfaf00e-91a2-42d1-9739-ae3fff086cb6"/>
    <PublishingExpirationDate xmlns="http://schemas.microsoft.com/sharepoint/v3" xsi:nil="true"/>
    <PublishingStartDate xmlns="http://schemas.microsoft.com/sharepoint/v3" xsi:nil="true"/>
  </documentManagement>
</p:properties>
</file>

<file path=customXml/item2.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3.xml><?xml version="1.0" encoding="utf-8"?>
<EurolookProperties>
  <ProductCustomizationId>EC</ProductCustomizationId>
  <Created>
    <Version>10.0.39616.0</Version>
    <Date>2019-09-23T16:05:31</Date>
    <Language>EN</Language>
    <Note/>
  </Created>
  <Edited>
    <Version>10.0.41789.0</Version>
    <Date>2021-02-18T11:05:58</Date>
  </Edited>
  <DocumentModel>
    <Id>0b054141-88b1-4efb-8c91-2905cb0bed6c</Id>
    <Name>Note</Name>
  </DocumentModel>
  <DocumentDate>2019-09-23T16:05:31</DocumentDate>
  <DocumentVersion>0.1</DocumentVersion>
  <CompatibilityMode>Eurolook10</CompatibilityMode>
</Eurolook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9377DF29688D4F86290D2EB10A4E27" ma:contentTypeVersion="4" ma:contentTypeDescription="Create a new document." ma:contentTypeScope="" ma:versionID="29286cd41d3ec38c47148b2b1d9bbc99">
  <xsd:schema xmlns:xsd="http://www.w3.org/2001/XMLSchema" xmlns:xs="http://www.w3.org/2001/XMLSchema" xmlns:p="http://schemas.microsoft.com/office/2006/metadata/properties" xmlns:ns1="http://schemas.microsoft.com/sharepoint/v3" xmlns:ns2="4cfaf00e-91a2-42d1-9739-ae3fff086cb6" targetNamespace="http://schemas.microsoft.com/office/2006/metadata/properties" ma:root="true" ma:fieldsID="cc1f78705e6f5da4c7879ac6c162196e" ns1:_="" ns2:_="">
    <xsd:import namespace="http://schemas.microsoft.com/sharepoint/v3"/>
    <xsd:import namespace="4cfaf00e-91a2-42d1-9739-ae3fff086cb6"/>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faf00e-91a2-42d1-9739-ae3fff086cb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02be438-db1a-4e0f-99e5-a9f6c021be82"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3d46478d-bcd9-45b5-8234-db1216f3839e}" ma:internalName="TaxCatchAll" ma:showField="CatchAllData" ma:web="4cfaf00e-91a2-42d1-9739-ae3fff086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37CEC46-35C6-4015-8CD6-3B20B6EA817F}">
  <ds:schemaRefs>
    <ds:schemaRef ds:uri="4cfaf00e-91a2-42d1-9739-ae3fff086cb6"/>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E044946-5330-43F7-8D16-AA78684F2938}">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A921FE0B-8F9C-4AD2-9474-E025A6FC3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faf00e-91a2-42d1-9739-ae3fff08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B09DE7-ADBD-4A96-A513-AB3C9DFF44FA}">
  <ds:schemaRefs>
    <ds:schemaRef ds:uri="http://schemas.microsoft.com/sharepoint/v3/contenttype/forms"/>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008F12CB-3784-486E-B9CD-756C8733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21848</Words>
  <Characters>129123</Characters>
  <Application>Microsoft Office Word</Application>
  <DocSecurity>0</DocSecurity>
  <PresentationFormat>Microsoft Word 14.0</PresentationFormat>
  <Lines>3074</Lines>
  <Paragraphs>1237</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2020-12-10T11:03:00Z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7</vt:lpwstr>
  </property>
  <property fmtid="{D5CDD505-2E9C-101B-9397-08002B2CF9AE}" pid="4" name="Total parts">
    <vt:lpwstr>19</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7.0.1, Build 20190916</vt:lpwstr>
  </property>
  <property fmtid="{D5CDD505-2E9C-101B-9397-08002B2CF9AE}" pid="8" name="CPTemplateID">
    <vt:lpwstr>CP-026</vt:lpwstr>
  </property>
  <property fmtid="{D5CDD505-2E9C-101B-9397-08002B2CF9AE}" pid="9" name="_LW_INVALIDATED__LW_INVALIDATED_ContentTypeId">
    <vt:lpwstr>0x0101005D9377DF29688D4F86290D2EB10A4E27</vt:lpwstr>
  </property>
</Properties>
</file>