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BAA90ED5-08E8-424D-8C9F-4531A4B56A80" style="width:450.4pt;height:379.25pt">
            <v:imagedata r:id="rId8" o:title=""/>
          </v:shape>
        </w:pict>
      </w:r>
    </w:p>
    <w:bookmarkEnd w:id="0"/>
    <w:p>
      <w:p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>ПРИЛОЖЕНИЕ I</w:t>
      </w:r>
    </w:p>
    <w:p>
      <w:pPr>
        <w:jc w:val="center"/>
      </w:pPr>
      <w:r>
        <w:t>Количества храни (в тонове), обработени с йонизиращо облъчване в одобрени съоръжения за облъчване в държавите — членки на ЕС</w:t>
      </w:r>
    </w:p>
    <w:tbl>
      <w:tblPr>
        <w:tblStyle w:val="TableGrid"/>
        <w:tblW w:w="5812" w:type="dxa"/>
        <w:tblInd w:w="1526" w:type="dxa"/>
        <w:tblLook w:val="04A0" w:firstRow="1" w:lastRow="0" w:firstColumn="1" w:lastColumn="0" w:noHBand="0" w:noVBand="1"/>
      </w:tblPr>
      <w:tblGrid>
        <w:gridCol w:w="3080"/>
        <w:gridCol w:w="2732"/>
      </w:tblGrid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Държава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Обработено количество</w:t>
            </w:r>
            <w:r>
              <w:t xml:space="preserve"> </w:t>
            </w:r>
            <w:r>
              <w:br/>
            </w:r>
            <w:r>
              <w:rPr>
                <w:b/>
                <w:color w:val="000000"/>
                <w:szCs w:val="24"/>
              </w:rPr>
              <w:t>(в тонове)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Белгия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6377,0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Чешка република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33,2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Германия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308,9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Естония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71,0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363,0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Франция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355,6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Хърватия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14,7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Унгария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243,0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Нидерландия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46,0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Полша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before="40" w:after="40" w:line="210" w:lineRule="atLeast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19,5</w:t>
            </w:r>
          </w:p>
        </w:tc>
      </w:tr>
      <w:t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Общо ЕС: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10" w:lineRule="atLeast"/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7831,9</w:t>
            </w:r>
          </w:p>
        </w:tc>
      </w:tr>
    </w:tbl>
    <w:p>
      <w:pPr>
        <w:jc w:val="center"/>
      </w:pPr>
    </w:p>
    <w:p>
      <w: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 II</w:t>
      </w:r>
    </w:p>
    <w:p>
      <w:pPr>
        <w:jc w:val="center"/>
      </w:pPr>
      <w:r>
        <w:t>Анализирани проби и получени резултати за държавите от Европейския съюз и ЕАСТ:</w:t>
      </w:r>
    </w:p>
    <w:tbl>
      <w:tblPr>
        <w:tblStyle w:val="TableGrid"/>
        <w:tblW w:w="103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67"/>
        <w:gridCol w:w="1756"/>
        <w:gridCol w:w="1738"/>
        <w:gridCol w:w="1843"/>
        <w:gridCol w:w="1456"/>
        <w:gridCol w:w="1456"/>
      </w:tblGrid>
      <w:tr>
        <w:trPr>
          <w:trHeight w:val="489"/>
        </w:trPr>
        <w:tc>
          <w:tcPr>
            <w:tcW w:w="2067" w:type="dxa"/>
            <w:vAlign w:val="center"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000000"/>
                <w:szCs w:val="24"/>
              </w:rPr>
              <w:t>Държава</w:t>
            </w:r>
          </w:p>
        </w:tc>
        <w:tc>
          <w:tcPr>
            <w:tcW w:w="1756" w:type="dxa"/>
            <w:vAlign w:val="center"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000000"/>
                <w:szCs w:val="24"/>
              </w:rPr>
              <w:t>Отговарящи на изискванията</w:t>
            </w:r>
          </w:p>
        </w:tc>
        <w:tc>
          <w:tcPr>
            <w:tcW w:w="1738" w:type="dxa"/>
            <w:vAlign w:val="center"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000000"/>
                <w:szCs w:val="24"/>
              </w:rPr>
              <w:t>Неопределени</w:t>
            </w:r>
          </w:p>
        </w:tc>
        <w:tc>
          <w:tcPr>
            <w:tcW w:w="1843" w:type="dxa"/>
            <w:vAlign w:val="center"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000000"/>
                <w:szCs w:val="24"/>
              </w:rPr>
              <w:t>Неотговарящи на изискванията</w:t>
            </w:r>
          </w:p>
        </w:tc>
        <w:tc>
          <w:tcPr>
            <w:tcW w:w="1456" w:type="dxa"/>
            <w:vAlign w:val="center"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000000"/>
                <w:szCs w:val="24"/>
              </w:rPr>
              <w:t>Общо проби</w:t>
            </w:r>
          </w:p>
        </w:tc>
        <w:tc>
          <w:tcPr>
            <w:tcW w:w="1456" w:type="dxa"/>
            <w:vAlign w:val="center"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000000"/>
                <w:szCs w:val="24"/>
              </w:rPr>
              <w:t>% от общия брой проби в ЕС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Белгия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1,6 %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България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0,1 %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Чешка република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0,6 %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Дания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5314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5362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54,7 %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Естония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0,2 %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Ирландия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1,3 %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Гърция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0,1 %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Испания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3,0 %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2,5 %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Хърватия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1,2 %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9,0 %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Кипър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Латвия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0,2 %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Литва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0,3 %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Люксембург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0,4 %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Унгария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1,2 %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Малта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1,2 %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Нидерландия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2,1 %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Австрия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1,3 %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Полша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6,1 %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Португалия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0,3 %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Румъния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7,8 %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Словения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0,5 %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Словакия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0,5 %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Финландия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3,8 %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Обединено кралство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0,1 %</w:t>
            </w:r>
          </w:p>
        </w:tc>
      </w:tr>
      <w:tr>
        <w:trPr>
          <w:trHeight w:val="363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ОБЩО ЕС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9637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9808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100 %</w:t>
            </w:r>
          </w:p>
        </w:tc>
      </w:tr>
      <w:tr>
        <w:trPr>
          <w:trHeight w:val="363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ОБЩО ЕС(%)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98,3 %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1 %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1 %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100 %</w:t>
            </w:r>
          </w:p>
        </w:tc>
        <w:tc>
          <w:tcPr>
            <w:tcW w:w="1456" w:type="dxa"/>
            <w:noWrap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75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67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ННП</w:t>
            </w:r>
          </w:p>
        </w:tc>
      </w:tr>
      <w:tr>
        <w:trPr>
          <w:trHeight w:val="363"/>
        </w:trPr>
        <w:tc>
          <w:tcPr>
            <w:tcW w:w="2067" w:type="dxa"/>
            <w:noWrap/>
            <w:hideMark/>
          </w:tcPr>
          <w:p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Норвегия</w:t>
            </w:r>
          </w:p>
        </w:tc>
        <w:tc>
          <w:tcPr>
            <w:tcW w:w="17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8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6" w:type="dxa"/>
            <w:noWrap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100 %</w:t>
            </w:r>
          </w:p>
        </w:tc>
      </w:tr>
    </w:tbl>
    <w:p>
      <w:pPr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ННП: няма направена проверка</w:t>
      </w:r>
    </w:p>
    <w:p>
      <w:pPr>
        <w:rPr>
          <w:bCs/>
          <w:color w:val="000000"/>
          <w:szCs w:val="24"/>
        </w:rPr>
      </w:pPr>
      <w:r>
        <w:br w:type="page"/>
      </w: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jc w:val="center"/>
      </w:pPr>
      <w:r>
        <w:t>Категории облъчени продукти и съответни приложени дози по държави</w:t>
      </w: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555"/>
        <w:gridCol w:w="2361"/>
      </w:tblGrid>
      <w:tr>
        <w:trPr>
          <w:trHeight w:val="20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Държава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Храни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Погълната доза (kGy)</w:t>
            </w:r>
          </w:p>
        </w:tc>
      </w:tr>
      <w:tr>
        <w:trPr>
          <w:trHeight w:val="32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 xml:space="preserve">Белгия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Изсушена кръв, плазма, коагуланти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1—4,7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4,4—6,1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Замразени жабешки бутчета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1—5,1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3,9—5,5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Домашни птици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1—3,7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3,1—4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Хърватия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10—10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Чешка република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2,49—10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2,99—9,98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Естония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8—10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Франция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Замразени жабешки бутчета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5—5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Германия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5—10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10—10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Унгария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2—9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3—10</w:t>
            </w:r>
          </w:p>
        </w:tc>
      </w:tr>
      <w:tr>
        <w:trPr>
          <w:trHeight w:val="32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Нидерландия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2,4—15</w:t>
            </w:r>
          </w:p>
        </w:tc>
      </w:tr>
      <w:tr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Сушени зеленчуци и плодове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2,0—15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Полша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5—10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Испания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8,6—9,95</w:t>
            </w:r>
          </w:p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8,9—9,3</w:t>
            </w:r>
          </w:p>
        </w:tc>
      </w:tr>
      <w:tr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Норвегия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rPr>
                <w:szCs w:val="24"/>
              </w:rPr>
            </w:pPr>
            <w:r>
              <w:t>Ароматни билки, подправки и растителни подправки (сушени)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40" w:after="40" w:line="276" w:lineRule="auto"/>
              <w:jc w:val="center"/>
              <w:rPr>
                <w:szCs w:val="24"/>
              </w:rPr>
            </w:pPr>
            <w:r>
              <w:t>10</w:t>
            </w:r>
          </w:p>
        </w:tc>
      </w:tr>
    </w:tbl>
    <w:p/>
    <w:p/>
    <w:p>
      <w:pPr>
        <w:jc w:val="center"/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60931576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BAA90ED5-08E8-424D-8C9F-4531A4B56A80"/>
    <w:docVar w:name="LW_COVERPAGE_TYPE" w:val="1"/>
    <w:docVar w:name="LW_CROSSREFERENCE" w:val="&lt;UNUSED&gt;"/>
    <w:docVar w:name="LW_DocType" w:val="NORMAL"/>
    <w:docVar w:name="LW_EMISSION" w:val="24.2.2021"/>
    <w:docVar w:name="LW_EMISSION_ISODATE" w:val="2021-02-2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3?\u1088?\u1072?\u1085?\u1080?\u1090?\u1077? \u1080? \u1093?\u1088?\u1072?\u1085?\u1080?\u1090?\u1077?\u1083?\u1085?\u1080?\u1090?\u1077? \u1089?\u1098?\u1089?\u1090?\u1072?\u1074?\u1082?\u1080?, \u1086?\u1073?\u1088?\u1072?\u1073?\u1086?\u1090?\u1077?\u1085?\u1080? \u1089? \u1081?\u1086?\u1085?\u1080?\u1079?\u1080?\u1088?\u1072?\u1097?\u1086? \u1083?\u1098?\u1095?\u1077?\u1085?\u1080?\u1077? \u1087?\u1088?\u1077?\u1079? \u1087?\u1077?\u1088?\u1080?\u1086?\u1076?\u1072? 2018\u8212?2019 \u1075?.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1) 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noProof w:val="0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noProof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noProof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noProof/>
      <w:sz w:val="28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noProof w:val="0"/>
      <w:sz w:val="24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noProof w:val="0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noProof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noProof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noProof/>
      <w:sz w:val="28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noProof w:val="0"/>
      <w:sz w:val="24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46BE-A5AC-4CCA-988C-ED42683B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471</Words>
  <Characters>2042</Characters>
  <Application>Microsoft Office Word</Application>
  <DocSecurity>0</DocSecurity>
  <Lines>340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Jean-Baptiste (SANTE)</dc:creator>
  <cp:keywords/>
  <dc:description/>
  <cp:lastModifiedBy>WES PDFC Administrator</cp:lastModifiedBy>
  <cp:revision>9</cp:revision>
  <dcterms:created xsi:type="dcterms:W3CDTF">2020-12-08T16:37:00Z</dcterms:created>
  <dcterms:modified xsi:type="dcterms:W3CDTF">2021-02-24T09:42:00Z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