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56BB9C67-DCDB-426D-84D1-037BCF7CBD26" style="width:450.75pt;height:321pt">
            <v:imagedata r:id="rId9" o:title=""/>
          </v:shape>
        </w:pict>
      </w:r>
    </w:p>
    <w:bookmarkEnd w:id="0"/>
    <w:p>
      <w:pPr>
        <w:rPr>
          <w:noProof/>
          <w:lang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360" w:after="0" w:line="240" w:lineRule="auto"/>
        <w:jc w:val="center"/>
        <w:rPr>
          <w:rFonts w:ascii="Times New Roman" w:hAnsi="Times New Roman" w:cs="Times New Roman"/>
          <w:b/>
          <w:noProof/>
          <w:sz w:val="24"/>
        </w:rPr>
      </w:pPr>
      <w:bookmarkStart w:id="1" w:name="_GoBack"/>
      <w:bookmarkEnd w:id="1"/>
      <w:r>
        <w:rPr>
          <w:rFonts w:ascii="Times New Roman" w:hAnsi="Times New Roman"/>
          <w:b/>
          <w:noProof/>
          <w:sz w:val="24"/>
        </w:rPr>
        <w:lastRenderedPageBreak/>
        <w:t>ДОКЛАД НА КОМИСИЯТА ДО ЕВРОПЕЙСКИЯ ПАРЛАМЕНТ И СЪВЕТА</w:t>
      </w:r>
    </w:p>
    <w:p>
      <w:pPr>
        <w:spacing w:before="360" w:after="360" w:line="240" w:lineRule="auto"/>
        <w:jc w:val="center"/>
        <w:rPr>
          <w:rFonts w:ascii="Times New Roman" w:hAnsi="Times New Roman" w:cs="Times New Roman"/>
          <w:b/>
          <w:noProof/>
          <w:sz w:val="24"/>
          <w:szCs w:val="24"/>
        </w:rPr>
      </w:pPr>
      <w:r>
        <w:rPr>
          <w:rFonts w:ascii="Times New Roman" w:hAnsi="Times New Roman"/>
          <w:b/>
          <w:noProof/>
          <w:sz w:val="24"/>
          <w:szCs w:val="24"/>
        </w:rPr>
        <w:t xml:space="preserve">относно упражняването на правомощието на Комисията да приема делегирани актове, предоставено съгласно </w:t>
      </w:r>
      <w:r>
        <w:rPr>
          <w:rFonts w:ascii="Times New Roman" w:hAnsi="Times New Roman"/>
          <w:b/>
          <w:bCs/>
          <w:noProof/>
          <w:sz w:val="24"/>
          <w:szCs w:val="24"/>
        </w:rPr>
        <w:t>Регламент (ЕС) № 692/2011 на Европейския парламент и на Съвета относно Европейска статистика на туризма</w:t>
      </w:r>
    </w:p>
    <w:p>
      <w:pPr>
        <w:pStyle w:val="ListParagraph"/>
        <w:keepNext/>
        <w:numPr>
          <w:ilvl w:val="0"/>
          <w:numId w:val="2"/>
        </w:numPr>
        <w:spacing w:before="480" w:after="240" w:line="240" w:lineRule="auto"/>
        <w:ind w:left="714" w:hanging="357"/>
        <w:contextualSpacing w:val="0"/>
        <w:jc w:val="both"/>
        <w:rPr>
          <w:rFonts w:ascii="Times New Roman" w:hAnsi="Times New Roman" w:cs="Times New Roman"/>
          <w:b/>
          <w:noProof/>
          <w:sz w:val="24"/>
          <w:szCs w:val="24"/>
        </w:rPr>
      </w:pPr>
      <w:r>
        <w:rPr>
          <w:rFonts w:ascii="Times New Roman" w:hAnsi="Times New Roman"/>
          <w:b/>
          <w:bCs/>
          <w:smallCaps/>
          <w:noProof/>
          <w:sz w:val="24"/>
          <w:szCs w:val="28"/>
        </w:rPr>
        <w:t>Контекст</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С Регламент (ЕС) № 692/2011 на Европейския парламент и на Съвета от 6 юли 2011 г. относно Европейска статистика на туризма(</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бе установена обща рамка за систематично разработване, изготвяне и разпространение на статистика в областта на туризма в Европейския съюз.</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С Регламент (ЕС) № 692/2011 се предоставя правомощие на Комисията да приема делегирани актове:</w:t>
      </w:r>
    </w:p>
    <w:p>
      <w:pPr>
        <w:pStyle w:val="ListParagraph"/>
        <w:numPr>
          <w:ilvl w:val="0"/>
          <w:numId w:val="3"/>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за изменение на определенията, за да се отразят промени в международните определения (член 2, параграф 2);</w:t>
      </w:r>
    </w:p>
    <w:p>
      <w:pPr>
        <w:pStyle w:val="ListParagraph"/>
        <w:numPr>
          <w:ilvl w:val="0"/>
          <w:numId w:val="3"/>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за изменение на сроковете за предаване на данни, за да се вземат предвид икономическите, социалните и техническите промени (член 9, параграф 5); и</w:t>
      </w:r>
    </w:p>
    <w:p>
      <w:pPr>
        <w:pStyle w:val="ListParagraph"/>
        <w:numPr>
          <w:ilvl w:val="0"/>
          <w:numId w:val="3"/>
        </w:numPr>
        <w:spacing w:after="120" w:line="240" w:lineRule="auto"/>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за адаптиране на приложенията, за да се вземат предвид икономическите, социалните и техническите промени. Комисията обаче не може да променя разпоредбите в приложенията, които определят незадължителния характер на изискваните данни и ограничават техния обхват (член 3, параграф 2).</w:t>
      </w:r>
    </w:p>
    <w:p>
      <w:pPr>
        <w:spacing w:line="240" w:lineRule="auto"/>
        <w:jc w:val="both"/>
        <w:rPr>
          <w:rFonts w:ascii="Times New Roman" w:hAnsi="Times New Roman" w:cs="Times New Roman"/>
          <w:noProof/>
          <w:color w:val="FF0000"/>
          <w:sz w:val="24"/>
          <w:szCs w:val="24"/>
        </w:rPr>
      </w:pPr>
      <w:r>
        <w:rPr>
          <w:rFonts w:ascii="Times New Roman" w:hAnsi="Times New Roman"/>
          <w:noProof/>
          <w:sz w:val="24"/>
          <w:szCs w:val="24"/>
        </w:rPr>
        <w:t>Освен това в Регламент (ЕС) № 692/2011 се подчертава колко е важно Комисията да осъществи подходящи консултации при подготовката на делегираните актове, включително на експертно равнище, преди да ги приеме.</w:t>
      </w:r>
    </w:p>
    <w:p>
      <w:pPr>
        <w:pStyle w:val="ListParagraph"/>
        <w:keepNext/>
        <w:numPr>
          <w:ilvl w:val="0"/>
          <w:numId w:val="2"/>
        </w:numPr>
        <w:spacing w:before="480" w:after="240"/>
        <w:ind w:left="714" w:hanging="357"/>
        <w:contextualSpacing w:val="0"/>
        <w:jc w:val="both"/>
        <w:rPr>
          <w:rFonts w:ascii="Times New Roman Bold" w:hAnsi="Times New Roman Bold" w:cs="Times New Roman"/>
          <w:b/>
          <w:smallCaps/>
          <w:noProof/>
          <w:sz w:val="24"/>
          <w:szCs w:val="24"/>
        </w:rPr>
      </w:pPr>
      <w:r>
        <w:rPr>
          <w:rFonts w:ascii="Times New Roman Bold" w:hAnsi="Times New Roman Bold"/>
          <w:b/>
          <w:smallCaps/>
          <w:noProof/>
          <w:sz w:val="24"/>
          <w:szCs w:val="24"/>
        </w:rPr>
        <w:t xml:space="preserve">Правно основание </w:t>
      </w:r>
    </w:p>
    <w:p>
      <w:pPr>
        <w:spacing w:line="240" w:lineRule="auto"/>
        <w:jc w:val="both"/>
        <w:rPr>
          <w:rFonts w:ascii="Times New Roman" w:hAnsi="Times New Roman" w:cs="Times New Roman"/>
          <w:noProof/>
          <w:sz w:val="24"/>
        </w:rPr>
      </w:pPr>
      <w:r>
        <w:rPr>
          <w:rFonts w:ascii="Times New Roman" w:hAnsi="Times New Roman"/>
          <w:noProof/>
          <w:sz w:val="24"/>
        </w:rPr>
        <w:t xml:space="preserve">С член 11, параграф 2 от Регламент (ЕС) № 692/2011 се предоставя правомощие на Комисията да приема делегирани актове за срок от пет години, считано от 11 август 2011 г. Това правомощие ще се продължава мълчаливо за срокове от пет години, освен ако Европейският парламент или Съветът възрази срещу подобно продължаване не по-късно от три месеца преди изтичането на всеки срок. </w:t>
      </w:r>
    </w:p>
    <w:p>
      <w:pPr>
        <w:spacing w:line="240" w:lineRule="auto"/>
        <w:jc w:val="both"/>
        <w:rPr>
          <w:rFonts w:ascii="Times New Roman" w:hAnsi="Times New Roman" w:cs="Times New Roman"/>
          <w:noProof/>
          <w:sz w:val="24"/>
        </w:rPr>
      </w:pPr>
      <w:r>
        <w:rPr>
          <w:rFonts w:ascii="Times New Roman" w:hAnsi="Times New Roman"/>
          <w:noProof/>
          <w:sz w:val="24"/>
        </w:rPr>
        <w:t>Комисията има задължението да изготви доклад относно делегирането на правомощия не по-късно от девет месеца преди изтичането на петгодишния срок. Настоящият доклад е изготвен в изпълнение на това изискване.</w:t>
      </w:r>
    </w:p>
    <w:p>
      <w:pPr>
        <w:spacing w:line="240" w:lineRule="auto"/>
        <w:jc w:val="both"/>
        <w:rPr>
          <w:rFonts w:ascii="Times New Roman" w:hAnsi="Times New Roman" w:cs="Times New Roman"/>
          <w:noProof/>
          <w:sz w:val="24"/>
        </w:rPr>
      </w:pPr>
      <w:r>
        <w:rPr>
          <w:rFonts w:ascii="Times New Roman" w:hAnsi="Times New Roman"/>
          <w:noProof/>
          <w:sz w:val="24"/>
        </w:rPr>
        <w:t>Първият доклад, обхващащ периода 2011—2015 г., бе приет през януари 2016 г. (</w:t>
      </w:r>
      <w:r>
        <w:rPr>
          <w:rStyle w:val="FootnoteReference"/>
          <w:rFonts w:ascii="Times New Roman" w:hAnsi="Times New Roman" w:cs="Times New Roman"/>
          <w:noProof/>
          <w:sz w:val="24"/>
          <w:lang w:eastAsia="en-GB"/>
        </w:rPr>
        <w:footnoteReference w:id="2"/>
      </w:r>
      <w:r>
        <w:rPr>
          <w:rFonts w:ascii="Times New Roman" w:hAnsi="Times New Roman"/>
          <w:noProof/>
          <w:sz w:val="24"/>
        </w:rPr>
        <w:t>).</w:t>
      </w:r>
    </w:p>
    <w:p>
      <w:pPr>
        <w:pStyle w:val="ListParagraph"/>
        <w:keepNext/>
        <w:numPr>
          <w:ilvl w:val="0"/>
          <w:numId w:val="2"/>
        </w:numPr>
        <w:shd w:val="clear" w:color="auto" w:fill="FFFFFF"/>
        <w:spacing w:before="480" w:after="240" w:line="240" w:lineRule="auto"/>
        <w:ind w:left="714" w:hanging="357"/>
        <w:contextualSpacing w:val="0"/>
        <w:jc w:val="both"/>
        <w:outlineLvl w:val="0"/>
        <w:rPr>
          <w:rFonts w:ascii="Times New Roman" w:eastAsia="Times New Roman" w:hAnsi="Times New Roman" w:cs="Times New Roman"/>
          <w:b/>
          <w:bCs/>
          <w:smallCaps/>
          <w:noProof/>
          <w:sz w:val="24"/>
          <w:szCs w:val="28"/>
        </w:rPr>
      </w:pPr>
      <w:r>
        <w:rPr>
          <w:rFonts w:ascii="Times New Roman" w:hAnsi="Times New Roman"/>
          <w:b/>
          <w:bCs/>
          <w:smallCaps/>
          <w:noProof/>
          <w:sz w:val="24"/>
          <w:szCs w:val="28"/>
        </w:rPr>
        <w:t>Упражняване на делегирани правомощия съгласно Регламент (ЕС) № 692/2011</w:t>
      </w:r>
    </w:p>
    <w:p>
      <w:pPr>
        <w:shd w:val="clear" w:color="auto" w:fill="FFFFFF"/>
        <w:spacing w:line="240" w:lineRule="auto"/>
        <w:jc w:val="both"/>
        <w:outlineLvl w:val="0"/>
        <w:rPr>
          <w:rFonts w:ascii="Times New Roman" w:hAnsi="Times New Roman" w:cs="Times New Roman"/>
          <w:noProof/>
          <w:sz w:val="24"/>
          <w:szCs w:val="24"/>
        </w:rPr>
      </w:pPr>
      <w:r>
        <w:rPr>
          <w:rFonts w:ascii="Times New Roman" w:hAnsi="Times New Roman"/>
          <w:noProof/>
          <w:sz w:val="24"/>
          <w:szCs w:val="24"/>
        </w:rPr>
        <w:t>От 2016 г. насам Комисията прие два делегирани акта: Делегиран регламент (ЕС) 2019/1681 на Комисията(</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и Делегиран регламент (ЕС) 2020/1569 на Комисията(</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w:t>
      </w:r>
    </w:p>
    <w:p>
      <w:pPr>
        <w:pStyle w:val="ListParagraph"/>
        <w:keepNext/>
        <w:numPr>
          <w:ilvl w:val="0"/>
          <w:numId w:val="4"/>
        </w:numPr>
        <w:shd w:val="clear" w:color="auto" w:fill="FFFFFF"/>
        <w:spacing w:before="240" w:line="240" w:lineRule="auto"/>
        <w:ind w:left="1077" w:hanging="357"/>
        <w:jc w:val="both"/>
        <w:outlineLvl w:val="0"/>
        <w:rPr>
          <w:rFonts w:ascii="Times New Roman" w:hAnsi="Times New Roman" w:cs="Times New Roman"/>
          <w:b/>
          <w:smallCaps/>
          <w:noProof/>
          <w:sz w:val="24"/>
          <w:szCs w:val="24"/>
        </w:rPr>
      </w:pPr>
      <w:r>
        <w:rPr>
          <w:rFonts w:ascii="Times New Roman" w:hAnsi="Times New Roman"/>
          <w:b/>
          <w:smallCaps/>
          <w:noProof/>
          <w:sz w:val="24"/>
          <w:szCs w:val="24"/>
        </w:rPr>
        <w:t>Делегиран регламент (ЕС) 2019/1681 на Комисията</w:t>
      </w:r>
    </w:p>
    <w:p>
      <w:pPr>
        <w:shd w:val="clear" w:color="auto" w:fill="FFFFFF"/>
        <w:spacing w:line="240" w:lineRule="auto"/>
        <w:jc w:val="both"/>
        <w:outlineLvl w:val="0"/>
        <w:rPr>
          <w:rFonts w:ascii="Times New Roman" w:hAnsi="Times New Roman" w:cs="Times New Roman"/>
          <w:bCs/>
          <w:noProof/>
          <w:sz w:val="24"/>
        </w:rPr>
      </w:pPr>
      <w:r>
        <w:rPr>
          <w:rFonts w:ascii="Times New Roman" w:hAnsi="Times New Roman"/>
          <w:noProof/>
          <w:sz w:val="24"/>
          <w:szCs w:val="24"/>
        </w:rPr>
        <w:t>С член 3, параграф 2 и член 9, параграф 5 от Регламент (ЕС) № 692/2011</w:t>
      </w:r>
      <w:r>
        <w:rPr>
          <w:rFonts w:ascii="Times New Roman" w:hAnsi="Times New Roman"/>
          <w:noProof/>
          <w:sz w:val="24"/>
        </w:rPr>
        <w:t xml:space="preserve"> </w:t>
      </w:r>
      <w:r>
        <w:rPr>
          <w:rFonts w:ascii="Times New Roman" w:hAnsi="Times New Roman"/>
          <w:noProof/>
          <w:sz w:val="24"/>
          <w:szCs w:val="24"/>
        </w:rPr>
        <w:t>се предоставя правомощие на Комисията</w:t>
      </w:r>
      <w:r>
        <w:rPr>
          <w:rFonts w:ascii="Times New Roman" w:hAnsi="Times New Roman"/>
          <w:bCs/>
          <w:noProof/>
          <w:sz w:val="24"/>
        </w:rPr>
        <w:t xml:space="preserve"> да приема делегирани актове за адаптиране на приложенията и за изменение на сроковете за предаване на данни, за да се вземат предвид икономическите, социалните и техническите промени.</w:t>
      </w:r>
    </w:p>
    <w:p>
      <w:pPr>
        <w:shd w:val="clear" w:color="auto" w:fill="FFFFFF"/>
        <w:spacing w:line="240" w:lineRule="auto"/>
        <w:jc w:val="both"/>
        <w:outlineLvl w:val="0"/>
        <w:rPr>
          <w:rFonts w:ascii="Times New Roman" w:hAnsi="Times New Roman" w:cs="Times New Roman"/>
          <w:noProof/>
          <w:sz w:val="24"/>
          <w:szCs w:val="24"/>
        </w:rPr>
      </w:pPr>
      <w:r>
        <w:rPr>
          <w:rFonts w:ascii="Times New Roman" w:hAnsi="Times New Roman"/>
          <w:noProof/>
          <w:sz w:val="24"/>
          <w:szCs w:val="24"/>
        </w:rPr>
        <w:t>През десетилетието след влизането в сила на Регламент (ЕС) № 692/2011 настъпилите икономически, социални и технически промени доведоха до промяна в потребностите на ползвателите на статистически данни за туризма. Освен това повишаването на ефективността на процеса на изготвяне даде възможност данните да бъдат изготвяни по по-навременен и съобразен с нуждите на ползвателите начин. С посочения делегиран акт тези промени бяха взети предвид и Регламент</w:t>
      </w:r>
      <w:r>
        <w:rPr>
          <w:rFonts w:ascii="Times New Roman" w:hAnsi="Times New Roman"/>
          <w:noProof/>
          <w:sz w:val="24"/>
        </w:rPr>
        <w:t xml:space="preserve"> (ЕС) № 692/2011 бе актуализиран </w:t>
      </w:r>
      <w:r>
        <w:rPr>
          <w:rFonts w:ascii="Times New Roman" w:hAnsi="Times New Roman"/>
          <w:noProof/>
          <w:sz w:val="24"/>
          <w:szCs w:val="24"/>
        </w:rPr>
        <w:t>чрез изменение на сроковете за предаване на данни и на приложения I и II.</w:t>
      </w:r>
    </w:p>
    <w:p>
      <w:pPr>
        <w:shd w:val="clear" w:color="auto" w:fill="FFFFFF"/>
        <w:spacing w:line="240" w:lineRule="auto"/>
        <w:jc w:val="both"/>
        <w:outlineLvl w:val="0"/>
        <w:rPr>
          <w:rFonts w:ascii="Times New Roman" w:hAnsi="Times New Roman" w:cs="Times New Roman"/>
          <w:noProof/>
          <w:sz w:val="24"/>
          <w:szCs w:val="24"/>
        </w:rPr>
      </w:pPr>
      <w:r>
        <w:rPr>
          <w:rFonts w:ascii="Times New Roman" w:hAnsi="Times New Roman"/>
          <w:noProof/>
          <w:sz w:val="24"/>
          <w:szCs w:val="24"/>
        </w:rPr>
        <w:t>С актуализациите се предвижда следното:</w:t>
      </w:r>
    </w:p>
    <w:p>
      <w:pPr>
        <w:pStyle w:val="ListParagraph"/>
        <w:numPr>
          <w:ilvl w:val="0"/>
          <w:numId w:val="5"/>
        </w:numPr>
        <w:spacing w:line="240" w:lineRule="auto"/>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 xml:space="preserve">постепенното подобряване на сроковете за предаване на всички месечни данни и на предаването на валидираните данни за всички набори от месечни и годишни данни (член 9);  </w:t>
      </w:r>
    </w:p>
    <w:p>
      <w:pPr>
        <w:pStyle w:val="ListParagraph"/>
        <w:keepNext/>
        <w:numPr>
          <w:ilvl w:val="0"/>
          <w:numId w:val="5"/>
        </w:numPr>
        <w:spacing w:after="120" w:line="240" w:lineRule="auto"/>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 xml:space="preserve">годишното предаване на следните нови разбивки за данните за нощувките в обекти за туристическо настаняване от постоянно пребиваващи лица и лица, които не са постоянно пребиваващи, за по-добра географска и времева степен на подробност (приложение I, раздел 2): </w:t>
      </w:r>
    </w:p>
    <w:p>
      <w:pPr>
        <w:pStyle w:val="Point1number"/>
        <w:numPr>
          <w:ilvl w:val="2"/>
          <w:numId w:val="12"/>
        </w:numPr>
        <w:spacing w:before="0" w:after="0"/>
        <w:rPr>
          <w:noProof/>
        </w:rPr>
      </w:pPr>
      <w:r>
        <w:rPr>
          <w:noProof/>
        </w:rPr>
        <w:t xml:space="preserve">месечни данни за регионите на ниво 2 по NUTS; </w:t>
      </w:r>
    </w:p>
    <w:p>
      <w:pPr>
        <w:pStyle w:val="Point1number"/>
        <w:numPr>
          <w:ilvl w:val="2"/>
          <w:numId w:val="12"/>
        </w:numPr>
        <w:spacing w:before="0" w:after="0"/>
        <w:rPr>
          <w:noProof/>
        </w:rPr>
      </w:pPr>
      <w:r>
        <w:rPr>
          <w:noProof/>
        </w:rPr>
        <w:t xml:space="preserve">данни според степента на урбанизация, поотделно за крайбрежните райони и за районите, различни от крайбрежните; </w:t>
      </w:r>
    </w:p>
    <w:p>
      <w:pPr>
        <w:pStyle w:val="Point1number"/>
        <w:numPr>
          <w:ilvl w:val="2"/>
          <w:numId w:val="12"/>
        </w:numPr>
        <w:spacing w:before="0" w:after="0"/>
        <w:rPr>
          <w:noProof/>
        </w:rPr>
      </w:pPr>
      <w:r>
        <w:rPr>
          <w:noProof/>
        </w:rPr>
        <w:t>данни за регионите на ниво 3 по NUTS; и</w:t>
      </w:r>
    </w:p>
    <w:p>
      <w:pPr>
        <w:pStyle w:val="Point1number"/>
        <w:numPr>
          <w:ilvl w:val="2"/>
          <w:numId w:val="12"/>
        </w:numPr>
        <w:spacing w:before="0" w:after="200"/>
        <w:rPr>
          <w:noProof/>
        </w:rPr>
      </w:pPr>
      <w:r>
        <w:rPr>
          <w:noProof/>
        </w:rPr>
        <w:t>данни за столици и за други избрани градски агломерации;</w:t>
      </w:r>
    </w:p>
    <w:p>
      <w:pPr>
        <w:pStyle w:val="ListParagraph"/>
        <w:numPr>
          <w:ilvl w:val="0"/>
          <w:numId w:val="5"/>
        </w:numPr>
        <w:spacing w:line="240" w:lineRule="auto"/>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предаването на всеки три години на информация за цифровите платформи от гледна точка на търсенето въз основа на променливите, свързани с начина на резервиране за отчитаните пътувания;</w:t>
      </w:r>
    </w:p>
    <w:p>
      <w:pPr>
        <w:pStyle w:val="ListParagraph"/>
        <w:numPr>
          <w:ilvl w:val="0"/>
          <w:numId w:val="5"/>
        </w:numPr>
        <w:spacing w:line="240" w:lineRule="auto"/>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годишното предаване на по-точни разбивки за основните транспортни средства и средства за настаняване за отчитаните пътувания; и</w:t>
      </w:r>
    </w:p>
    <w:p>
      <w:pPr>
        <w:pStyle w:val="ListParagraph"/>
        <w:numPr>
          <w:ilvl w:val="0"/>
          <w:numId w:val="5"/>
        </w:numPr>
        <w:spacing w:line="240" w:lineRule="auto"/>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годишното предаване на разходите, свързани с туристически пакети, когато отчитаните пътувания са пакетни услуги.</w:t>
      </w:r>
    </w:p>
    <w:p>
      <w:pPr>
        <w:shd w:val="clear" w:color="auto" w:fill="FFFFFF"/>
        <w:spacing w:line="240" w:lineRule="auto"/>
        <w:jc w:val="both"/>
        <w:outlineLvl w:val="0"/>
        <w:rPr>
          <w:rFonts w:ascii="Times New Roman" w:hAnsi="Times New Roman" w:cs="Times New Roman"/>
          <w:noProof/>
          <w:sz w:val="24"/>
          <w:szCs w:val="24"/>
        </w:rPr>
      </w:pPr>
      <w:r>
        <w:rPr>
          <w:rFonts w:ascii="Times New Roman" w:hAnsi="Times New Roman"/>
          <w:noProof/>
          <w:sz w:val="24"/>
          <w:szCs w:val="24"/>
        </w:rPr>
        <w:t>Делегираният акт не доведе до значително увеличение на тежестта за държавите членки и респондентите, нито засегна основната концептуална рамка.</w:t>
      </w:r>
    </w:p>
    <w:p>
      <w:pPr>
        <w:widowControl w:val="0"/>
        <w:spacing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При изготвянето на посочения делегиран акт Комисията проведе съответни консултации, включително на експертно равнище. Сред участниците в консултациите бяха експертната група по статистиката на туризма, групата на директорите по бизнес статистика и експертната група „Национални статистически институти в рамките на Европейската статистическа система“. Консултациите бяха проведени в писмена форма и/или чрез срещи в периода от юни 2018 г. до юни 2019 г., а Европейският парламент и Съветът бяха надлежно информирани за резултатите от тях.</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Комисията прие делегирания регламент на 1 август 2019 г. и уведоми Европейския парламент и Съвета; нито една от двете институциите не представи възражения срещу делегирания регламент в предвидения обичаен двумесечен срок. След изтичането на двумесечния срок делегираният регламент бе публикуван в </w:t>
      </w:r>
      <w:r>
        <w:rPr>
          <w:rFonts w:ascii="Times New Roman" w:hAnsi="Times New Roman"/>
          <w:i/>
          <w:noProof/>
          <w:sz w:val="24"/>
          <w:szCs w:val="24"/>
        </w:rPr>
        <w:t>Официален вестник на Европейския съюз</w:t>
      </w:r>
      <w:r>
        <w:rPr>
          <w:rFonts w:ascii="Times New Roman" w:hAnsi="Times New Roman"/>
          <w:noProof/>
          <w:sz w:val="24"/>
          <w:szCs w:val="24"/>
        </w:rPr>
        <w:t xml:space="preserve"> на 9 октомври 2019 г. и влезе в сила на 29 октомври 2019 г.</w:t>
      </w:r>
    </w:p>
    <w:p>
      <w:pPr>
        <w:pStyle w:val="ListParagraph"/>
        <w:numPr>
          <w:ilvl w:val="0"/>
          <w:numId w:val="13"/>
        </w:numPr>
        <w:spacing w:before="240" w:line="240" w:lineRule="auto"/>
        <w:ind w:left="714" w:hanging="357"/>
        <w:jc w:val="both"/>
        <w:rPr>
          <w:rFonts w:ascii="Times New Roman" w:hAnsi="Times New Roman" w:cs="Times New Roman"/>
          <w:b/>
          <w:smallCaps/>
          <w:noProof/>
          <w:color w:val="FF0000"/>
          <w:szCs w:val="24"/>
        </w:rPr>
      </w:pPr>
      <w:r>
        <w:rPr>
          <w:rFonts w:ascii="Times New Roman" w:hAnsi="Times New Roman"/>
          <w:b/>
          <w:smallCaps/>
          <w:noProof/>
          <w:sz w:val="24"/>
          <w:szCs w:val="24"/>
        </w:rPr>
        <w:t>Делегиран регламент (ЕС) 2020/1569 на Комисията</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С втория делегиран регламент на Комисията Регламент</w:t>
      </w:r>
      <w:r>
        <w:rPr>
          <w:rFonts w:ascii="Times New Roman" w:hAnsi="Times New Roman"/>
          <w:noProof/>
          <w:sz w:val="24"/>
        </w:rPr>
        <w:t xml:space="preserve"> (ЕС) № 692/2011 бе актуализиран предвид </w:t>
      </w:r>
      <w:r>
        <w:rPr>
          <w:rFonts w:ascii="Times New Roman" w:hAnsi="Times New Roman"/>
          <w:noProof/>
          <w:sz w:val="24"/>
          <w:szCs w:val="24"/>
        </w:rPr>
        <w:t>факта, че от 1 февруари 2020 г. Обединеното кралство е държава извън ЕС (трета държава). Считано от тази дата, европейската статистика на туризма трябваше да отразява Обединеното кралство като държава извън ЕС. С делегирания акт бяха актуализирани категориите, които да бъдат използвани за държавата или географската област на пребиваване на посетителите, отсядащи в обектите за туристическо настаняване, както е посочено в раздел 3, буква Д „Държави и географски области“ от приложение I към Регламент (ЕС) № 692/2011, като Обединеното кралство бе включено като отделна държава.</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Комисията упражни правомощието по член 3, параграф 2 от Регламент (ЕС) № 692/2011 да приеме посочения делегиран акт. </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Обединеното кралство е важен източник на туристи за ЕС, поради което бе необходимо Комисията да продължи да получава от предаващите данни държави отделни данни за входящите туристически потоци от Обединеното кралство, какъвто бе случаят с основни партньори като Русия, Съединените щати, Канада, Бразилия, Китай и държавите от Европейската асоциация за свободна търговия (ЕАСТ). Промяната не доведе до допълнителна тежест за държавите членки, тъй като те вече изпращаха тези данни на Евростат в категорията „Европейски съюз (Съюзът); да се отчита самостоятелно: всяка държава членка“. Промяната включваше само преминаване към друг ред в образеца за отчитане.</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При изготвянето на посочения делегиран акт Комисията проведе съответни консултации, включително на експертно равнище. Сред участниците в консултациите бяха експертната група по статистиката на туризма, групата на директорите по бизнес статистика и експертната група „Национални статистически институти в рамките на Европейската статистическа система“. Консултациите бяха проведени в писмена форма в периода от февруари до май 2020 г., а Европейският парламент и Съветът бяха надлежно информирани за резултатите от тях.</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Комисията прие делегирания регламент на 23 юли 2020 г. и уведоми Европейския парламент и Съвета; нито една от двете институциите не представи възражения срещу делегирания регламент в предвидения обичаен двумесечен срок. След изтичането на двумесечния срок делегираният регламент бе публикуван в </w:t>
      </w:r>
      <w:r>
        <w:rPr>
          <w:rFonts w:ascii="Times New Roman" w:hAnsi="Times New Roman"/>
          <w:i/>
          <w:noProof/>
          <w:sz w:val="24"/>
          <w:szCs w:val="24"/>
        </w:rPr>
        <w:t>Официален вестник на Европейския съюз</w:t>
      </w:r>
      <w:r>
        <w:rPr>
          <w:rFonts w:ascii="Times New Roman" w:hAnsi="Times New Roman"/>
          <w:noProof/>
          <w:sz w:val="24"/>
          <w:szCs w:val="24"/>
        </w:rPr>
        <w:t xml:space="preserve"> на 29 октомври 2020 г. и влезе в сила на 18 ноември 2020 г.</w:t>
      </w:r>
    </w:p>
    <w:p>
      <w:pPr>
        <w:pStyle w:val="ti-grseq-1"/>
        <w:keepNext/>
        <w:spacing w:before="480" w:beforeAutospacing="0" w:after="240" w:afterAutospacing="0"/>
        <w:jc w:val="both"/>
        <w:rPr>
          <w:noProof/>
        </w:rPr>
      </w:pPr>
      <w:r>
        <w:rPr>
          <w:b/>
          <w:bCs/>
          <w:smallCaps/>
          <w:noProof/>
          <w:szCs w:val="28"/>
        </w:rPr>
        <w:t>Заключение</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Комисията упражни правомерно делегираните ѝ правомощия и приканва Европейския парламент и Съвета да вземат под внимание настоящия доклад.</w:t>
      </w:r>
    </w:p>
    <w:p>
      <w:pPr>
        <w:widowControl w:val="0"/>
        <w:spacing w:line="240" w:lineRule="auto"/>
        <w:jc w:val="both"/>
        <w:rPr>
          <w:rFonts w:ascii="Times New Roman" w:hAnsi="Times New Roman" w:cs="Times New Roman"/>
          <w:noProof/>
        </w:rPr>
      </w:pPr>
      <w:r>
        <w:rPr>
          <w:rFonts w:ascii="Times New Roman" w:hAnsi="Times New Roman"/>
          <w:noProof/>
          <w:sz w:val="24"/>
          <w:szCs w:val="24"/>
        </w:rPr>
        <w:t>Комисията смята, че следва да продължи да разполага с тези правомощия, тъй като в бъдеще може да се наложи да приема делегирани актове, за да се запази съответствието на европейската статистика на туризма с международните определения или да се вземат предвид икономическите, социалните и техническите промени.</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9474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autoSpaceDE w:val="0"/>
        <w:autoSpaceDN w:val="0"/>
        <w:adjustRightInd w:val="0"/>
        <w:spacing w:after="0" w:line="240" w:lineRule="auto"/>
        <w:jc w:val="both"/>
        <w:rPr>
          <w:rFonts w:ascii="Times New Roman" w:hAnsi="Times New Roman" w:cs="Times New Roman"/>
          <w:bCs/>
          <w:sz w:val="20"/>
          <w:szCs w:val="20"/>
        </w:rPr>
      </w:pPr>
      <w:r>
        <w:rPr>
          <w:rStyle w:val="FootnoteReference"/>
          <w:rFonts w:ascii="Times New Roman" w:hAnsi="Times New Roman" w:cs="Times New Roman"/>
        </w:rPr>
        <w:footnoteRef/>
      </w:r>
      <w:r>
        <w:tab/>
      </w:r>
      <w:r>
        <w:rPr>
          <w:rFonts w:ascii="Times New Roman" w:hAnsi="Times New Roman"/>
          <w:sz w:val="20"/>
          <w:szCs w:val="20"/>
        </w:rPr>
        <w:t>ОВ L 192, 22.7.2011 г., стр. 17.</w:t>
      </w:r>
    </w:p>
  </w:footnote>
  <w:footnote w:id="2">
    <w:p>
      <w:pPr>
        <w:pStyle w:val="FootnoteText"/>
      </w:pPr>
      <w:r>
        <w:rPr>
          <w:rStyle w:val="FootnoteReference"/>
        </w:rPr>
        <w:footnoteRef/>
      </w:r>
      <w:r>
        <w:tab/>
      </w:r>
      <w:r>
        <w:rPr>
          <w:rFonts w:ascii="Times New Roman" w:hAnsi="Times New Roman"/>
        </w:rPr>
        <w:t>COM (2016) 4 от 20.1.2016 г.</w:t>
      </w:r>
    </w:p>
  </w:footnote>
  <w:footnote w:id="3">
    <w:p>
      <w:pPr>
        <w:autoSpaceDE w:val="0"/>
        <w:autoSpaceDN w:val="0"/>
        <w:adjustRightInd w:val="0"/>
        <w:spacing w:after="0" w:line="240" w:lineRule="auto"/>
        <w:jc w:val="both"/>
        <w:rPr>
          <w:rFonts w:ascii="Times New Roman" w:hAnsi="Times New Roman" w:cs="Times New Roman"/>
          <w:bCs/>
          <w:sz w:val="20"/>
          <w:szCs w:val="20"/>
        </w:rPr>
      </w:pPr>
      <w:r>
        <w:rPr>
          <w:rStyle w:val="FootnoteReference"/>
          <w:rFonts w:ascii="Times New Roman" w:hAnsi="Times New Roman" w:cs="Times New Roman"/>
        </w:rPr>
        <w:footnoteRef/>
      </w:r>
      <w:r>
        <w:tab/>
      </w:r>
      <w:r>
        <w:rPr>
          <w:rFonts w:ascii="Times New Roman" w:hAnsi="Times New Roman"/>
          <w:sz w:val="20"/>
          <w:szCs w:val="20"/>
        </w:rPr>
        <w:t>Делегиран регламент (ЕС) 2019/1681 на Комисията от 1 август 2019 г. за изменение на Регламент (ЕС) № 692/2011 на Европейския парламент и на Съвета относно Европейска статистика на туризма по отношение на сроковете за предаване на данни и адаптирането на приложения I и II (ОВ L 258, 9.10.2019 г., стр. 1).</w:t>
      </w:r>
    </w:p>
  </w:footnote>
  <w:footnote w:id="4">
    <w:p>
      <w:pPr>
        <w:pStyle w:val="NormalWeb"/>
        <w:spacing w:before="0" w:beforeAutospacing="0" w:after="0" w:afterAutospacing="0"/>
        <w:jc w:val="both"/>
        <w:rPr>
          <w:bCs/>
          <w:sz w:val="20"/>
          <w:szCs w:val="20"/>
        </w:rPr>
      </w:pPr>
      <w:r>
        <w:rPr>
          <w:rStyle w:val="FootnoteReference"/>
          <w:sz w:val="20"/>
          <w:szCs w:val="20"/>
        </w:rPr>
        <w:footnoteRef/>
      </w:r>
      <w:r>
        <w:rPr>
          <w:sz w:val="20"/>
          <w:szCs w:val="20"/>
        </w:rPr>
        <w:t xml:space="preserve"> </w:t>
      </w:r>
      <w:r>
        <w:tab/>
      </w:r>
      <w:r>
        <w:rPr>
          <w:sz w:val="20"/>
          <w:szCs w:val="20"/>
        </w:rPr>
        <w:t>Делегиран регламент (ЕС) 2020/1569 на Комисията от 23 юли 2020 г. за изменение на приложение I към Регламент (ЕС) № 692/2011 на Европейския парламент и на Съвета по отношение на класификацията на държавите на пребиваване на посетителите, отсядащи в обектите за туристическо настаняване, в контекста на оттеглянето на Обединеното кралство от Съюза</w:t>
      </w:r>
      <w:r>
        <w:rPr>
          <w:bCs/>
          <w:sz w:val="20"/>
          <w:szCs w:val="20"/>
        </w:rPr>
        <w:t xml:space="preserve"> (ОВ L 359, 29.10.2020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91E6D"/>
    <w:multiLevelType w:val="multilevel"/>
    <w:tmpl w:val="C90E9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
    <w:nsid w:val="2481246A"/>
    <w:multiLevelType w:val="hybridMultilevel"/>
    <w:tmpl w:val="F5348588"/>
    <w:lvl w:ilvl="0" w:tplc="77C68118">
      <w:start w:val="1"/>
      <mc:AlternateContent>
        <mc:Choice Requires="w14">
          <w:numFmt w:val="custom" w:format="а, й, к, ..."/>
        </mc:Choice>
        <mc:Fallback>
          <w:numFmt w:val="decimal"/>
        </mc:Fallback>
      </mc:AlternateContent>
      <w:lvlText w:val="%1)"/>
      <w:lvlJc w:val="left"/>
      <w:pPr>
        <w:ind w:left="1431" w:hanging="360"/>
      </w:pPr>
      <w:rPr>
        <w:rFonts w:hint="default"/>
      </w:rPr>
    </w:lvl>
    <w:lvl w:ilvl="1" w:tplc="080C0019">
      <w:start w:val="1"/>
      <w:numFmt w:val="lowerLetter"/>
      <w:lvlText w:val="%2."/>
      <w:lvlJc w:val="left"/>
      <w:pPr>
        <w:ind w:left="2151" w:hanging="360"/>
      </w:pPr>
    </w:lvl>
    <w:lvl w:ilvl="2" w:tplc="080C001B">
      <w:start w:val="1"/>
      <w:numFmt w:val="lowerRoman"/>
      <w:lvlText w:val="%3."/>
      <w:lvlJc w:val="right"/>
      <w:pPr>
        <w:ind w:left="2871" w:hanging="180"/>
      </w:pPr>
    </w:lvl>
    <w:lvl w:ilvl="3" w:tplc="080C000F">
      <w:start w:val="1"/>
      <w:numFmt w:val="decimal"/>
      <w:lvlText w:val="%4."/>
      <w:lvlJc w:val="left"/>
      <w:pPr>
        <w:ind w:left="3591" w:hanging="360"/>
      </w:pPr>
    </w:lvl>
    <w:lvl w:ilvl="4" w:tplc="080C0019">
      <w:start w:val="1"/>
      <w:numFmt w:val="lowerLetter"/>
      <w:lvlText w:val="%5."/>
      <w:lvlJc w:val="left"/>
      <w:pPr>
        <w:ind w:left="4311" w:hanging="360"/>
      </w:pPr>
    </w:lvl>
    <w:lvl w:ilvl="5" w:tplc="080C001B">
      <w:start w:val="1"/>
      <w:numFmt w:val="lowerRoman"/>
      <w:lvlText w:val="%6."/>
      <w:lvlJc w:val="right"/>
      <w:pPr>
        <w:ind w:left="5031" w:hanging="180"/>
      </w:pPr>
    </w:lvl>
    <w:lvl w:ilvl="6" w:tplc="080C000F">
      <w:start w:val="1"/>
      <w:numFmt w:val="decimal"/>
      <w:lvlText w:val="%7."/>
      <w:lvlJc w:val="left"/>
      <w:pPr>
        <w:ind w:left="5751" w:hanging="360"/>
      </w:pPr>
    </w:lvl>
    <w:lvl w:ilvl="7" w:tplc="080C0019">
      <w:start w:val="1"/>
      <w:numFmt w:val="lowerLetter"/>
      <w:lvlText w:val="%8."/>
      <w:lvlJc w:val="left"/>
      <w:pPr>
        <w:ind w:left="6471" w:hanging="360"/>
      </w:pPr>
    </w:lvl>
    <w:lvl w:ilvl="8" w:tplc="080C001B">
      <w:start w:val="1"/>
      <w:numFmt w:val="lowerRoman"/>
      <w:lvlText w:val="%9."/>
      <w:lvlJc w:val="right"/>
      <w:pPr>
        <w:ind w:left="7191" w:hanging="180"/>
      </w:pPr>
    </w:lvl>
  </w:abstractNum>
  <w:abstractNum w:abstractNumId="3">
    <w:nsid w:val="253E6314"/>
    <w:multiLevelType w:val="hybridMultilevel"/>
    <w:tmpl w:val="6EB4471E"/>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4">
    <w:nsid w:val="2AD56696"/>
    <w:multiLevelType w:val="hybridMultilevel"/>
    <w:tmpl w:val="A8043C4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nsid w:val="301606F0"/>
    <w:multiLevelType w:val="hybridMultilevel"/>
    <w:tmpl w:val="998653E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
    <w:nsid w:val="4864564D"/>
    <w:multiLevelType w:val="multilevel"/>
    <w:tmpl w:val="425650D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lowerLetter"/>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7">
    <w:nsid w:val="5AA52ABA"/>
    <w:multiLevelType w:val="hybridMultilevel"/>
    <w:tmpl w:val="D952A528"/>
    <w:lvl w:ilvl="0" w:tplc="068EE688">
      <w:start w:val="1"/>
      <w:numFmt w:val="bullet"/>
      <w:lvlText w:val=""/>
      <w:lvlJc w:val="left"/>
      <w:pPr>
        <w:ind w:left="720" w:hanging="360"/>
      </w:pPr>
      <w:rPr>
        <w:rFonts w:ascii="Symbol" w:hAnsi="Symbol"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8">
    <w:nsid w:val="6A7609F2"/>
    <w:multiLevelType w:val="hybridMultilevel"/>
    <w:tmpl w:val="0FFA5DCE"/>
    <w:lvl w:ilvl="0" w:tplc="080C0017">
      <w:start w:val="1"/>
      <w:numFmt w:val="lowerLetter"/>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9">
    <w:nsid w:val="78C74AD5"/>
    <w:multiLevelType w:val="hybridMultilevel"/>
    <w:tmpl w:val="424A605C"/>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080C0001">
      <w:start w:val="1"/>
      <w:numFmt w:val="bullet"/>
      <w:lvlText w:val=""/>
      <w:lvlJc w:val="left"/>
      <w:pPr>
        <w:ind w:left="3240" w:hanging="360"/>
      </w:pPr>
      <w:rPr>
        <w:rFonts w:ascii="Symbol" w:hAnsi="Symbol" w:hint="default"/>
      </w:rPr>
    </w:lvl>
    <w:lvl w:ilvl="4" w:tplc="080C0003">
      <w:start w:val="1"/>
      <w:numFmt w:val="bullet"/>
      <w:lvlText w:val="o"/>
      <w:lvlJc w:val="left"/>
      <w:pPr>
        <w:ind w:left="3960" w:hanging="360"/>
      </w:pPr>
      <w:rPr>
        <w:rFonts w:ascii="Courier New" w:hAnsi="Courier New" w:cs="Courier New" w:hint="default"/>
      </w:rPr>
    </w:lvl>
    <w:lvl w:ilvl="5" w:tplc="080C0005">
      <w:start w:val="1"/>
      <w:numFmt w:val="bullet"/>
      <w:lvlText w:val=""/>
      <w:lvlJc w:val="left"/>
      <w:pPr>
        <w:ind w:left="4680" w:hanging="360"/>
      </w:pPr>
      <w:rPr>
        <w:rFonts w:ascii="Wingdings" w:hAnsi="Wingdings" w:hint="default"/>
      </w:rPr>
    </w:lvl>
    <w:lvl w:ilvl="6" w:tplc="080C0001">
      <w:start w:val="1"/>
      <w:numFmt w:val="bullet"/>
      <w:lvlText w:val=""/>
      <w:lvlJc w:val="left"/>
      <w:pPr>
        <w:ind w:left="5400" w:hanging="360"/>
      </w:pPr>
      <w:rPr>
        <w:rFonts w:ascii="Symbol" w:hAnsi="Symbol" w:hint="default"/>
      </w:rPr>
    </w:lvl>
    <w:lvl w:ilvl="7" w:tplc="080C0003">
      <w:start w:val="1"/>
      <w:numFmt w:val="bullet"/>
      <w:lvlText w:val="o"/>
      <w:lvlJc w:val="left"/>
      <w:pPr>
        <w:ind w:left="6120" w:hanging="360"/>
      </w:pPr>
      <w:rPr>
        <w:rFonts w:ascii="Courier New" w:hAnsi="Courier New" w:cs="Courier New" w:hint="default"/>
      </w:rPr>
    </w:lvl>
    <w:lvl w:ilvl="8" w:tplc="080C0005">
      <w:start w:val="1"/>
      <w:numFmt w:val="bullet"/>
      <w:lvlText w:val=""/>
      <w:lvlJc w:val="left"/>
      <w:pPr>
        <w:ind w:left="6840" w:hanging="360"/>
      </w:pPr>
      <w:rPr>
        <w:rFonts w:ascii="Wingdings" w:hAnsi="Wingdings" w:hint="default"/>
      </w:rPr>
    </w:lvl>
  </w:abstractNum>
  <w:abstractNum w:abstractNumId="10">
    <w:nsid w:val="7ADA4177"/>
    <w:multiLevelType w:val="multilevel"/>
    <w:tmpl w:val="66B47CA0"/>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bullet"/>
      <w:lvlText w:val=""/>
      <w:lvlJc w:val="left"/>
      <w:pPr>
        <w:tabs>
          <w:tab w:val="num" w:pos="1417"/>
        </w:tabs>
        <w:ind w:left="1417" w:hanging="567"/>
      </w:pPr>
      <w:rPr>
        <w:rFonts w:ascii="Symbol" w:hAnsi="Symbol" w:hint="default"/>
      </w:r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2"/>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0"/>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6BB9C67-DCDB-426D-84D1-037BCF7CBD26"/>
    <w:docVar w:name="LW_COVERPAGE_TYPE" w:val="1"/>
    <w:docVar w:name="LW_CROSSREFERENCE" w:val="&lt;UNUSED&gt;"/>
    <w:docVar w:name="LW_DocType" w:val="NORMAL"/>
    <w:docVar w:name="LW_EMISSION" w:val="25.2.2021"/>
    <w:docVar w:name="LW_EMISSION_ISODATE" w:val="2021-02-25"/>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1) 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86?\u1090?\u1085?\u1086?\u1089?\u1085?\u1086? \u1091?\u1087?\u1088?\u1072?\u1078?\u1085?\u1103?\u1074?\u1072?\u1085?\u1077?\u1090?\u1086? \u1085?\u1072? \u1087?\u1088?\u1072?\u1074?\u1086?\u1084?\u1086?\u1097?\u1080?\u1077?\u1090?\u1086? \u1085?\u1072? \u1050?\u1086?\u1084?\u1080?\u1089?\u1080?\u1103?\u1090?\u1072? \u1076?\u1072? \u1087?\u1088?\u1080?\u1077?\u1084?\u1072? \u1076?\u1077?\u1083?\u1077?\u1075?\u1080?\u1088?\u1072?\u1085?\u1080? \u1072?\u1082?\u1090?\u1086?\u1074?\u1077?, \u1087?\u1088?\u1077?\u1076?\u1086?\u1089?\u1090?\u1072?\u1074?\u1077?\u1085?\u1086? \u1089?\u1098?\u1075?\u1083?\u1072?\u1089?\u1085?\u1086? \u1056?\u1077?\u1075?\u1083?\u1072?\u1084?\u1077?\u1085?\u1090? (\u1045?\u1057?) \u8470? 692/2011 \u1085?\u1072? \u1045?\u1074?\u1088?\u1086?\u1087?\u1077?\u1081?\u1089?\u1082?\u1080?\u1103? \u1087?\u1072?\u1088?\u1083?\u1072?\u1084?\u1077?\u1085?\u1090? \u1080? \u1085?\u1072? \u1057?\u1098?\u1074?\u1077?\u1090?\u1072? \u1086?\u1090?\u1085?\u1086?\u1089?\u1085?\u1086? \u1045?\u1074?\u1088?\u1086?\u1087?\u1077?\u1081?\u1089?\u1082?\u1072? \u1089?\u1090?\u1072?\u1090?\u1080?\u1089?\u1090?\u1080?\u1082?\u1072? \u1085?\u1072? \u1090?\u1091?\u1088?\u1080?\u1079?\u1084?\u1072? &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bg-BG"/>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lang w:val="bg-BG"/>
    </w:rPr>
  </w:style>
  <w:style w:type="paragraph" w:styleId="ListParagraph">
    <w:name w:val="List Paragraph"/>
    <w:basedOn w:val="Normal"/>
    <w:uiPriority w:val="34"/>
    <w:qFormat/>
    <w:pPr>
      <w:ind w:left="720"/>
      <w:contextualSpacing/>
    </w:pPr>
  </w:style>
  <w:style w:type="paragraph" w:customStyle="1" w:styleId="ti-grseq-1">
    <w:name w:val="ti-grseq-1"/>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FootnoteReference">
    <w:name w:val="footnote reference"/>
    <w:basedOn w:val="DefaultParagraphFont"/>
    <w:uiPriority w:val="99"/>
    <w:semiHidden/>
    <w:unhideWhenUsed/>
    <w:rPr>
      <w:vertAlign w:val="superscript"/>
    </w:rPr>
  </w:style>
  <w:style w:type="character" w:customStyle="1" w:styleId="bold">
    <w:name w:val="bold"/>
    <w:basedOn w:val="DefaultParagraphFont"/>
  </w:style>
  <w:style w:type="character" w:customStyle="1" w:styleId="italic">
    <w:name w:val="italic"/>
    <w:basedOn w:val="DefaultParagraphFont"/>
  </w:style>
  <w:style w:type="character" w:styleId="Strong">
    <w:name w:val="Strong"/>
    <w:basedOn w:val="DefaultParagraphFont"/>
    <w:uiPriority w:val="22"/>
    <w:qFormat/>
    <w:rPr>
      <w:b/>
      <w:bCs/>
    </w:rPr>
  </w:style>
  <w:style w:type="paragraph" w:customStyle="1" w:styleId="Text1">
    <w:name w:val="Text 1"/>
    <w:basedOn w:val="Normal"/>
    <w:pPr>
      <w:spacing w:before="120" w:after="120" w:line="240" w:lineRule="auto"/>
      <w:ind w:left="850"/>
      <w:jc w:val="both"/>
    </w:pPr>
    <w:rPr>
      <w:rFonts w:ascii="Times New Roman" w:hAnsi="Times New Roman" w:cs="Times New Roman"/>
      <w:sz w:val="24"/>
    </w:rPr>
  </w:style>
  <w:style w:type="paragraph" w:customStyle="1" w:styleId="Point0number">
    <w:name w:val="Point 0 (number)"/>
    <w:basedOn w:val="Normal"/>
    <w:pPr>
      <w:numPr>
        <w:numId w:val="8"/>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8"/>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8"/>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8"/>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8"/>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8"/>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8"/>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8"/>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8"/>
      </w:numPr>
      <w:spacing w:before="120" w:after="120" w:line="240" w:lineRule="auto"/>
      <w:jc w:val="both"/>
    </w:pPr>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bg-BG"/>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lang w:val="bg-BG"/>
    </w:rPr>
  </w:style>
  <w:style w:type="paragraph" w:styleId="ListParagraph">
    <w:name w:val="List Paragraph"/>
    <w:basedOn w:val="Normal"/>
    <w:uiPriority w:val="34"/>
    <w:qFormat/>
    <w:pPr>
      <w:ind w:left="720"/>
      <w:contextualSpacing/>
    </w:pPr>
  </w:style>
  <w:style w:type="paragraph" w:customStyle="1" w:styleId="ti-grseq-1">
    <w:name w:val="ti-grseq-1"/>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FootnoteReference">
    <w:name w:val="footnote reference"/>
    <w:basedOn w:val="DefaultParagraphFont"/>
    <w:uiPriority w:val="99"/>
    <w:semiHidden/>
    <w:unhideWhenUsed/>
    <w:rPr>
      <w:vertAlign w:val="superscript"/>
    </w:rPr>
  </w:style>
  <w:style w:type="character" w:customStyle="1" w:styleId="bold">
    <w:name w:val="bold"/>
    <w:basedOn w:val="DefaultParagraphFont"/>
  </w:style>
  <w:style w:type="character" w:customStyle="1" w:styleId="italic">
    <w:name w:val="italic"/>
    <w:basedOn w:val="DefaultParagraphFont"/>
  </w:style>
  <w:style w:type="character" w:styleId="Strong">
    <w:name w:val="Strong"/>
    <w:basedOn w:val="DefaultParagraphFont"/>
    <w:uiPriority w:val="22"/>
    <w:qFormat/>
    <w:rPr>
      <w:b/>
      <w:bCs/>
    </w:rPr>
  </w:style>
  <w:style w:type="paragraph" w:customStyle="1" w:styleId="Text1">
    <w:name w:val="Text 1"/>
    <w:basedOn w:val="Normal"/>
    <w:pPr>
      <w:spacing w:before="120" w:after="120" w:line="240" w:lineRule="auto"/>
      <w:ind w:left="850"/>
      <w:jc w:val="both"/>
    </w:pPr>
    <w:rPr>
      <w:rFonts w:ascii="Times New Roman" w:hAnsi="Times New Roman" w:cs="Times New Roman"/>
      <w:sz w:val="24"/>
    </w:rPr>
  </w:style>
  <w:style w:type="paragraph" w:customStyle="1" w:styleId="Point0number">
    <w:name w:val="Point 0 (number)"/>
    <w:basedOn w:val="Normal"/>
    <w:pPr>
      <w:numPr>
        <w:numId w:val="8"/>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8"/>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8"/>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8"/>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8"/>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8"/>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8"/>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8"/>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8"/>
      </w:numPr>
      <w:spacing w:before="120" w:after="120" w:line="240" w:lineRule="auto"/>
      <w:jc w:val="both"/>
    </w:pPr>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79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FD500B1-18D4-43CE-8F54-B7E0901CA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1214</Words>
  <Characters>7072</Characters>
  <Application>Microsoft Office Word</Application>
  <DocSecurity>0</DocSecurity>
  <Lines>126</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2021-01-27T16:38:00Z</dcterms:created>
  <dcterms:modified xsi:type="dcterms:W3CDTF">2021-02-23T13:48:00Z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20190916</vt:lpwstr>
  </property>
  <property fmtid="{D5CDD505-2E9C-101B-9397-08002B2CF9AE}" pid="8" name="Created using">
    <vt:lpwstr>LW 7.0, Build 20190717</vt:lpwstr>
  </property>
</Properties>
</file>