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25D53B5-BD3C-4FA7-ABCD-FB04924B6D94" style="width:451.05pt;height:422.4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120" w:line="240" w:lineRule="auto"/>
        <w:jc w:val="both"/>
        <w:rPr>
          <w:rFonts w:ascii="Times New Roman" w:eastAsia="Arial Unicode MS" w:hAnsi="Times New Roman" w:cs="Arial Unicode MS"/>
          <w:noProof/>
          <w:color w:val="000000"/>
          <w:sz w:val="24"/>
          <w:szCs w:val="24"/>
          <w:u w:color="000000"/>
          <w:lang w:eastAsia="en-GB"/>
          <w14:textOutline w14:w="12700" w14:cap="flat" w14:cmpd="sng" w14:algn="ctr">
            <w14:noFill/>
            <w14:prstDash w14:val="solid"/>
            <w14:miter w14:lim="100000"/>
          </w14:textOutline>
        </w:rPr>
      </w:pPr>
      <w:bookmarkStart w:id="1" w:name="_GoBack"/>
      <w:bookmarkEnd w:id="1"/>
      <w:r>
        <w:rPr>
          <w:rFonts w:ascii="Times New Roman" w:eastAsia="Arial Unicode MS" w:hAnsi="Times New Roman" w:cs="Arial Unicode MS"/>
          <w:b/>
          <w:bCs/>
          <w:noProof/>
          <w:color w:val="000000"/>
          <w:sz w:val="24"/>
          <w:szCs w:val="24"/>
          <w:u w:color="000000"/>
          <w:lang w:eastAsia="en-GB"/>
          <w14:textOutline w14:w="12700" w14:cap="flat" w14:cmpd="sng" w14:algn="ctr">
            <w14:noFill/>
            <w14:prstDash w14:val="solid"/>
            <w14:miter w14:lim="100000"/>
          </w14:textOutline>
        </w:rPr>
        <w:lastRenderedPageBreak/>
        <w:t xml:space="preserve">The impacts of climate change are being felt here and now. </w:t>
      </w:r>
      <w:r>
        <w:rPr>
          <w:rFonts w:ascii="Times New Roman" w:eastAsia="Arial Unicode MS" w:hAnsi="Times New Roman" w:cs="Arial Unicode MS"/>
          <w:bCs/>
          <w:noProof/>
          <w:color w:val="000000"/>
          <w:sz w:val="24"/>
          <w:szCs w:val="24"/>
          <w:u w:color="000000"/>
          <w:lang w:eastAsia="en-GB"/>
          <w14:textOutline w14:w="12700" w14:cap="flat" w14:cmpd="sng" w14:algn="ctr">
            <w14:noFill/>
            <w14:prstDash w14:val="solid"/>
            <w14:miter w14:lim="100000"/>
          </w14:textOutline>
        </w:rPr>
        <w:t>Climate change is already having pervasive impacts on people, the planet and prosperity</w:t>
      </w:r>
      <w:r>
        <w:rPr>
          <w:rFonts w:ascii="Times New Roman" w:eastAsia="Arial Unicode MS" w:hAnsi="Times New Roman" w:cs="Arial Unicode MS"/>
          <w:noProof/>
          <w:color w:val="000000"/>
          <w:sz w:val="24"/>
          <w:szCs w:val="24"/>
          <w:u w:color="000000"/>
          <w:lang w:eastAsia="en-GB"/>
          <w14:textOutline w14:w="12700" w14:cap="flat" w14:cmpd="sng" w14:algn="ctr">
            <w14:noFill/>
            <w14:prstDash w14:val="solid"/>
            <w14:miter w14:lim="100000"/>
          </w14:textOutline>
        </w:rPr>
        <w:t>. T</w:t>
      </w:r>
      <w:r>
        <w:rPr>
          <w:rFonts w:ascii="Times New Roman" w:eastAsia="Arial Unicode MS" w:hAnsi="Times New Roman" w:cs="Arial Unicode MS"/>
          <w:noProof/>
          <w:color w:val="000000"/>
          <w:sz w:val="24"/>
          <w:szCs w:val="24"/>
          <w:u w:color="000000"/>
          <w:shd w:val="clear" w:color="auto" w:fill="FFFFFF"/>
          <w:lang w:eastAsia="en-GB"/>
          <w14:textOutline w14:w="12700" w14:cap="flat" w14:cmpd="sng" w14:algn="ctr">
            <w14:noFill/>
            <w14:prstDash w14:val="solid"/>
            <w14:miter w14:lim="100000"/>
          </w14:textOutline>
        </w:rPr>
        <w:t>emperatures have repeatedly broken long-term records in recent years. The last five years were the hottest on record, with heatwaves, droughts and wildfires across Europe. A</w:t>
      </w:r>
      <w:r>
        <w:rPr>
          <w:rFonts w:ascii="Times New Roman" w:eastAsia="Arial Unicode MS" w:hAnsi="Times New Roman" w:cs="Arial Unicode MS"/>
          <w:noProof/>
          <w:color w:val="000000"/>
          <w:sz w:val="24"/>
          <w:szCs w:val="24"/>
          <w:u w:color="000000"/>
          <w:lang w:eastAsia="en-GB"/>
          <w14:textOutline w14:w="12700" w14:cap="flat" w14:cmpd="sng" w14:algn="ctr">
            <w14:noFill/>
            <w14:prstDash w14:val="solid"/>
            <w14:miter w14:lim="100000"/>
          </w14:textOutline>
        </w:rPr>
        <w:t xml:space="preserve"> string of record-breaking heatwaves made July 2019 the hottest month ever recorded and July 2020 a very close second. </w:t>
      </w:r>
    </w:p>
    <w:p>
      <w:pPr>
        <w:spacing w:after="120" w:line="240" w:lineRule="auto"/>
        <w:jc w:val="both"/>
        <w:rPr>
          <w:rFonts w:ascii="Times New Roman" w:eastAsia="Arial Unicode MS" w:hAnsi="Times New Roman" w:cs="Arial Unicode MS"/>
          <w:noProof/>
          <w:color w:val="000000"/>
          <w:sz w:val="24"/>
          <w:szCs w:val="24"/>
          <w:u w:color="000000"/>
          <w:lang w:eastAsia="en-GB"/>
          <w14:textOutline w14:w="12700" w14:cap="flat" w14:cmpd="sng" w14:algn="ctr">
            <w14:noFill/>
            <w14:prstDash w14:val="solid"/>
            <w14:miter w14:lim="100000"/>
          </w14:textOutline>
        </w:rPr>
      </w:pPr>
      <w:r>
        <w:rPr>
          <w:rFonts w:ascii="Times New Roman" w:eastAsia="Arial Unicode MS" w:hAnsi="Times New Roman" w:cs="Arial Unicode MS"/>
          <w:b/>
          <w:noProof/>
          <w:color w:val="000000"/>
          <w:sz w:val="24"/>
          <w:szCs w:val="24"/>
          <w:u w:color="000000"/>
          <w:lang w:eastAsia="en-GB"/>
          <w14:textOutline w14:w="12700" w14:cap="flat" w14:cmpd="sng" w14:algn="ctr">
            <w14:noFill/>
            <w14:prstDash w14:val="solid"/>
            <w14:miter w14:lim="100000"/>
          </w14:textOutline>
        </w:rPr>
        <w:t>Recent projections estimate global warming of up to 4°C under current climate policies</w:t>
      </w:r>
      <w:r>
        <w:rPr>
          <w:rFonts w:ascii="Times New Roman" w:eastAsia="Arial Unicode MS" w:hAnsi="Times New Roman" w:cs="Arial Unicode MS"/>
          <w:noProof/>
          <w:color w:val="000000"/>
          <w:sz w:val="24"/>
          <w:szCs w:val="24"/>
          <w:u w:color="000000"/>
          <w:lang w:eastAsia="en-GB"/>
          <w14:textOutline w14:w="12700" w14:cap="flat" w14:cmpd="sng" w14:algn="ctr">
            <w14:noFill/>
            <w14:prstDash w14:val="solid"/>
            <w14:miter w14:lim="100000"/>
          </w14:textOutline>
        </w:rPr>
        <w:t>, and around 3°C if all countries meet the Nationally Determined Contribution (NDC) targets submitted by end 2020 under the Paris Agreement. Globally, greenhouse gas emissions are not on track to achieve the temperature goals set in the Agreement. Even stopping all greenhouse gas emissions would not prevent the climate impacts that are already occurring, which are likely to continue for decades. This accelerating pace of climate change impacts is one of the drivers of the need for the EU’s new adaptation strategy.</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
          <w:noProof/>
          <w:color w:val="000000"/>
          <w:sz w:val="24"/>
          <w:szCs w:val="20"/>
          <w:lang w:eastAsia="en-GB"/>
        </w:rPr>
        <w:t>The European Commission announced the</w:t>
      </w:r>
      <w:r>
        <w:rPr>
          <w:rFonts w:ascii="Times New Roman" w:eastAsia="MyriadPro-LightSemiCn" w:hAnsi="Times New Roman" w:cs="Trebuchet MS"/>
          <w:noProof/>
          <w:color w:val="000000"/>
          <w:sz w:val="24"/>
          <w:szCs w:val="20"/>
          <w:lang w:eastAsia="en-GB"/>
        </w:rPr>
        <w:t xml:space="preserve"> </w:t>
      </w:r>
      <w:r>
        <w:rPr>
          <w:rFonts w:ascii="Times New Roman" w:eastAsia="MyriadPro-LightSemiCn" w:hAnsi="Times New Roman" w:cs="Trebuchet MS"/>
          <w:b/>
          <w:bCs/>
          <w:noProof/>
          <w:color w:val="000000"/>
          <w:sz w:val="24"/>
          <w:szCs w:val="20"/>
          <w:lang w:eastAsia="en-GB"/>
        </w:rPr>
        <w:t xml:space="preserve">new adaptation strategy as a key priority under the European Green Deal, </w:t>
      </w:r>
      <w:r>
        <w:rPr>
          <w:rFonts w:ascii="Times New Roman" w:eastAsia="MyriadPro-LightSemiCn" w:hAnsi="Times New Roman" w:cs="Trebuchet MS"/>
          <w:noProof/>
          <w:color w:val="000000"/>
          <w:sz w:val="24"/>
          <w:szCs w:val="20"/>
          <w:lang w:eastAsia="en-GB"/>
        </w:rPr>
        <w:t>recognising adaptation as a crucial component of the long-term global response to climate change. It is a clear call for action, as Europe is underprepared for the increasing intensity and frequency of the impacts of climate change. It also anchors adaptation firmly in the proposal for a European Climate Law to create a framework for achieving climate neutrality in the EU by 2050</w:t>
      </w:r>
      <w:r>
        <w:rPr>
          <w:rFonts w:ascii="Times New Roman" w:eastAsia="MyriadPro-LightSemiCn" w:hAnsi="Times New Roman" w:cs="Trebuchet MS"/>
          <w:bCs/>
          <w:noProof/>
          <w:color w:val="000000"/>
          <w:sz w:val="24"/>
          <w:szCs w:val="20"/>
          <w:lang w:eastAsia="en-GB"/>
        </w:rPr>
        <w:t>,</w:t>
      </w:r>
      <w:r>
        <w:rPr>
          <w:rFonts w:ascii="Times New Roman" w:eastAsia="MyriadPro-LightSemiCn" w:hAnsi="Times New Roman" w:cs="Trebuchet MS"/>
          <w:noProof/>
          <w:color w:val="000000"/>
          <w:sz w:val="24"/>
          <w:szCs w:val="20"/>
          <w:lang w:eastAsia="en-GB"/>
        </w:rPr>
        <w:t xml:space="preserve"> and in the governance of the Energy Union and climate action. Although the recent evaluation of the 2013 EU adaptation strategy demonstrated that steady progress has been made on all fronts, it identified new and evolving problem drivers posing a significant threat to our way of life, with severe impacts on people’s health and wellbeing as well as on livelihoods and assets. International developments confirm the urgent need to step up action on adaptation, as reflected in the Paris Agreement, the 2030 Sustainable Development Goals and the Sendai Framework for Disaster Risk Reduction.</w:t>
      </w:r>
    </w:p>
    <w:p>
      <w:pPr>
        <w:spacing w:after="120" w:line="240" w:lineRule="auto"/>
        <w:jc w:val="both"/>
        <w:rPr>
          <w:rFonts w:ascii="Times New Roman" w:eastAsia="MyriadPro-LightSemiCn" w:hAnsi="Times New Roman" w:cs="Trebuchet MS"/>
          <w:b/>
          <w:bCs/>
          <w:noProof/>
          <w:color w:val="000000"/>
          <w:sz w:val="24"/>
          <w:szCs w:val="20"/>
          <w:lang w:eastAsia="en-GB"/>
        </w:rPr>
      </w:pPr>
      <w:r>
        <w:rPr>
          <w:rFonts w:ascii="Times New Roman" w:eastAsia="MyriadPro-LightSemiCn" w:hAnsi="Times New Roman" w:cs="Trebuchet MS"/>
          <w:b/>
          <w:bCs/>
          <w:noProof/>
          <w:color w:val="000000"/>
          <w:sz w:val="24"/>
          <w:szCs w:val="20"/>
          <w:lang w:eastAsia="en-GB"/>
        </w:rPr>
        <w:t>The aim of this new strategy is to create a framework to step up action by addressing the four key problems identified:</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Cs/>
          <w:noProof/>
          <w:color w:val="000000"/>
          <w:sz w:val="24"/>
          <w:szCs w:val="20"/>
          <w:lang w:eastAsia="en-GB"/>
        </w:rPr>
        <w:t>1) there are gaps in data and methodologies to underpins decision making,</w:t>
      </w:r>
      <w:r>
        <w:rPr>
          <w:rFonts w:ascii="Times New Roman" w:eastAsia="MyriadPro-LightSemiCn" w:hAnsi="Times New Roman" w:cs="Trebuchet MS"/>
          <w:noProof/>
          <w:color w:val="000000"/>
          <w:sz w:val="24"/>
          <w:szCs w:val="20"/>
          <w:lang w:eastAsia="en-GB"/>
        </w:rPr>
        <w:t xml:space="preserve"> due to insufficient knowledge and awareness on climate change adaptation, risk, vulnerability and resilience;</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Cs/>
          <w:noProof/>
          <w:color w:val="000000"/>
          <w:sz w:val="24"/>
          <w:szCs w:val="20"/>
          <w:lang w:eastAsia="en-GB"/>
        </w:rPr>
        <w:t>2) weaknesses in planning, monitoring, reporting and evaluating climate change adaptation</w:t>
      </w:r>
      <w:r>
        <w:rPr>
          <w:rFonts w:ascii="Times New Roman" w:eastAsia="MyriadPro-LightSemiCn" w:hAnsi="Times New Roman" w:cs="Trebuchet MS"/>
          <w:noProof/>
          <w:color w:val="000000"/>
          <w:sz w:val="24"/>
          <w:szCs w:val="20"/>
          <w:lang w:eastAsia="en-GB"/>
        </w:rPr>
        <w:t>, including the low priority and commitment given to adaptation in some regions, which have led to the generally slow pace of adoption and implementation of local adaptation strategies;</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Cs/>
          <w:noProof/>
          <w:color w:val="000000"/>
          <w:sz w:val="24"/>
          <w:szCs w:val="20"/>
          <w:lang w:eastAsia="en-GB"/>
        </w:rPr>
        <w:t>3)</w:t>
      </w:r>
      <w:r>
        <w:rPr>
          <w:rFonts w:ascii="Times New Roman" w:eastAsia="MyriadPro-LightSemiCn" w:hAnsi="Times New Roman" w:cs="Trebuchet MS"/>
          <w:noProof/>
          <w:color w:val="000000"/>
          <w:sz w:val="24"/>
          <w:szCs w:val="20"/>
          <w:lang w:eastAsia="en-GB"/>
        </w:rPr>
        <w:t xml:space="preserve"> the slow pace </w:t>
      </w:r>
      <w:r>
        <w:rPr>
          <w:rFonts w:ascii="Times New Roman" w:eastAsia="MyriadPro-LightSemiCn" w:hAnsi="Times New Roman" w:cs="Trebuchet MS"/>
          <w:bCs/>
          <w:noProof/>
          <w:color w:val="000000"/>
          <w:sz w:val="24"/>
          <w:szCs w:val="20"/>
          <w:lang w:eastAsia="en-GB"/>
        </w:rPr>
        <w:t xml:space="preserve">action </w:t>
      </w:r>
      <w:r>
        <w:rPr>
          <w:rFonts w:ascii="Times New Roman" w:eastAsia="MyriadPro-LightSemiCn" w:hAnsi="Times New Roman" w:cs="Trebuchet MS"/>
          <w:noProof/>
          <w:color w:val="000000"/>
          <w:sz w:val="24"/>
          <w:szCs w:val="20"/>
          <w:lang w:eastAsia="en-GB"/>
        </w:rPr>
        <w:t xml:space="preserve"> due to inadequate public and private-sector investment, and a lack of awareness or implementation of cost-effective solutions, which all hinder action; and lastly,</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Cs/>
          <w:noProof/>
          <w:color w:val="000000"/>
          <w:sz w:val="24"/>
          <w:szCs w:val="20"/>
          <w:lang w:eastAsia="en-GB"/>
        </w:rPr>
        <w:t>4)</w:t>
      </w:r>
      <w:r>
        <w:rPr>
          <w:rFonts w:ascii="Times New Roman" w:eastAsia="MyriadPro-LightSemiCn" w:hAnsi="Times New Roman" w:cs="Trebuchet MS"/>
          <w:noProof/>
          <w:color w:val="000000"/>
          <w:sz w:val="24"/>
          <w:szCs w:val="20"/>
          <w:lang w:eastAsia="en-GB"/>
        </w:rPr>
        <w:t xml:space="preserve"> </w:t>
      </w:r>
      <w:r>
        <w:rPr>
          <w:rFonts w:ascii="Times New Roman" w:eastAsia="MyriadPro-LightSemiCn" w:hAnsi="Times New Roman" w:cs="Trebuchet MS"/>
          <w:bCs/>
          <w:noProof/>
          <w:color w:val="000000"/>
          <w:sz w:val="24"/>
          <w:szCs w:val="20"/>
          <w:lang w:eastAsia="en-GB"/>
        </w:rPr>
        <w:t>climate impacts generated outside the EU, which the 2013 adaptation strategy did not take into account or address,</w:t>
      </w:r>
      <w:r>
        <w:rPr>
          <w:rFonts w:ascii="Times New Roman" w:eastAsia="MyriadPro-LightSemiCn" w:hAnsi="Times New Roman" w:cs="Trebuchet MS"/>
          <w:noProof/>
          <w:color w:val="000000"/>
          <w:sz w:val="24"/>
          <w:szCs w:val="20"/>
          <w:lang w:eastAsia="en-GB"/>
        </w:rPr>
        <w:t xml:space="preserve"> with international policy developments and increasing spillovers. </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
          <w:bCs/>
          <w:noProof/>
          <w:color w:val="000000"/>
          <w:sz w:val="24"/>
          <w:szCs w:val="20"/>
          <w:lang w:eastAsia="en-GB"/>
        </w:rPr>
        <w:t xml:space="preserve">With the goal of </w:t>
      </w:r>
      <w:r>
        <w:rPr>
          <w:rFonts w:ascii="Times New Roman" w:eastAsia="MyriadPro-LightSemiCn" w:hAnsi="Times New Roman" w:cs="Trebuchet MS"/>
          <w:b/>
          <w:noProof/>
          <w:color w:val="000000"/>
          <w:sz w:val="24"/>
          <w:szCs w:val="20"/>
          <w:lang w:eastAsia="en-GB"/>
        </w:rPr>
        <w:t>stepping up action to increase climate resilience and adapt</w:t>
      </w:r>
      <w:r>
        <w:rPr>
          <w:rFonts w:ascii="Times New Roman" w:eastAsia="MyriadPro-LightSemiCn" w:hAnsi="Times New Roman" w:cs="Trebuchet MS"/>
          <w:noProof/>
          <w:color w:val="000000"/>
          <w:sz w:val="24"/>
          <w:szCs w:val="20"/>
          <w:lang w:eastAsia="en-GB"/>
        </w:rPr>
        <w:t xml:space="preserve"> </w:t>
      </w:r>
      <w:r>
        <w:rPr>
          <w:rFonts w:ascii="Times New Roman" w:eastAsia="MyriadPro-LightSemiCn" w:hAnsi="Times New Roman" w:cs="Trebuchet MS"/>
          <w:b/>
          <w:bCs/>
          <w:noProof/>
          <w:color w:val="000000"/>
          <w:sz w:val="24"/>
          <w:szCs w:val="20"/>
          <w:lang w:eastAsia="en-GB"/>
        </w:rPr>
        <w:t>to the unavoidable impacts of climate change</w:t>
      </w:r>
      <w:r>
        <w:rPr>
          <w:rFonts w:ascii="Times New Roman" w:eastAsia="MyriadPro-LightSemiCn" w:hAnsi="Times New Roman" w:cs="Trebuchet MS"/>
          <w:noProof/>
          <w:color w:val="000000"/>
          <w:sz w:val="24"/>
          <w:szCs w:val="20"/>
          <w:lang w:eastAsia="en-GB"/>
        </w:rPr>
        <w:t xml:space="preserve">, the new strategy will pursue these objectives: 1) improve knowledge of climate impacts and solutions; 2) step up planning and climate risk assessment; 3) accelerate adaptation action and 4) build climate resilience globally. Only by achieving progress on all these four objectives, can the EU move closer to its overarching goal of a climate-resilient society. </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noProof/>
          <w:color w:val="000000"/>
          <w:sz w:val="24"/>
          <w:szCs w:val="20"/>
          <w:lang w:eastAsia="en-GB"/>
        </w:rPr>
        <w:t xml:space="preserve">Two policy options (made up of a representative selection of the most impactful measures designed for the new strategy) were assessed against their potential impact and achievement of these objectives, </w:t>
      </w:r>
      <w:r>
        <w:rPr>
          <w:rFonts w:ascii="Times New Roman" w:eastAsia="MyriadPro-LightSemiCn" w:hAnsi="Times New Roman" w:cs="Trebuchet MS"/>
          <w:b/>
          <w:noProof/>
          <w:color w:val="000000"/>
          <w:sz w:val="24"/>
          <w:szCs w:val="20"/>
          <w:lang w:eastAsia="en-GB"/>
        </w:rPr>
        <w:t>compared to a baseline to continue action under the 2013 strategy</w:t>
      </w:r>
      <w:r>
        <w:rPr>
          <w:rFonts w:ascii="Times New Roman" w:eastAsia="MyriadPro-LightSemiCn" w:hAnsi="Times New Roman" w:cs="Trebuchet MS"/>
          <w:noProof/>
          <w:color w:val="000000"/>
          <w:sz w:val="24"/>
          <w:szCs w:val="20"/>
          <w:lang w:eastAsia="en-GB"/>
        </w:rPr>
        <w:t>:</w:t>
      </w:r>
    </w:p>
    <w:p>
      <w:pPr>
        <w:numPr>
          <w:ilvl w:val="0"/>
          <w:numId w:val="1"/>
        </w:numPr>
        <w:spacing w:after="0" w:line="240" w:lineRule="auto"/>
        <w:ind w:left="426" w:hanging="5"/>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
          <w:bCs/>
          <w:noProof/>
          <w:color w:val="000000"/>
          <w:sz w:val="24"/>
          <w:szCs w:val="20"/>
          <w:lang w:eastAsia="en-GB"/>
        </w:rPr>
        <w:t xml:space="preserve">Option 1 (more ambition) </w:t>
      </w:r>
      <w:r>
        <w:rPr>
          <w:rFonts w:ascii="Times New Roman" w:eastAsia="MyriadPro-LightSemiCn" w:hAnsi="Times New Roman" w:cs="Trebuchet MS"/>
          <w:bCs/>
          <w:noProof/>
          <w:color w:val="000000"/>
          <w:sz w:val="24"/>
          <w:szCs w:val="20"/>
          <w:lang w:eastAsia="en-GB"/>
        </w:rPr>
        <w:t xml:space="preserve">proposes making ambitious changes to both the form and nature of the eight </w:t>
      </w:r>
      <w:r>
        <w:rPr>
          <w:rFonts w:ascii="Times New Roman" w:eastAsia="MyriadPro-LightSemiCn" w:hAnsi="Times New Roman" w:cs="Trebuchet MS"/>
          <w:noProof/>
          <w:color w:val="000000"/>
          <w:sz w:val="24"/>
          <w:szCs w:val="20"/>
          <w:lang w:eastAsia="en-GB"/>
        </w:rPr>
        <w:t>a</w:t>
      </w:r>
      <w:r>
        <w:rPr>
          <w:rFonts w:ascii="Times New Roman" w:eastAsia="MyriadPro-LightSemiCn" w:hAnsi="Times New Roman" w:cs="Trebuchet MS"/>
          <w:bCs/>
          <w:noProof/>
          <w:color w:val="000000"/>
          <w:sz w:val="24"/>
          <w:szCs w:val="20"/>
          <w:lang w:eastAsia="en-GB"/>
        </w:rPr>
        <w:t>ctions in the 2013 strategy</w:t>
      </w:r>
      <w:r>
        <w:rPr>
          <w:rFonts w:ascii="Times New Roman" w:eastAsia="MyriadPro-LightSemiCn" w:hAnsi="Times New Roman" w:cs="Trebuchet MS"/>
          <w:noProof/>
          <w:color w:val="000000"/>
          <w:sz w:val="24"/>
          <w:szCs w:val="20"/>
          <w:lang w:eastAsia="en-GB"/>
        </w:rPr>
        <w:t xml:space="preserve">. It also proposes a wide range of new </w:t>
      </w:r>
      <w:r>
        <w:rPr>
          <w:rFonts w:ascii="Times New Roman" w:eastAsia="MyriadPro-LightSemiCn" w:hAnsi="Times New Roman" w:cs="Trebuchet MS"/>
          <w:noProof/>
          <w:color w:val="000000"/>
          <w:sz w:val="24"/>
          <w:szCs w:val="20"/>
          <w:lang w:eastAsia="en-GB"/>
        </w:rPr>
        <w:lastRenderedPageBreak/>
        <w:t xml:space="preserve">measures to deepen their impact. This represents a clear step up in ambition, with commensurate increases in visibility and effectiveness for EU-level action while remaining well within the policy scope of the 2013 strategy. </w:t>
      </w:r>
    </w:p>
    <w:p>
      <w:pPr>
        <w:numPr>
          <w:ilvl w:val="0"/>
          <w:numId w:val="1"/>
        </w:numPr>
        <w:spacing w:after="120" w:line="240" w:lineRule="auto"/>
        <w:ind w:left="426" w:hanging="5"/>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
          <w:bCs/>
          <w:noProof/>
          <w:color w:val="000000"/>
          <w:sz w:val="24"/>
          <w:szCs w:val="20"/>
          <w:lang w:eastAsia="en-GB"/>
        </w:rPr>
        <w:t xml:space="preserve">Option 2 (more ambition and change) </w:t>
      </w:r>
      <w:r>
        <w:rPr>
          <w:rFonts w:ascii="Times New Roman" w:eastAsia="MyriadPro-LightSemiCn" w:hAnsi="Times New Roman" w:cs="Trebuchet MS"/>
          <w:bCs/>
          <w:noProof/>
          <w:color w:val="000000"/>
          <w:sz w:val="24"/>
          <w:szCs w:val="20"/>
          <w:lang w:eastAsia="en-GB"/>
        </w:rPr>
        <w:t>include</w:t>
      </w:r>
      <w:r>
        <w:rPr>
          <w:rFonts w:ascii="Times New Roman" w:eastAsia="MyriadPro-LightSemiCn" w:hAnsi="Times New Roman" w:cs="Trebuchet MS"/>
          <w:noProof/>
          <w:color w:val="000000"/>
          <w:sz w:val="24"/>
          <w:szCs w:val="20"/>
          <w:lang w:eastAsia="en-GB"/>
        </w:rPr>
        <w:t>s</w:t>
      </w:r>
      <w:r>
        <w:rPr>
          <w:rFonts w:ascii="Times New Roman" w:eastAsia="MyriadPro-LightSemiCn" w:hAnsi="Times New Roman" w:cs="Trebuchet MS"/>
          <w:bCs/>
          <w:noProof/>
          <w:color w:val="000000"/>
          <w:sz w:val="24"/>
          <w:szCs w:val="20"/>
          <w:lang w:eastAsia="en-GB"/>
        </w:rPr>
        <w:t xml:space="preserve"> the changes proposed under Option 1 and add</w:t>
      </w:r>
      <w:r>
        <w:rPr>
          <w:rFonts w:ascii="Times New Roman" w:eastAsia="MyriadPro-LightSemiCn" w:hAnsi="Times New Roman" w:cs="Trebuchet MS"/>
          <w:noProof/>
          <w:color w:val="000000"/>
          <w:sz w:val="24"/>
          <w:szCs w:val="20"/>
          <w:lang w:eastAsia="en-GB"/>
        </w:rPr>
        <w:t>s</w:t>
      </w:r>
      <w:r>
        <w:rPr>
          <w:rFonts w:ascii="Times New Roman" w:eastAsia="MyriadPro-LightSemiCn" w:hAnsi="Times New Roman" w:cs="Trebuchet MS"/>
          <w:bCs/>
          <w:noProof/>
          <w:color w:val="000000"/>
          <w:sz w:val="24"/>
          <w:szCs w:val="20"/>
          <w:lang w:eastAsia="en-GB"/>
        </w:rPr>
        <w:t xml:space="preserve"> 6 new </w:t>
      </w:r>
      <w:r>
        <w:rPr>
          <w:rFonts w:ascii="Times New Roman" w:eastAsia="MyriadPro-LightSemiCn" w:hAnsi="Times New Roman" w:cs="Trebuchet MS"/>
          <w:noProof/>
          <w:color w:val="000000"/>
          <w:sz w:val="24"/>
          <w:szCs w:val="20"/>
          <w:lang w:eastAsia="en-GB"/>
        </w:rPr>
        <w:t>a</w:t>
      </w:r>
      <w:r>
        <w:rPr>
          <w:rFonts w:ascii="Times New Roman" w:eastAsia="MyriadPro-LightSemiCn" w:hAnsi="Times New Roman" w:cs="Trebuchet MS"/>
          <w:bCs/>
          <w:noProof/>
          <w:color w:val="000000"/>
          <w:sz w:val="24"/>
          <w:szCs w:val="20"/>
          <w:lang w:eastAsia="en-GB"/>
        </w:rPr>
        <w:t>ctions to the strategy, each of which</w:t>
      </w:r>
      <w:r>
        <w:rPr>
          <w:rFonts w:ascii="Times New Roman" w:eastAsia="MyriadPro-LightSemiCn" w:hAnsi="Times New Roman" w:cs="Trebuchet MS"/>
          <w:noProof/>
          <w:color w:val="000000"/>
          <w:sz w:val="24"/>
          <w:szCs w:val="20"/>
          <w:lang w:eastAsia="en-GB"/>
        </w:rPr>
        <w:t xml:space="preserve"> include a number of new </w:t>
      </w:r>
      <w:r>
        <w:rPr>
          <w:rFonts w:ascii="Times New Roman" w:eastAsia="MyriadPro-LightSemiCn" w:hAnsi="Times New Roman" w:cs="Trebuchet MS"/>
          <w:bCs/>
          <w:noProof/>
          <w:color w:val="000000"/>
          <w:sz w:val="24"/>
          <w:szCs w:val="20"/>
          <w:lang w:eastAsia="en-GB"/>
        </w:rPr>
        <w:t>measures.</w:t>
      </w:r>
      <w:r>
        <w:rPr>
          <w:rFonts w:ascii="Times New Roman" w:eastAsia="MyriadPro-LightSemiCn" w:hAnsi="Times New Roman" w:cs="Trebuchet MS"/>
          <w:noProof/>
          <w:color w:val="000000"/>
          <w:sz w:val="24"/>
          <w:szCs w:val="20"/>
          <w:lang w:eastAsia="en-GB"/>
        </w:rPr>
        <w:t xml:space="preserve"> This represents a higher level of political ambition in EU adaptation policy, including in its international commitments. It expands into thematic areas of prime importance (e.g. innovation, ecosystem services, closing the climate protection gap) and by seeking to add greater policy coherence to EU actions on adaptation, including internationally, it constitutes a clear step up from the baseline. </w:t>
      </w:r>
    </w:p>
    <w:p>
      <w:pPr>
        <w:spacing w:after="120" w:line="240" w:lineRule="auto"/>
        <w:jc w:val="both"/>
        <w:rPr>
          <w:rFonts w:ascii="Times New Roman" w:eastAsia="MyriadPro-LightSemiCn" w:hAnsi="Times New Roman" w:cs="Trebuchet MS"/>
          <w:noProof/>
          <w:color w:val="000000"/>
          <w:sz w:val="24"/>
          <w:szCs w:val="20"/>
          <w:lang w:eastAsia="en-GB"/>
        </w:rPr>
      </w:pPr>
      <w:r>
        <w:rPr>
          <w:rFonts w:ascii="Times New Roman" w:eastAsia="MyriadPro-LightSemiCn" w:hAnsi="Times New Roman" w:cs="Trebuchet MS"/>
          <w:b/>
          <w:bCs/>
          <w:noProof/>
          <w:color w:val="000000"/>
          <w:sz w:val="24"/>
          <w:szCs w:val="20"/>
          <w:lang w:eastAsia="en-GB"/>
        </w:rPr>
        <w:t xml:space="preserve">Option 2 performs best on almost all measures and is therefore the preferred option. </w:t>
      </w:r>
      <w:r>
        <w:rPr>
          <w:rFonts w:ascii="Times New Roman" w:eastAsia="MyriadPro-LightSemiCn" w:hAnsi="Times New Roman" w:cs="Trebuchet MS"/>
          <w:noProof/>
          <w:color w:val="000000"/>
          <w:sz w:val="24"/>
          <w:szCs w:val="20"/>
          <w:lang w:eastAsia="en-GB"/>
        </w:rPr>
        <w:t>The assessment was made in the context of different climate (temperature) scenarios, and shows robustness to this sensitivity check. Economic modelling and qualitative analyses estimate that it would yield the greatest benefits for economic welfare, reducing losses to economic welfare and employment compared to the baseline. It would also generate a more positive impact overall than Option 1 on the economic impacts of competitiveness, trade and investment, and innovation and research. Option 2 identifies positive social impacts in terms of income distribution, welfare and social inclusion, as well as major positive impacts for public health and safety. The assessment of Option 2 was also positive on environmental impacts, in terms of its impact on climate resilience, the quality and availability of natural resources, reducing pollution, and on biodiversity and ecosystem services. Lastly, it was assessed to generate considerably more positive impacts in non-EU countries and international relations. The benefits of both options increase at higher temperature (where climate damages are higher), but Option 2 remains best.</w:t>
      </w:r>
    </w:p>
    <w:p>
      <w:pPr>
        <w:spacing w:after="120" w:line="240" w:lineRule="auto"/>
        <w:jc w:val="both"/>
        <w:rPr>
          <w:noProof/>
        </w:rPr>
      </w:pPr>
      <w:r>
        <w:rPr>
          <w:rFonts w:ascii="Times New Roman" w:eastAsia="MyriadPro-LightSemiCn" w:hAnsi="Times New Roman" w:cs="MyriadPro-LightSemiCn"/>
          <w:b/>
          <w:bCs/>
          <w:noProof/>
          <w:sz w:val="24"/>
          <w:szCs w:val="20"/>
        </w:rPr>
        <w:t xml:space="preserve">The strategy proposes monitoring and evaluation indicators (for the strategy and for adaptation in general), </w:t>
      </w:r>
      <w:r>
        <w:rPr>
          <w:rFonts w:ascii="Times New Roman" w:eastAsia="MyriadPro-LightSemiCn" w:hAnsi="Times New Roman" w:cs="MyriadPro-LightSemiCn"/>
          <w:bCs/>
          <w:noProof/>
          <w:sz w:val="24"/>
          <w:szCs w:val="20"/>
        </w:rPr>
        <w:t>acknowledging the complexity and uncertainty inherent in tracking adaptation and climate resilience</w:t>
      </w:r>
      <w:r>
        <w:rPr>
          <w:rFonts w:ascii="Times New Roman" w:eastAsia="MyriadPro-LightSemiCn" w:hAnsi="Times New Roman" w:cs="MyriadPro-LightSemiCn"/>
          <w:b/>
          <w:bCs/>
          <w:noProof/>
          <w:sz w:val="24"/>
          <w:szCs w:val="20"/>
        </w:rPr>
        <w:t>.</w:t>
      </w:r>
      <w:r>
        <w:rPr>
          <w:rFonts w:ascii="Times New Roman" w:eastAsia="MyriadPro-LightSemiCn" w:hAnsi="Times New Roman" w:cs="MyriadPro-LightSemiCn"/>
          <w:noProof/>
          <w:sz w:val="24"/>
          <w:szCs w:val="20"/>
        </w:rPr>
        <w:t xml:space="preserve"> The recommendations on monitoring and evaluation also highlight some of the next steps needed to further advance and refine this approach as part of the process to implement the strategy.</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MyriadPro-LightSemiC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6594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577C1"/>
    <w:multiLevelType w:val="hybridMultilevel"/>
    <w:tmpl w:val="6DA0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DB67A7"/>
    <w:multiLevelType w:val="hybridMultilevel"/>
    <w:tmpl w:val="5BBC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25D53B5-BD3C-4FA7-ABCD-FB04924B6D94"/>
    <w:docVar w:name="LW_COVERPAGE_TYPE" w:val="1"/>
    <w:docVar w:name="LW_CROSSREFERENCE" w:val="{COM(2021) 82 final} - {SEC(2021) 89 final} - {SWD(2021) 25 final}"/>
    <w:docVar w:name="LW_DocType" w:val="NORMAL"/>
    <w:docVar w:name="LW_EMISSION" w:val="24.2.2021"/>
    <w:docVar w:name="LW_EMISSION_ISODATE" w:val="2021-02-2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Forging a climate-resilient Europe - The new EU Strategy on Adaptation to Climate Change"/>
    <w:docVar w:name="LW_PART_NBR" w:val="1"/>
    <w:docVar w:name="LW_PART_NBR_TOTAL" w:val="1"/>
    <w:docVar w:name="LW_REF.INST.NEW" w:val="SWD"/>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COMMUNICATION FROM THE COMMISSION TO THE EUROPEAN PARLIAMENT, THE COUNCIL, THE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ocumentTitle">
    <w:name w:val="Document Title"/>
    <w:aliases w:val="DocTitle"/>
    <w:basedOn w:val="Normal"/>
    <w:link w:val="DocumentTitleChar"/>
    <w:uiPriority w:val="21"/>
    <w:qFormat/>
    <w:pPr>
      <w:spacing w:after="120"/>
      <w:jc w:val="center"/>
    </w:pPr>
    <w:rPr>
      <w:rFonts w:ascii="EC Square Sans Pro" w:eastAsia="MyriadPro-LightSemiCn" w:hAnsi="EC Square Sans Pro" w:cs="MyriadPro-LightSemiCn"/>
      <w:b/>
      <w:sz w:val="52"/>
      <w:szCs w:val="20"/>
    </w:rPr>
  </w:style>
  <w:style w:type="character" w:customStyle="1" w:styleId="DocumentTitleChar">
    <w:name w:val="Document Title Char"/>
    <w:link w:val="DocumentTitle"/>
    <w:uiPriority w:val="21"/>
    <w:rPr>
      <w:rFonts w:ascii="EC Square Sans Pro" w:eastAsia="MyriadPro-LightSemiCn" w:hAnsi="EC Square Sans Pro" w:cs="MyriadPro-LightSemiCn"/>
      <w:b/>
      <w:sz w:val="52"/>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ocumentTitle">
    <w:name w:val="Document Title"/>
    <w:aliases w:val="DocTitle"/>
    <w:basedOn w:val="Normal"/>
    <w:link w:val="DocumentTitleChar"/>
    <w:uiPriority w:val="21"/>
    <w:qFormat/>
    <w:pPr>
      <w:spacing w:after="120"/>
      <w:jc w:val="center"/>
    </w:pPr>
    <w:rPr>
      <w:rFonts w:ascii="EC Square Sans Pro" w:eastAsia="MyriadPro-LightSemiCn" w:hAnsi="EC Square Sans Pro" w:cs="MyriadPro-LightSemiCn"/>
      <w:b/>
      <w:sz w:val="52"/>
      <w:szCs w:val="20"/>
    </w:rPr>
  </w:style>
  <w:style w:type="character" w:customStyle="1" w:styleId="DocumentTitleChar">
    <w:name w:val="Document Title Char"/>
    <w:link w:val="DocumentTitle"/>
    <w:uiPriority w:val="21"/>
    <w:rPr>
      <w:rFonts w:ascii="EC Square Sans Pro" w:eastAsia="MyriadPro-LightSemiCn" w:hAnsi="EC Square Sans Pro" w:cs="MyriadPro-LightSemiCn"/>
      <w:b/>
      <w:sz w:val="52"/>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c59cdfbf-1dfc-4ffc-abc4-a5feb33a1764">EN</EC_Collab_DocumentLanguage>
    <EC_Collab_Reference xmlns="c59cdfbf-1dfc-4ffc-abc4-a5feb33a1764" xsi:nil="true"/>
    <_Status xmlns="http://schemas.microsoft.com/sharepoint/v3/fields">Not Started</_Status>
    <EC_Collab_Status xmlns="c59cdfbf-1dfc-4ffc-abc4-a5feb33a1764">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10D73B233356943B8D036B8A0606D60" ma:contentTypeVersion="0" ma:contentTypeDescription="Create a new document in this library." ma:contentTypeScope="" ma:versionID="8ef8c627b9bc31cb54362bf90be7fe96">
  <xsd:schema xmlns:xsd="http://www.w3.org/2001/XMLSchema" xmlns:xs="http://www.w3.org/2001/XMLSchema" xmlns:p="http://schemas.microsoft.com/office/2006/metadata/properties" xmlns:ns2="http://schemas.microsoft.com/sharepoint/v3/fields" xmlns:ns3="c59cdfbf-1dfc-4ffc-abc4-a5feb33a1764" targetNamespace="http://schemas.microsoft.com/office/2006/metadata/properties" ma:root="true" ma:fieldsID="ea4433c989c691abca0c5f4ec492efef" ns2:_="" ns3:_="">
    <xsd:import namespace="http://schemas.microsoft.com/sharepoint/v3/fields"/>
    <xsd:import namespace="c59cdfbf-1dfc-4ffc-abc4-a5feb33a176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9cdfbf-1dfc-4ffc-abc4-a5feb33a176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70B61-D6A8-42B4-BC79-1D29E2720BFC}">
  <ds:schemaRefs>
    <ds:schemaRef ds:uri="http://purl.org/dc/terms/"/>
    <ds:schemaRef ds:uri="http://schemas.openxmlformats.org/package/2006/metadata/core-properties"/>
    <ds:schemaRef ds:uri="http://schemas.microsoft.com/office/2006/documentManagement/types"/>
    <ds:schemaRef ds:uri="c59cdfbf-1dfc-4ffc-abc4-a5feb33a1764"/>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F1795C6-91D8-4EA6-A603-5415B48F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59cdfbf-1dfc-4ffc-abc4-a5feb33a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04213-48CB-471B-9C24-2920A5CE2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5442</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2021-02-15T17:24:00Z</dcterms:created>
  <dcterms:modified xsi:type="dcterms:W3CDTF">2021-02-23T16:50:00Z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CP-027</vt:lpwstr>
  </property>
  <property fmtid="{D5CDD505-2E9C-101B-9397-08002B2CF9AE}" pid="8" name="_LW_INVALIDATED__LW_INVALIDATED_ContentTypeId">
    <vt:lpwstr>0x010100258AA79CEB83498886A3A0868112325000F10D73B233356943B8D036B8A0606D60</vt:lpwstr>
  </property>
</Properties>
</file>