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AB7B577-B03F-43E6-AA4E-BA8B9BC5833F" style="width:450.75pt;height:361.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ДОКЛАД НА КОМИСИЯТА ДО ЕВРОПЕЙСКИЯ ПАРЛАМЕНТ И СЪВЕТА</w:t>
      </w:r>
    </w:p>
    <w:p>
      <w:pPr>
        <w:jc w:val="both"/>
        <w:rPr>
          <w:rFonts w:ascii="Times New Roman" w:hAnsi="Times New Roman" w:cs="Times New Roman"/>
          <w:b/>
          <w:noProof/>
          <w:sz w:val="24"/>
          <w:szCs w:val="24"/>
        </w:rPr>
      </w:pPr>
    </w:p>
    <w:p>
      <w:pPr>
        <w:pStyle w:val="ListParagraph"/>
        <w:jc w:val="both"/>
        <w:rPr>
          <w:rFonts w:ascii="Times New Roman" w:hAnsi="Times New Roman" w:cs="Times New Roman"/>
          <w:b/>
          <w:noProof/>
          <w:sz w:val="24"/>
          <w:szCs w:val="24"/>
        </w:rPr>
      </w:pPr>
      <w:r>
        <w:rPr>
          <w:rFonts w:ascii="Times New Roman" w:hAnsi="Times New Roman"/>
          <w:b/>
          <w:noProof/>
          <w:sz w:val="24"/>
          <w:szCs w:val="24"/>
        </w:rPr>
        <w:t>относно упражняването на правомощията, делегирани на Комисията съгласно Директива (EС) 2016/1629 на Европейския парламент и на Съвета от 14 септември 2016 г. за установяване на техническите изисквания за плавателните съдове по вътрешните водни пътища, за изменение на Директива 2009/100/ЕО и за отмяна на Директива 2006/87/ЕО</w:t>
      </w:r>
    </w:p>
    <w:p>
      <w:pPr>
        <w:jc w:val="both"/>
        <w:rPr>
          <w:rFonts w:ascii="Times New Roman" w:hAnsi="Times New Roman" w:cs="Times New Roman"/>
          <w:b/>
          <w:noProof/>
          <w:sz w:val="24"/>
          <w:szCs w:val="24"/>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szCs w:val="24"/>
        </w:rPr>
        <w:t>ВЪВЕДЕНИЕ</w:t>
      </w:r>
    </w:p>
    <w:p>
      <w:pPr>
        <w:pStyle w:val="Default"/>
        <w:spacing w:after="200"/>
        <w:ind w:left="360"/>
        <w:contextualSpacing/>
        <w:jc w:val="both"/>
        <w:rPr>
          <w:noProof/>
        </w:rPr>
      </w:pPr>
      <w:r>
        <w:rPr>
          <w:noProof/>
        </w:rPr>
        <w:t>С Директива (EС) 2016/1629 се утвърждава нова система от технически изисквания за плавателните съдове по вътрешните водни пътища, установява се режим на проверки, класификация на вътрешните водни пътища и се определят разпоредби за дерогации за някои видове плавателни съдове.</w:t>
      </w:r>
    </w:p>
    <w:p>
      <w:pPr>
        <w:pStyle w:val="Default"/>
        <w:ind w:left="360"/>
        <w:jc w:val="both"/>
        <w:rPr>
          <w:noProof/>
        </w:rPr>
      </w:pPr>
      <w:r>
        <w:rPr>
          <w:noProof/>
        </w:rPr>
        <w:t>С Директива (EС) 2016/1629 се въвеждат хармонизирани условия за издаване на свидетелства за вътрешно корабоплаване за плавателни съдове по вътрешните водни пътища във всички държави членки. В резултат на това техническите изисквания за плавателните съдове по вътрешните водни пътища са еднакви във всички държави членки. По този начин се гарантира опростяване на правилата, което води до високи нива на безопасност и допринася пряко за създаването на по-задълбочен и по-справедлив вътрешен пазар.</w:t>
      </w:r>
    </w:p>
    <w:p>
      <w:pPr>
        <w:pStyle w:val="Default"/>
        <w:spacing w:after="200" w:line="276" w:lineRule="auto"/>
        <w:ind w:left="360"/>
        <w:contextualSpacing/>
        <w:jc w:val="both"/>
        <w:rPr>
          <w:noProof/>
        </w:rPr>
      </w:pPr>
      <w:r>
        <w:rPr>
          <w:noProof/>
        </w:rPr>
        <w:t>Изискванията се установяват чрез позоваване на европейските стандарти за определяне на техническите изисквания за плавателните съдове по вътрешните водни пътища (стандарти ES-TRIN), изготвени от Европейския комитет за изготвяне на стандарти за вътрешното корабоплаване (CESNI), който е международен орган, създаден в рамките на Централната комисия за корабоплаване по Рейн (ЦККР).</w:t>
      </w:r>
    </w:p>
    <w:p>
      <w:pPr>
        <w:pStyle w:val="Default"/>
        <w:spacing w:after="200" w:line="276" w:lineRule="auto"/>
        <w:ind w:left="360"/>
        <w:contextualSpacing/>
        <w:jc w:val="both"/>
        <w:rPr>
          <w:noProof/>
        </w:rPr>
      </w:pPr>
      <w:r>
        <w:rPr>
          <w:noProof/>
        </w:rPr>
        <w:t>На този стандарт и неговите актуализации се позовава не само законодателството на ЕС, но и законодателната рамка, приета от Централната комисия за корабоплаване по Рейн (ЦККР).</w:t>
      </w:r>
    </w:p>
    <w:p>
      <w:pPr>
        <w:pStyle w:val="Default"/>
        <w:spacing w:after="200" w:line="276" w:lineRule="auto"/>
        <w:ind w:left="360"/>
        <w:contextualSpacing/>
        <w:jc w:val="both"/>
        <w:rPr>
          <w:noProof/>
        </w:rPr>
      </w:pPr>
      <w:r>
        <w:rPr>
          <w:noProof/>
        </w:rPr>
        <w:t>Този подход гарантира, че свидетелствата на Съюза за плаване по вътрешни водни пътища, които удостоверяват, че всички видове плавателни средства са изцяло съобразени с горепосочените преразгледани технически изисквания, са валидни за всички вътрешни водни пътища в ЕС, включително за река Рейн, и че свидетелствата за Рейн са валидни за всички вътрешни водни пътища в ЕС.</w:t>
      </w:r>
    </w:p>
    <w:p>
      <w:pPr>
        <w:pStyle w:val="Default"/>
        <w:spacing w:after="200" w:line="276" w:lineRule="auto"/>
        <w:ind w:left="360"/>
        <w:contextualSpacing/>
        <w:jc w:val="both"/>
        <w:rPr>
          <w:noProof/>
        </w:rPr>
      </w:pPr>
      <w:r>
        <w:rPr>
          <w:noProof/>
        </w:rPr>
        <w:t>Наличието на информация за плавателните съдове и свидетелствата се осигурява чрез специална база от данни (Европейска база данни за корабните корпуси — EHDB), която гарантира, че органите на държавите членки могат ефективно да прилагат изискванията за безопасност на плавателните съдове.</w:t>
      </w:r>
    </w:p>
    <w:p>
      <w:pPr>
        <w:pStyle w:val="Default"/>
        <w:spacing w:after="200" w:line="276" w:lineRule="auto"/>
        <w:contextualSpacing/>
        <w:jc w:val="both"/>
        <w:rPr>
          <w:noProof/>
        </w:rPr>
      </w:pPr>
    </w:p>
    <w:p>
      <w:pPr>
        <w:pStyle w:val="Default"/>
        <w:ind w:left="360"/>
        <w:contextualSpacing/>
        <w:jc w:val="both"/>
        <w:rPr>
          <w:noProof/>
        </w:rPr>
      </w:pPr>
      <w:r>
        <w:rPr>
          <w:noProof/>
        </w:rPr>
        <w:t>Директива (EС) 2016/1629 беше приета на 14 септември 2016 г. и влезе в сила на 6 октомври 2016 г., като датата за транспониране и прилагане е 7 октомври 2018 г.</w:t>
      </w:r>
    </w:p>
    <w:p>
      <w:pPr>
        <w:pStyle w:val="Default"/>
        <w:spacing w:after="200" w:line="276" w:lineRule="auto"/>
        <w:contextualSpacing/>
        <w:jc w:val="both"/>
        <w:rPr>
          <w:noProof/>
        </w:rPr>
      </w:pPr>
    </w:p>
    <w:p>
      <w:pPr>
        <w:pStyle w:val="Default"/>
        <w:spacing w:after="200" w:line="276" w:lineRule="auto"/>
        <w:ind w:left="360"/>
        <w:contextualSpacing/>
        <w:jc w:val="both"/>
        <w:rPr>
          <w:noProof/>
          <w:color w:val="auto"/>
        </w:rPr>
      </w:pPr>
      <w:r>
        <w:rPr>
          <w:noProof/>
          <w:color w:val="auto"/>
        </w:rPr>
        <w:t xml:space="preserve">Съгласно член 4, параграф 2 от Директива (EС) 2016/1629 „Правомощието да приема делегирани актове се предоставя на Комисията [...] във връзка с измененията на приложение I, с цел да се измени класификацията на воден път, включително добавянето или заличаването на водни пътища “. </w:t>
      </w:r>
    </w:p>
    <w:p>
      <w:pPr>
        <w:pStyle w:val="Default"/>
        <w:spacing w:after="200" w:line="276" w:lineRule="auto"/>
        <w:ind w:left="360"/>
        <w:contextualSpacing/>
        <w:jc w:val="both"/>
        <w:rPr>
          <w:noProof/>
        </w:rPr>
      </w:pPr>
      <w:r>
        <w:rPr>
          <w:noProof/>
        </w:rPr>
        <w:t xml:space="preserve">С член 19, параграф 7 от </w:t>
      </w:r>
      <w:r>
        <w:rPr>
          <w:noProof/>
          <w:color w:val="auto"/>
        </w:rPr>
        <w:t>Директива (EС) 2016/1629 на Комисията се предоставя правомощието да приема делегирани актове</w:t>
      </w:r>
      <w:r>
        <w:rPr>
          <w:noProof/>
        </w:rPr>
        <w:t xml:space="preserve">, с които се определят разпоредби за Европейската база данни за корабните корпуси (EHDB) в следните области: </w:t>
      </w:r>
    </w:p>
    <w:p>
      <w:pPr>
        <w:pStyle w:val="Default"/>
        <w:spacing w:after="200" w:line="276" w:lineRule="auto"/>
        <w:ind w:left="720"/>
        <w:contextualSpacing/>
        <w:jc w:val="both"/>
        <w:rPr>
          <w:noProof/>
        </w:rPr>
      </w:pPr>
      <w:r>
        <w:rPr>
          <w:noProof/>
        </w:rPr>
        <w:t>а) данните, които държавите членки вписват в базата данни;</w:t>
      </w:r>
    </w:p>
    <w:p>
      <w:pPr>
        <w:pStyle w:val="Default"/>
        <w:spacing w:after="200" w:line="276" w:lineRule="auto"/>
        <w:ind w:left="720"/>
        <w:contextualSpacing/>
        <w:jc w:val="both"/>
        <w:rPr>
          <w:noProof/>
        </w:rPr>
      </w:pPr>
      <w:r>
        <w:rPr>
          <w:noProof/>
        </w:rPr>
        <w:t>б) видовете разрешен достъп, като се вземат предвид категориите получатели на данните и целите на обработката на данните;</w:t>
      </w:r>
    </w:p>
    <w:p>
      <w:pPr>
        <w:pStyle w:val="Default"/>
        <w:spacing w:after="200" w:line="276" w:lineRule="auto"/>
        <w:ind w:left="720"/>
        <w:contextualSpacing/>
        <w:jc w:val="both"/>
        <w:rPr>
          <w:noProof/>
        </w:rPr>
      </w:pPr>
      <w:r>
        <w:rPr>
          <w:noProof/>
        </w:rPr>
        <w:t>в) указанията за използването и функционирането на базата данни, по-специално по отношение на мерките за сигурност на данните, кодирането и обработката на данните и свързването на базата данни с регистрите, посочени в член 17.</w:t>
      </w:r>
    </w:p>
    <w:p>
      <w:pPr>
        <w:pStyle w:val="Default"/>
        <w:spacing w:after="200" w:line="276" w:lineRule="auto"/>
        <w:contextualSpacing/>
        <w:jc w:val="both"/>
        <w:rPr>
          <w:noProof/>
          <w:color w:val="auto"/>
        </w:rPr>
      </w:pPr>
    </w:p>
    <w:p>
      <w:pPr>
        <w:pStyle w:val="Default"/>
        <w:spacing w:after="200" w:line="276" w:lineRule="auto"/>
        <w:ind w:left="360"/>
        <w:contextualSpacing/>
        <w:jc w:val="both"/>
        <w:rPr>
          <w:noProof/>
          <w:color w:val="auto"/>
        </w:rPr>
      </w:pPr>
      <w:r>
        <w:rPr>
          <w:iCs/>
          <w:noProof/>
          <w:color w:val="auto"/>
        </w:rPr>
        <w:t>С член 31 на Комисията се предоставя правомощието да приема делегирани актове за изменение на приложения II—VI към Директива (EС) 2016/1629.</w:t>
      </w:r>
    </w:p>
    <w:p>
      <w:pPr>
        <w:pStyle w:val="Default"/>
        <w:spacing w:after="200" w:line="276" w:lineRule="auto"/>
        <w:ind w:left="360"/>
        <w:contextualSpacing/>
        <w:jc w:val="both"/>
        <w:rPr>
          <w:noProof/>
        </w:rPr>
      </w:pPr>
      <w:r>
        <w:rPr>
          <w:noProof/>
        </w:rPr>
        <w:t>В съответствие с член 31, параграф 1 „Комисията приема делегирани актове [...] относно осъвременяването и адаптирането без излишно забавяне на приложение II към най-новата версия на стандарта ES-TRIN и за определяне на датата за неговото прилагане“.</w:t>
      </w:r>
    </w:p>
    <w:p>
      <w:pPr>
        <w:pStyle w:val="Default"/>
        <w:spacing w:after="200" w:line="276" w:lineRule="auto"/>
        <w:ind w:left="360"/>
        <w:contextualSpacing/>
        <w:jc w:val="both"/>
        <w:rPr>
          <w:noProof/>
        </w:rPr>
      </w:pPr>
      <w:r>
        <w:rPr>
          <w:noProof/>
        </w:rPr>
        <w:t>С член 31, параграф 3 „[н]а Комисията се предоставя правомощието да приема делегирани актове [...] относно адаптирането на приложения III и IV към научно-техническия прогрес“.</w:t>
      </w:r>
    </w:p>
    <w:p>
      <w:pPr>
        <w:pStyle w:val="Default"/>
        <w:spacing w:after="200" w:line="276" w:lineRule="auto"/>
        <w:ind w:left="360"/>
        <w:contextualSpacing/>
        <w:jc w:val="both"/>
        <w:rPr>
          <w:noProof/>
        </w:rPr>
      </w:pPr>
      <w:r>
        <w:rPr>
          <w:noProof/>
        </w:rPr>
        <w:t>С член 31, параграф 4 „[н]а Комисията се предоставя правомощието да приема делегирани актове [...] относно адаптирането на приложение V с цел осъвременяване и опростяване на административните разпоредби“.</w:t>
      </w:r>
    </w:p>
    <w:p>
      <w:pPr>
        <w:pStyle w:val="Default"/>
        <w:spacing w:after="200" w:line="276" w:lineRule="auto"/>
        <w:ind w:left="360"/>
        <w:contextualSpacing/>
        <w:jc w:val="both"/>
        <w:rPr>
          <w:noProof/>
        </w:rPr>
      </w:pPr>
      <w:r>
        <w:rPr>
          <w:noProof/>
        </w:rPr>
        <w:t>В съответствие с член 31, параграф 5 „[н]а Комисията се предоставя правомощието да приема делегирани актове [...] относно адаптирането на приложение VI, с цел да се изменят критериите за признаване на класификационните организации, за да се гарантира безопасността на корабоплаването“.</w:t>
      </w:r>
    </w:p>
    <w:p>
      <w:pPr>
        <w:pStyle w:val="Default"/>
        <w:spacing w:after="200" w:line="276" w:lineRule="auto"/>
        <w:ind w:left="360"/>
        <w:contextualSpacing/>
        <w:jc w:val="both"/>
        <w:rPr>
          <w:noProof/>
        </w:rPr>
      </w:pPr>
      <w:r>
        <w:rPr>
          <w:noProof/>
        </w:rPr>
        <w:t>В член 31, параграф 6 се посочва още, че „[н]а Комисията се предоставя правомощието да приема делегирани актове [...], с цел да се актуализират позоваванията в настоящата директива на някои разпоредби на приложения II и V, за да се вземат предвид измененията, направени в посочените приложения“.</w:t>
      </w:r>
    </w:p>
    <w:p>
      <w:pPr>
        <w:pStyle w:val="Default"/>
        <w:spacing w:after="200" w:line="276" w:lineRule="auto"/>
        <w:contextualSpacing/>
        <w:jc w:val="both"/>
        <w:rPr>
          <w:noProof/>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szCs w:val="24"/>
        </w:rPr>
        <w:t>ПРАВНО ОСНОВАНИЕ</w:t>
      </w:r>
    </w:p>
    <w:p>
      <w:pPr>
        <w:pStyle w:val="Default"/>
        <w:spacing w:after="200" w:line="276" w:lineRule="auto"/>
        <w:ind w:left="360"/>
        <w:contextualSpacing/>
        <w:jc w:val="both"/>
        <w:rPr>
          <w:noProof/>
          <w:color w:val="auto"/>
        </w:rPr>
      </w:pPr>
      <w:r>
        <w:rPr>
          <w:noProof/>
          <w:color w:val="auto"/>
        </w:rPr>
        <w:t xml:space="preserve">Настоящият доклад се изисква съгласно член 32, параграф 2 от Директива (ЕС) 2016/1629. Съгласно тази разпоредба правомощието да приема делегирани актове се предоставя на Комисията за срок от пет години, считано от 6 октомври 2016 г., като тя трябва да изготви доклад относно делегираните правомощия не по-късно от девет месеца преди изтичането на петгодишния срок. В същия член е посочено, че делегирането на правомощия се продължава мълчаливо за срокове със същата продължителност, освен ако Европейският парламент или Съветът се противопоставят на това продължаване не по-късно от три месеца преди изтичането на съответния срок. </w:t>
      </w:r>
    </w:p>
    <w:p>
      <w:pPr>
        <w:pStyle w:val="Default"/>
        <w:spacing w:after="200" w:line="276" w:lineRule="auto"/>
        <w:contextualSpacing/>
        <w:jc w:val="both"/>
        <w:rPr>
          <w:noProof/>
          <w:color w:val="auto"/>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szCs w:val="24"/>
        </w:rPr>
        <w:t>УПРАЖНЯВАНЕ НА ДЕЛЕГИРАНЕТО</w:t>
      </w:r>
    </w:p>
    <w:p>
      <w:pPr>
        <w:pStyle w:val="Default"/>
        <w:spacing w:after="200" w:line="276" w:lineRule="auto"/>
        <w:ind w:left="360"/>
        <w:contextualSpacing/>
        <w:jc w:val="both"/>
        <w:rPr>
          <w:noProof/>
        </w:rPr>
      </w:pPr>
      <w:r>
        <w:rPr>
          <w:noProof/>
        </w:rPr>
        <w:t>След влизането в сила на Директива (ЕС) 2016/1629, до датата на приемане на настоящия доклад, Комисията прие следните делегирани актове:</w:t>
      </w:r>
    </w:p>
    <w:p>
      <w:pPr>
        <w:pStyle w:val="Default"/>
        <w:numPr>
          <w:ilvl w:val="0"/>
          <w:numId w:val="3"/>
        </w:numPr>
        <w:contextualSpacing/>
        <w:jc w:val="both"/>
        <w:rPr>
          <w:noProof/>
        </w:rPr>
      </w:pPr>
      <w:r>
        <w:rPr>
          <w:noProof/>
        </w:rPr>
        <w:t>Делегирана директива (ЕС) 2018/970 на Комисията от 18 април 2018 г. за изменение на приложения II, III и V към Директива (ЕС) 2016/1629 — въз основа на член 31, параграфи 1, 3 и 4. С разпоредбите на този делегиран акт се изменя приложение II към най-новата версия на ES-TRIN 2017. В приложение III параграф 2 е актуализиран, за да се осигури съгласуваност с разпоредбите на стандарта ES-TRIN. Посоченият параграф 2 обхваща разпоредбите за „Якост“, както и за „Устойчивост“, по аналогия с член 3.02 от ES-TRIN.</w:t>
      </w:r>
    </w:p>
    <w:p>
      <w:pPr>
        <w:pStyle w:val="Default"/>
        <w:spacing w:after="200" w:line="276" w:lineRule="auto"/>
        <w:ind w:left="720"/>
        <w:contextualSpacing/>
        <w:jc w:val="both"/>
        <w:rPr>
          <w:noProof/>
        </w:rPr>
      </w:pPr>
      <w:r>
        <w:rPr>
          <w:noProof/>
        </w:rPr>
        <w:t>Стандарт ES-TRIN 2017/1 включва специални разпоредби по отношение на традиционните плавателни съдове. За да се запази съответствие между изискванията на Директива (ЕС) 2016/1629 и стандарта ES-TRIN, както и за да се опростят процедурните разпоредби, беше необходимо да се измени приложение V към директивата по отношение на подробните процедурни разпоредби. Делегираният акт беше публикуван на 10.7.2018 г. и влезе в сила на 30.7.2018 г. (с дата за транспониране и прилагане 7.10.2018 г.).</w:t>
      </w:r>
    </w:p>
    <w:p>
      <w:pPr>
        <w:pStyle w:val="Default"/>
        <w:numPr>
          <w:ilvl w:val="0"/>
          <w:numId w:val="3"/>
        </w:numPr>
        <w:spacing w:after="200" w:line="276" w:lineRule="auto"/>
        <w:contextualSpacing/>
        <w:jc w:val="both"/>
        <w:rPr>
          <w:noProof/>
        </w:rPr>
      </w:pPr>
      <w:r>
        <w:rPr>
          <w:noProof/>
        </w:rPr>
        <w:t xml:space="preserve">Делегиран регламент (ЕС) 2019/1668 на Комисията от 26 юни 2019 г. за изменение на Директива (ЕС) 2016/1629 (приложение II) — въз основа на член 31, параграфи 1, 3 и 4. С разпоредбите на този делегиран акт се изменя приложение II, за да се  адаптира към най-новата версия на ES-TRIN 2019. </w:t>
      </w:r>
    </w:p>
    <w:p>
      <w:pPr>
        <w:pStyle w:val="Default"/>
        <w:spacing w:after="200" w:line="276" w:lineRule="auto"/>
        <w:ind w:left="720"/>
        <w:contextualSpacing/>
        <w:jc w:val="both"/>
        <w:rPr>
          <w:noProof/>
        </w:rPr>
      </w:pPr>
      <w:r>
        <w:rPr>
          <w:noProof/>
        </w:rPr>
        <w:t>Делегираният акт беше публикуван на 7.10.2019 г. и влезе в сила на 27.10.2019 г. (с дата за прилагане 1.1.2020 г.).</w:t>
      </w:r>
    </w:p>
    <w:p>
      <w:pPr>
        <w:pStyle w:val="Default"/>
        <w:numPr>
          <w:ilvl w:val="0"/>
          <w:numId w:val="3"/>
        </w:numPr>
        <w:contextualSpacing/>
        <w:jc w:val="both"/>
        <w:rPr>
          <w:noProof/>
        </w:rPr>
      </w:pPr>
      <w:r>
        <w:rPr>
          <w:noProof/>
        </w:rPr>
        <w:t xml:space="preserve">Делегиран регламент (ЕС) 2020/474 на Комисията от 20 януари 2020 г. относно Европейската база данни за корабните корпуси — въз основа на член 19, параграф 7 от Директива (ЕС) 2016/1629. В делегирания акт се определят по-специално данните, които държавите членки трябва да въвеждат в базата от данни, видовете разрешения за достъп,  като се вземат предвид категориите получатели на данни и целите, за които тези данни се обработват, и указанията относно използването и функционирането на базата данни. В разпоредбите на делегирания акт се предвижда също така ограничен достъп до EHDB (в режим само за четене) за онези национални органи, които отговарят за управлението на трафика и инфраструктурата по вътрешните водни пътища, за поддържането или налагането на безопасността на корабоплаването и за събирането на статистически данни. </w:t>
      </w:r>
    </w:p>
    <w:p>
      <w:pPr>
        <w:pStyle w:val="Default"/>
        <w:spacing w:after="200" w:line="276" w:lineRule="auto"/>
        <w:contextualSpacing/>
        <w:jc w:val="both"/>
        <w:rPr>
          <w:noProof/>
          <w:color w:val="auto"/>
        </w:rPr>
      </w:pPr>
    </w:p>
    <w:p>
      <w:pPr>
        <w:pStyle w:val="Default"/>
        <w:spacing w:after="200" w:line="276" w:lineRule="auto"/>
        <w:ind w:left="360"/>
        <w:contextualSpacing/>
        <w:jc w:val="both"/>
        <w:rPr>
          <w:noProof/>
          <w:color w:val="auto"/>
        </w:rPr>
      </w:pPr>
      <w:r>
        <w:rPr>
          <w:noProof/>
          <w:color w:val="auto"/>
        </w:rPr>
        <w:t>Всички приети делегирани актове бяха предадени на Европейския парламент и на Съвета. Сроковете за представяне на възражения не бяха удължавани и по време на тези срокове не бяха представени възражения.</w:t>
      </w:r>
    </w:p>
    <w:p>
      <w:pPr>
        <w:pStyle w:val="Default"/>
        <w:spacing w:after="200" w:line="276" w:lineRule="auto"/>
        <w:contextualSpacing/>
        <w:jc w:val="both"/>
        <w:rPr>
          <w:noProof/>
        </w:rPr>
      </w:pPr>
    </w:p>
    <w:p>
      <w:pPr>
        <w:pStyle w:val="Default"/>
        <w:numPr>
          <w:ilvl w:val="0"/>
          <w:numId w:val="1"/>
        </w:numPr>
        <w:contextualSpacing/>
        <w:jc w:val="both"/>
        <w:rPr>
          <w:b/>
          <w:noProof/>
          <w:color w:val="auto"/>
        </w:rPr>
      </w:pPr>
      <w:r>
        <w:rPr>
          <w:b/>
          <w:noProof/>
          <w:color w:val="auto"/>
        </w:rPr>
        <w:t>УДЪЛЖАВАНЕ НА СРОКА НА ДЕЛЕГИРАНЕ НА ПРАВОМОЩИЯ</w:t>
      </w:r>
    </w:p>
    <w:p>
      <w:pPr>
        <w:pStyle w:val="Default"/>
        <w:contextualSpacing/>
        <w:jc w:val="both"/>
        <w:rPr>
          <w:noProof/>
        </w:rPr>
      </w:pPr>
    </w:p>
    <w:p>
      <w:pPr>
        <w:pStyle w:val="Default"/>
        <w:ind w:left="360"/>
        <w:contextualSpacing/>
        <w:jc w:val="both"/>
        <w:rPr>
          <w:noProof/>
        </w:rPr>
      </w:pPr>
      <w:r>
        <w:rPr>
          <w:noProof/>
        </w:rPr>
        <w:t>През последните 4 години Комисията упражни делегираните правомощия, предоставени ѝ по силата на Директива (ЕС) 2016/1629.</w:t>
      </w:r>
    </w:p>
    <w:p>
      <w:pPr>
        <w:pStyle w:val="Default"/>
        <w:spacing w:after="200" w:line="276" w:lineRule="auto"/>
        <w:ind w:left="360"/>
        <w:contextualSpacing/>
        <w:jc w:val="both"/>
        <w:rPr>
          <w:noProof/>
        </w:rPr>
      </w:pPr>
      <w:r>
        <w:rPr>
          <w:noProof/>
        </w:rPr>
        <w:t>Упражняването на делегираните правомощия позволи на Комисията да адаптира съответните разпоредби на Директива (ЕС) 2016/1629 към техническия прогрес и научното развитие, за да поддържа високото ниво на безопасност на корабоплаването по вътрешните водни пътища и да следи техническото развитие. Комисията счита, че делегирането на правомощия следва да бъде мълчаливо подновено.</w:t>
      </w:r>
    </w:p>
    <w:p>
      <w:pPr>
        <w:pStyle w:val="Default"/>
        <w:contextualSpacing/>
        <w:jc w:val="both"/>
        <w:rPr>
          <w:noProof/>
        </w:rPr>
      </w:pPr>
    </w:p>
    <w:p>
      <w:pPr>
        <w:pStyle w:val="Default"/>
        <w:numPr>
          <w:ilvl w:val="0"/>
          <w:numId w:val="1"/>
        </w:numPr>
        <w:contextualSpacing/>
        <w:jc w:val="both"/>
        <w:rPr>
          <w:b/>
          <w:noProof/>
          <w:color w:val="auto"/>
        </w:rPr>
      </w:pPr>
      <w:r>
        <w:rPr>
          <w:b/>
          <w:noProof/>
          <w:color w:val="auto"/>
        </w:rPr>
        <w:t>ЗАКЛЮЧЕНИЕ</w:t>
      </w:r>
    </w:p>
    <w:p>
      <w:pPr>
        <w:pStyle w:val="Default"/>
        <w:ind w:left="720"/>
        <w:contextualSpacing/>
        <w:jc w:val="both"/>
        <w:rPr>
          <w:b/>
          <w:noProof/>
          <w:color w:val="auto"/>
        </w:rPr>
      </w:pPr>
    </w:p>
    <w:p>
      <w:pPr>
        <w:pStyle w:val="Default"/>
        <w:spacing w:after="200" w:line="276" w:lineRule="auto"/>
        <w:ind w:left="360"/>
        <w:contextualSpacing/>
        <w:jc w:val="both"/>
        <w:rPr>
          <w:noProof/>
        </w:rPr>
      </w:pPr>
      <w:r>
        <w:rPr>
          <w:noProof/>
        </w:rPr>
        <w:t>С настоящия доклад Комисията изпълнява задължението си за докладване съгласно член 32, параграф 2 от Директива (ЕС) 2016/1629. Европейският парламент и Съветът се приканват да вземат под внимание този доклад.</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98031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041EF"/>
    <w:multiLevelType w:val="hybridMultilevel"/>
    <w:tmpl w:val="45C65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
    <w:nsid w:val="78216557"/>
    <w:multiLevelType w:val="hybridMultilevel"/>
    <w:tmpl w:val="B44C79B0"/>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F5F3740"/>
    <w:multiLevelType w:val="hybridMultilevel"/>
    <w:tmpl w:val="BB2E44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AB7B577-B03F-43E6-AA4E-BA8B9BC5833F"/>
    <w:docVar w:name="LW_COVERPAGE_TYPE" w:val="1"/>
    <w:docVar w:name="LW_CROSSREFERENCE" w:val="&lt;UNUSED&gt;"/>
    <w:docVar w:name="LW_DocType" w:val="NORMAL"/>
    <w:docVar w:name="LW_EMISSION" w:val="1.3.2021"/>
    <w:docVar w:name="LW_EMISSION_ISODATE" w:val="2021-03-01"/>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91?\u1087?\u1088?\u1072?\u1078?\u1085?\u1103?\u1074?\u1072?\u1085?\u1077?\u1090?\u1086? \u1085?\u1072? \u1087?\u1088?\u1072?\u1074?\u1086?\u1084?\u1086?\u1097?\u1080?\u1103?\u1090?\u1072?, \u1076?\u1077?\u1083?\u1077?\u1075?\u1080?\u1088?\u1072?\u1085?\u1080? \u1085?\u1072? \u1050?\u1086?\u1084?\u1080?\u1089?\u1080?\u1103?\u1090?\u1072? \u1089?\u1098?\u1075?\u1083?\u1072?\u1089?\u1085?\u1086? \u1044?\u1080?\u1088?\u1077?\u1082?\u1090?\u1080?\u1074?\u1072? (E\u1057?) 2016/1629 \u1085?\u1072? \u1045?\u1074?\u1088?\u1086?\u1087?\u1077?\u1081?\u1089?\u1082?\u1080?\u1103? \u1087?\u1072?\u1088?\u1083?\u1072?\u1084?\u1077?\u1085?\u1090? \u1080? \u1085?\u1072? \u1057?\u1098?\u1074?\u1077?\u1090?\u1072? \u1086?\u1090? 14 \u1089?\u1077?\u1087?\u1090?\u1077?\u1084?\u1074?\u1088?\u1080? 2016 \u1075?. \u1079?\u1072? \u1091?\u1089?\u1090?\u1072?\u1085?\u1086?\u1074?\u1103?\u1074?\u1072?\u1085?\u1077? \u1085?\u1072? \u1090?\u1077?\u1093?\u1085?\u1080?\u1095?\u1077?\u1089?\u1082?\u1080?\u1090?\u1077? \u1080?\u1079?\u1080?\u1089?\u1082?\u1074?\u1072?\u1085?\u1080?\u1103? \u1079?\u1072? \u1087?\u1083?\u1072?\u1074?\u1072?\u1090?\u1077?\u1083?\u1085?\u1080?\u1090?\u1077? \u1089?\u1098?\u1076?\u1086?\u1074?\u1077? \u1087?\u1086? \u1074?\u1098?\u1090?\u1088?\u1077?\u1096?\u1085?\u1080?\u1090?\u1077? \u1074?\u1086?\u1076?\u1085?\u1080? \u1087?\u1098?\u1090?\u1080?\u1097?\u1072?, \u1079?\u1072? \u1080?\u1079?\u1084?\u1077?\u1085?\u1077?\u1085?\u1080?\u1077? \u1085?\u1072? \u1044?\u1080?\u1088?\u1077?\u1082?\u1090?\u1080?\u1074?\u1072? 2009/100/\u1045?\u1054? \u1080? \u1079?\u1072? \u1086?\u1090?\u1084?\u1103?\u1085?\u1072? \u1085?\u1072? \u1044?\u1080?\u1088?\u1077?\u1082?\u1090?\u1080?\u1074?\u1072? 2006/87/\u1045?\u1054?&lt;/FMT&gt;_x000d__x000d__x000d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NormalWeb">
    <w:name w:val="Normal (Web)"/>
    <w:basedOn w:val="Normal"/>
    <w:uiPriority w:val="99"/>
    <w:semiHidden/>
    <w:unhideWhenUsed/>
    <w:rPr>
      <w:rFonts w:ascii="Times New Roman" w:hAnsi="Times New Roman" w:cs="Times New Roman"/>
      <w:sz w:val="24"/>
      <w:szCs w:val="24"/>
    </w:rPr>
  </w:style>
  <w:style w:type="paragraph" w:customStyle="1" w:styleId="Bullet0">
    <w:name w:val="Bullet 0"/>
    <w:basedOn w:val="Normal"/>
    <w:pPr>
      <w:numPr>
        <w:numId w:val="4"/>
      </w:numPr>
      <w:spacing w:before="120" w:after="120" w:line="240" w:lineRule="auto"/>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NormalWeb">
    <w:name w:val="Normal (Web)"/>
    <w:basedOn w:val="Normal"/>
    <w:uiPriority w:val="99"/>
    <w:semiHidden/>
    <w:unhideWhenUsed/>
    <w:rPr>
      <w:rFonts w:ascii="Times New Roman" w:hAnsi="Times New Roman" w:cs="Times New Roman"/>
      <w:sz w:val="24"/>
      <w:szCs w:val="24"/>
    </w:rPr>
  </w:style>
  <w:style w:type="paragraph" w:customStyle="1" w:styleId="Bullet0">
    <w:name w:val="Bullet 0"/>
    <w:basedOn w:val="Normal"/>
    <w:pPr>
      <w:numPr>
        <w:numId w:val="4"/>
      </w:numPr>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7058">
      <w:bodyDiv w:val="1"/>
      <w:marLeft w:val="0"/>
      <w:marRight w:val="0"/>
      <w:marTop w:val="0"/>
      <w:marBottom w:val="0"/>
      <w:divBdr>
        <w:top w:val="none" w:sz="0" w:space="0" w:color="auto"/>
        <w:left w:val="none" w:sz="0" w:space="0" w:color="auto"/>
        <w:bottom w:val="none" w:sz="0" w:space="0" w:color="auto"/>
        <w:right w:val="none" w:sz="0" w:space="0" w:color="auto"/>
      </w:divBdr>
    </w:div>
    <w:div w:id="328606369">
      <w:bodyDiv w:val="1"/>
      <w:marLeft w:val="0"/>
      <w:marRight w:val="0"/>
      <w:marTop w:val="0"/>
      <w:marBottom w:val="0"/>
      <w:divBdr>
        <w:top w:val="none" w:sz="0" w:space="0" w:color="auto"/>
        <w:left w:val="none" w:sz="0" w:space="0" w:color="auto"/>
        <w:bottom w:val="none" w:sz="0" w:space="0" w:color="auto"/>
        <w:right w:val="none" w:sz="0" w:space="0" w:color="auto"/>
      </w:divBdr>
    </w:div>
    <w:div w:id="473301803">
      <w:bodyDiv w:val="1"/>
      <w:marLeft w:val="0"/>
      <w:marRight w:val="0"/>
      <w:marTop w:val="0"/>
      <w:marBottom w:val="0"/>
      <w:divBdr>
        <w:top w:val="none" w:sz="0" w:space="0" w:color="auto"/>
        <w:left w:val="none" w:sz="0" w:space="0" w:color="auto"/>
        <w:bottom w:val="none" w:sz="0" w:space="0" w:color="auto"/>
        <w:right w:val="none" w:sz="0" w:space="0" w:color="auto"/>
      </w:divBdr>
      <w:divsChild>
        <w:div w:id="922297932">
          <w:marLeft w:val="600"/>
          <w:marRight w:val="0"/>
          <w:marTop w:val="0"/>
          <w:marBottom w:val="0"/>
          <w:divBdr>
            <w:top w:val="none" w:sz="0" w:space="0" w:color="auto"/>
            <w:left w:val="none" w:sz="0" w:space="0" w:color="auto"/>
            <w:bottom w:val="none" w:sz="0" w:space="0" w:color="auto"/>
            <w:right w:val="none" w:sz="0" w:space="0" w:color="auto"/>
          </w:divBdr>
        </w:div>
        <w:div w:id="938370390">
          <w:marLeft w:val="600"/>
          <w:marRight w:val="0"/>
          <w:marTop w:val="0"/>
          <w:marBottom w:val="0"/>
          <w:divBdr>
            <w:top w:val="none" w:sz="0" w:space="0" w:color="auto"/>
            <w:left w:val="none" w:sz="0" w:space="0" w:color="auto"/>
            <w:bottom w:val="none" w:sz="0" w:space="0" w:color="auto"/>
            <w:right w:val="none" w:sz="0" w:space="0" w:color="auto"/>
          </w:divBdr>
        </w:div>
        <w:div w:id="1075468642">
          <w:marLeft w:val="600"/>
          <w:marRight w:val="0"/>
          <w:marTop w:val="0"/>
          <w:marBottom w:val="0"/>
          <w:divBdr>
            <w:top w:val="none" w:sz="0" w:space="0" w:color="auto"/>
            <w:left w:val="none" w:sz="0" w:space="0" w:color="auto"/>
            <w:bottom w:val="none" w:sz="0" w:space="0" w:color="auto"/>
            <w:right w:val="none" w:sz="0" w:space="0" w:color="auto"/>
          </w:divBdr>
        </w:div>
      </w:divsChild>
    </w:div>
    <w:div w:id="576520662">
      <w:bodyDiv w:val="1"/>
      <w:marLeft w:val="0"/>
      <w:marRight w:val="0"/>
      <w:marTop w:val="0"/>
      <w:marBottom w:val="0"/>
      <w:divBdr>
        <w:top w:val="none" w:sz="0" w:space="0" w:color="auto"/>
        <w:left w:val="none" w:sz="0" w:space="0" w:color="auto"/>
        <w:bottom w:val="none" w:sz="0" w:space="0" w:color="auto"/>
        <w:right w:val="none" w:sz="0" w:space="0" w:color="auto"/>
      </w:divBdr>
    </w:div>
    <w:div w:id="639768332">
      <w:bodyDiv w:val="1"/>
      <w:marLeft w:val="0"/>
      <w:marRight w:val="0"/>
      <w:marTop w:val="0"/>
      <w:marBottom w:val="0"/>
      <w:divBdr>
        <w:top w:val="none" w:sz="0" w:space="0" w:color="auto"/>
        <w:left w:val="none" w:sz="0" w:space="0" w:color="auto"/>
        <w:bottom w:val="none" w:sz="0" w:space="0" w:color="auto"/>
        <w:right w:val="none" w:sz="0" w:space="0" w:color="auto"/>
      </w:divBdr>
    </w:div>
    <w:div w:id="1057700326">
      <w:bodyDiv w:val="1"/>
      <w:marLeft w:val="0"/>
      <w:marRight w:val="0"/>
      <w:marTop w:val="0"/>
      <w:marBottom w:val="0"/>
      <w:divBdr>
        <w:top w:val="none" w:sz="0" w:space="0" w:color="auto"/>
        <w:left w:val="none" w:sz="0" w:space="0" w:color="auto"/>
        <w:bottom w:val="none" w:sz="0" w:space="0" w:color="auto"/>
        <w:right w:val="none" w:sz="0" w:space="0" w:color="auto"/>
      </w:divBdr>
    </w:div>
    <w:div w:id="1095707749">
      <w:bodyDiv w:val="1"/>
      <w:marLeft w:val="0"/>
      <w:marRight w:val="0"/>
      <w:marTop w:val="0"/>
      <w:marBottom w:val="0"/>
      <w:divBdr>
        <w:top w:val="none" w:sz="0" w:space="0" w:color="auto"/>
        <w:left w:val="none" w:sz="0" w:space="0" w:color="auto"/>
        <w:bottom w:val="none" w:sz="0" w:space="0" w:color="auto"/>
        <w:right w:val="none" w:sz="0" w:space="0" w:color="auto"/>
      </w:divBdr>
    </w:div>
    <w:div w:id="1112552352">
      <w:bodyDiv w:val="1"/>
      <w:marLeft w:val="0"/>
      <w:marRight w:val="0"/>
      <w:marTop w:val="0"/>
      <w:marBottom w:val="0"/>
      <w:divBdr>
        <w:top w:val="none" w:sz="0" w:space="0" w:color="auto"/>
        <w:left w:val="none" w:sz="0" w:space="0" w:color="auto"/>
        <w:bottom w:val="none" w:sz="0" w:space="0" w:color="auto"/>
        <w:right w:val="none" w:sz="0" w:space="0" w:color="auto"/>
      </w:divBdr>
    </w:div>
    <w:div w:id="1134132177">
      <w:bodyDiv w:val="1"/>
      <w:marLeft w:val="0"/>
      <w:marRight w:val="0"/>
      <w:marTop w:val="0"/>
      <w:marBottom w:val="0"/>
      <w:divBdr>
        <w:top w:val="none" w:sz="0" w:space="0" w:color="auto"/>
        <w:left w:val="none" w:sz="0" w:space="0" w:color="auto"/>
        <w:bottom w:val="none" w:sz="0" w:space="0" w:color="auto"/>
        <w:right w:val="none" w:sz="0" w:space="0" w:color="auto"/>
      </w:divBdr>
      <w:divsChild>
        <w:div w:id="729231795">
          <w:marLeft w:val="0"/>
          <w:marRight w:val="0"/>
          <w:marTop w:val="0"/>
          <w:marBottom w:val="0"/>
          <w:divBdr>
            <w:top w:val="none" w:sz="0" w:space="0" w:color="auto"/>
            <w:left w:val="none" w:sz="0" w:space="0" w:color="auto"/>
            <w:bottom w:val="none" w:sz="0" w:space="0" w:color="auto"/>
            <w:right w:val="none" w:sz="0" w:space="0" w:color="auto"/>
          </w:divBdr>
          <w:divsChild>
            <w:div w:id="377315876">
              <w:marLeft w:val="0"/>
              <w:marRight w:val="0"/>
              <w:marTop w:val="0"/>
              <w:marBottom w:val="0"/>
              <w:divBdr>
                <w:top w:val="none" w:sz="0" w:space="0" w:color="auto"/>
                <w:left w:val="none" w:sz="0" w:space="0" w:color="auto"/>
                <w:bottom w:val="none" w:sz="0" w:space="0" w:color="auto"/>
                <w:right w:val="none" w:sz="0" w:space="0" w:color="auto"/>
              </w:divBdr>
              <w:divsChild>
                <w:div w:id="1226337271">
                  <w:marLeft w:val="0"/>
                  <w:marRight w:val="0"/>
                  <w:marTop w:val="0"/>
                  <w:marBottom w:val="0"/>
                  <w:divBdr>
                    <w:top w:val="none" w:sz="0" w:space="0" w:color="auto"/>
                    <w:left w:val="none" w:sz="0" w:space="0" w:color="auto"/>
                    <w:bottom w:val="none" w:sz="0" w:space="0" w:color="auto"/>
                    <w:right w:val="none" w:sz="0" w:space="0" w:color="auto"/>
                  </w:divBdr>
                  <w:divsChild>
                    <w:div w:id="1502157547">
                      <w:marLeft w:val="1"/>
                      <w:marRight w:val="1"/>
                      <w:marTop w:val="0"/>
                      <w:marBottom w:val="0"/>
                      <w:divBdr>
                        <w:top w:val="none" w:sz="0" w:space="0" w:color="auto"/>
                        <w:left w:val="none" w:sz="0" w:space="0" w:color="auto"/>
                        <w:bottom w:val="none" w:sz="0" w:space="0" w:color="auto"/>
                        <w:right w:val="none" w:sz="0" w:space="0" w:color="auto"/>
                      </w:divBdr>
                      <w:divsChild>
                        <w:div w:id="786507227">
                          <w:marLeft w:val="0"/>
                          <w:marRight w:val="0"/>
                          <w:marTop w:val="0"/>
                          <w:marBottom w:val="0"/>
                          <w:divBdr>
                            <w:top w:val="none" w:sz="0" w:space="0" w:color="auto"/>
                            <w:left w:val="none" w:sz="0" w:space="0" w:color="auto"/>
                            <w:bottom w:val="none" w:sz="0" w:space="0" w:color="auto"/>
                            <w:right w:val="none" w:sz="0" w:space="0" w:color="auto"/>
                          </w:divBdr>
                          <w:divsChild>
                            <w:div w:id="755322526">
                              <w:marLeft w:val="0"/>
                              <w:marRight w:val="0"/>
                              <w:marTop w:val="0"/>
                              <w:marBottom w:val="360"/>
                              <w:divBdr>
                                <w:top w:val="none" w:sz="0" w:space="0" w:color="auto"/>
                                <w:left w:val="none" w:sz="0" w:space="0" w:color="auto"/>
                                <w:bottom w:val="none" w:sz="0" w:space="0" w:color="auto"/>
                                <w:right w:val="none" w:sz="0" w:space="0" w:color="auto"/>
                              </w:divBdr>
                              <w:divsChild>
                                <w:div w:id="255752448">
                                  <w:marLeft w:val="0"/>
                                  <w:marRight w:val="0"/>
                                  <w:marTop w:val="0"/>
                                  <w:marBottom w:val="0"/>
                                  <w:divBdr>
                                    <w:top w:val="none" w:sz="0" w:space="0" w:color="auto"/>
                                    <w:left w:val="none" w:sz="0" w:space="0" w:color="auto"/>
                                    <w:bottom w:val="none" w:sz="0" w:space="0" w:color="auto"/>
                                    <w:right w:val="none" w:sz="0" w:space="0" w:color="auto"/>
                                  </w:divBdr>
                                  <w:divsChild>
                                    <w:div w:id="1997759792">
                                      <w:marLeft w:val="0"/>
                                      <w:marRight w:val="0"/>
                                      <w:marTop w:val="0"/>
                                      <w:marBottom w:val="0"/>
                                      <w:divBdr>
                                        <w:top w:val="none" w:sz="0" w:space="0" w:color="auto"/>
                                        <w:left w:val="none" w:sz="0" w:space="0" w:color="auto"/>
                                        <w:bottom w:val="none" w:sz="0" w:space="0" w:color="auto"/>
                                        <w:right w:val="none" w:sz="0" w:space="0" w:color="auto"/>
                                      </w:divBdr>
                                      <w:divsChild>
                                        <w:div w:id="419564448">
                                          <w:marLeft w:val="0"/>
                                          <w:marRight w:val="0"/>
                                          <w:marTop w:val="0"/>
                                          <w:marBottom w:val="0"/>
                                          <w:divBdr>
                                            <w:top w:val="none" w:sz="0" w:space="0" w:color="auto"/>
                                            <w:left w:val="none" w:sz="0" w:space="0" w:color="auto"/>
                                            <w:bottom w:val="none" w:sz="0" w:space="0" w:color="auto"/>
                                            <w:right w:val="none" w:sz="0" w:space="0" w:color="auto"/>
                                          </w:divBdr>
                                        </w:div>
                                        <w:div w:id="12720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927278">
      <w:bodyDiv w:val="1"/>
      <w:marLeft w:val="0"/>
      <w:marRight w:val="0"/>
      <w:marTop w:val="0"/>
      <w:marBottom w:val="0"/>
      <w:divBdr>
        <w:top w:val="none" w:sz="0" w:space="0" w:color="auto"/>
        <w:left w:val="none" w:sz="0" w:space="0" w:color="auto"/>
        <w:bottom w:val="none" w:sz="0" w:space="0" w:color="auto"/>
        <w:right w:val="none" w:sz="0" w:space="0" w:color="auto"/>
      </w:divBdr>
    </w:div>
    <w:div w:id="1590695308">
      <w:bodyDiv w:val="1"/>
      <w:marLeft w:val="0"/>
      <w:marRight w:val="0"/>
      <w:marTop w:val="0"/>
      <w:marBottom w:val="0"/>
      <w:divBdr>
        <w:top w:val="none" w:sz="0" w:space="0" w:color="auto"/>
        <w:left w:val="none" w:sz="0" w:space="0" w:color="auto"/>
        <w:bottom w:val="none" w:sz="0" w:space="0" w:color="auto"/>
        <w:right w:val="none" w:sz="0" w:space="0" w:color="auto"/>
      </w:divBdr>
      <w:divsChild>
        <w:div w:id="1347558259">
          <w:marLeft w:val="600"/>
          <w:marRight w:val="0"/>
          <w:marTop w:val="0"/>
          <w:marBottom w:val="0"/>
          <w:divBdr>
            <w:top w:val="none" w:sz="0" w:space="0" w:color="auto"/>
            <w:left w:val="none" w:sz="0" w:space="0" w:color="auto"/>
            <w:bottom w:val="none" w:sz="0" w:space="0" w:color="auto"/>
            <w:right w:val="none" w:sz="0" w:space="0" w:color="auto"/>
          </w:divBdr>
        </w:div>
        <w:div w:id="705377617">
          <w:marLeft w:val="600"/>
          <w:marRight w:val="0"/>
          <w:marTop w:val="0"/>
          <w:marBottom w:val="0"/>
          <w:divBdr>
            <w:top w:val="none" w:sz="0" w:space="0" w:color="auto"/>
            <w:left w:val="none" w:sz="0" w:space="0" w:color="auto"/>
            <w:bottom w:val="none" w:sz="0" w:space="0" w:color="auto"/>
            <w:right w:val="none" w:sz="0" w:space="0" w:color="auto"/>
          </w:divBdr>
        </w:div>
        <w:div w:id="1979187923">
          <w:marLeft w:val="600"/>
          <w:marRight w:val="0"/>
          <w:marTop w:val="0"/>
          <w:marBottom w:val="0"/>
          <w:divBdr>
            <w:top w:val="none" w:sz="0" w:space="0" w:color="auto"/>
            <w:left w:val="none" w:sz="0" w:space="0" w:color="auto"/>
            <w:bottom w:val="none" w:sz="0" w:space="0" w:color="auto"/>
            <w:right w:val="none" w:sz="0" w:space="0" w:color="auto"/>
          </w:divBdr>
        </w:div>
      </w:divsChild>
    </w:div>
    <w:div w:id="1610696810">
      <w:bodyDiv w:val="1"/>
      <w:marLeft w:val="0"/>
      <w:marRight w:val="0"/>
      <w:marTop w:val="0"/>
      <w:marBottom w:val="0"/>
      <w:divBdr>
        <w:top w:val="none" w:sz="0" w:space="0" w:color="auto"/>
        <w:left w:val="none" w:sz="0" w:space="0" w:color="auto"/>
        <w:bottom w:val="none" w:sz="0" w:space="0" w:color="auto"/>
        <w:right w:val="none" w:sz="0" w:space="0" w:color="auto"/>
      </w:divBdr>
    </w:div>
    <w:div w:id="1887334119">
      <w:bodyDiv w:val="1"/>
      <w:marLeft w:val="0"/>
      <w:marRight w:val="0"/>
      <w:marTop w:val="0"/>
      <w:marBottom w:val="0"/>
      <w:divBdr>
        <w:top w:val="none" w:sz="0" w:space="0" w:color="auto"/>
        <w:left w:val="none" w:sz="0" w:space="0" w:color="auto"/>
        <w:bottom w:val="none" w:sz="0" w:space="0" w:color="auto"/>
        <w:right w:val="none" w:sz="0" w:space="0" w:color="auto"/>
      </w:divBdr>
    </w:div>
    <w:div w:id="211524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54406D2-1758-4002-968C-41389DFD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1305</Words>
  <Characters>7545</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cp:lastPrinted>2018-10-24T07:05:00Z</cp:lastPrinted>
  <dcterms:created xsi:type="dcterms:W3CDTF">2021-02-04T16:41:00Z</dcterms:created>
  <dcterms:modified xsi:type="dcterms:W3CDTF">2021-02-22T10:20:00Z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