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E494D15E-DFF8-420A-803C-472F63915259" style="width:450.45pt;height:436.1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120" w:line="240" w:lineRule="auto"/>
        <w:jc w:val="both"/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1" w:name="_GoBack"/>
      <w:bookmarkEnd w:id="1"/>
      <w:r>
        <w:rPr>
          <w:rFonts w:ascii="Times New Roman" w:hAnsi="Times New Roman"/>
          <w:b/>
          <w:bCs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lastRenderedPageBreak/>
        <w:t xml:space="preserve">Въздействието на изменението на климата се усеща тук и сега. </w:t>
      </w:r>
      <w:r>
        <w:rPr>
          <w:rFonts w:ascii="Times New Roman" w:hAnsi="Times New Roman"/>
          <w:bCs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Изменението на климата вече оказва повсеместно въздействие върху хората, планетата и просперитета</w:t>
      </w:r>
      <w:r>
        <w:rPr>
          <w:rFonts w:ascii="Times New Roman" w:hAnsi="Times New Roman"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. П</w:t>
      </w:r>
      <w:r>
        <w:rPr>
          <w:rFonts w:ascii="Times New Roman" w:hAnsi="Times New Roman"/>
          <w:noProof/>
          <w:color w:val="000000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рез последните години температурите на много пъти надминаха дългогодишните рекорди. Последните пет години бяха най-горещите в историята: имаше горещини, суши и горски пожари в цяла Европа. </w:t>
      </w:r>
      <w:r>
        <w:rPr>
          <w:rFonts w:ascii="Times New Roman" w:hAnsi="Times New Roman"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Поредица от рекордни горещини превърнаха месец юли 2019 г. в най-горещия месец, документиран някога, а месец юли 2020 г. беше втори в тази класация. </w:t>
      </w:r>
    </w:p>
    <w:p>
      <w:pPr>
        <w:spacing w:after="120" w:line="240" w:lineRule="auto"/>
        <w:jc w:val="both"/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Според последните прогнози се предвижда глобалното затопляне да се увеличи до 4°C при настоящите политики за климата</w:t>
      </w:r>
      <w:r>
        <w:rPr>
          <w:rFonts w:ascii="Times New Roman" w:hAnsi="Times New Roman"/>
          <w:noProof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и до около 3°C, ако всички държави изпълнят целите за национално определения принос (НОП), представени до края на 2020 г. съгласно Парижкото споразумение. В световен мащаб няма изгледи чрез емисиите на парникови газове да бъдат постигнати целите по отношение на температурата, определени в Споразумението. Дори преустановяването на всички емисии на парникови газове не би предотвратило последиците от изменението на климата, които вече са налице и които вероятно ще продължат десетилетия. Ускоряващият се темп на въздействие на изменението на климата е един от факторите, довели до необходимостта от новата стратегия за адаптиране на ЕС.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noProof/>
          <w:color w:val="000000"/>
          <w:sz w:val="24"/>
          <w:szCs w:val="20"/>
        </w:rPr>
        <w:t>Европейската комисия обяви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0"/>
        </w:rPr>
        <w:t>новата стратегия за адаптирането за основен приоритет в рамките на Европейския зелен пакт</w:t>
      </w:r>
      <w:r>
        <w:rPr>
          <w:rFonts w:ascii="Times New Roman" w:hAnsi="Times New Roman"/>
          <w:noProof/>
          <w:color w:val="000000"/>
          <w:sz w:val="24"/>
          <w:szCs w:val="20"/>
        </w:rPr>
        <w:t>, като призна адаптирането за ключов компонент на глобалния отговор на изменението на климата в дългосрочен план. Това е ясен призив за действие, тъй като Европа не е подготвена за нарастващата интензивност и честота на въздействието на изменението на климата. С тази стратегия адаптирането се включва категорично в предложението за европейски законодателен акт за климата с цел създаване на рамка за постигане на неутралност по отношение на климата в ЕС до 2050 г.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0"/>
        </w:rPr>
        <w:t>и в управлението на енергийния съюз и действията в областта на климата. Въпреки че в неотдавнашната оценка на Стратегията на ЕС за адаптация от 2013 г. бе доказано, че е постигнат стабилен напредък във всички аспекти, в нея бяха идентифицирани нови и търпящи развитие проблемни фактори, които пораждат значителна заплаха за начина ни на живот и оказват сериозно въздействие върху здравето и благосъстоянието на хората, както и върху поминъка и активите. Събитията в международен план са доказателство за спешната необходимост от засилване на действията за адаптиране, както е отразено в Парижкото споразумение, целите за устойчиво развитие до 2030 г. и Рамковата програма от Сендай за намаляване на риска от бедствия.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b/>
          <w:bCs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0"/>
        </w:rPr>
        <w:t>Целта на тази нова стратегия е да се създаде рамка за засилване на действията, като се търси решение на четирите идентифицирани ключови проблема: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Cs/>
          <w:noProof/>
          <w:color w:val="000000"/>
          <w:sz w:val="24"/>
          <w:szCs w:val="20"/>
        </w:rPr>
        <w:t>1) налице са пропуски в данните и методологиите, които подкрепят вземането на решения</w:t>
      </w:r>
      <w:r>
        <w:rPr>
          <w:rFonts w:ascii="Times New Roman" w:hAnsi="Times New Roman"/>
          <w:noProof/>
          <w:color w:val="000000"/>
          <w:sz w:val="24"/>
          <w:szCs w:val="20"/>
        </w:rPr>
        <w:t>, поради недостатъчни знания и осведоменост относно адаптирането към изменението на климата, риска, уязвимостта и устойчивостта;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Cs/>
          <w:noProof/>
          <w:color w:val="000000"/>
          <w:sz w:val="24"/>
          <w:szCs w:val="20"/>
        </w:rPr>
        <w:t>2) слабости в планирането, наблюдението, докладването и оценката на адаптирането към изменението на климата</w:t>
      </w:r>
      <w:r>
        <w:rPr>
          <w:rFonts w:ascii="Times New Roman" w:hAnsi="Times New Roman"/>
          <w:noProof/>
          <w:color w:val="000000"/>
          <w:sz w:val="24"/>
          <w:szCs w:val="20"/>
        </w:rPr>
        <w:t>, включително недостатъчния приоритет и ангажимент по отношение на адаптирането в някои региони, които доведоха до бавния като цяло темп на приемане и прилагане на местните стратегии за адаптиране;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Cs/>
          <w:noProof/>
          <w:color w:val="000000"/>
          <w:sz w:val="24"/>
          <w:szCs w:val="20"/>
        </w:rPr>
        <w:t>3)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бавните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действия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поради неадекватни инвестиции от публичния и частния сектор и липсата на осведоменост или прилагане на икономически ефективни решения, всички от които възпрепятстват действията; и на последно място,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Cs/>
          <w:noProof/>
          <w:color w:val="000000"/>
          <w:sz w:val="24"/>
          <w:szCs w:val="20"/>
        </w:rPr>
        <w:t>4)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въздействието върху климата,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генерирано извън ЕС, което не е взето предвид или не е разгледано в Стратегията за адаптация от 2013 г.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, както и развитието на събитията в международната политика и разрастващото се разпространение на последиците. 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0"/>
        </w:rPr>
        <w:t>С цел засилване на</w:t>
      </w:r>
      <w:r>
        <w:rPr>
          <w:rFonts w:ascii="Times New Roman" w:hAnsi="Times New Roman"/>
          <w:b/>
          <w:noProof/>
          <w:color w:val="000000"/>
          <w:sz w:val="24"/>
          <w:szCs w:val="20"/>
        </w:rPr>
        <w:t xml:space="preserve"> действията за повишаване на устойчивостта спрямо изменението на климата и адаптиране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0"/>
        </w:rPr>
        <w:t>към неизбежното въздействие на изменението на климата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в новата стратегия ще се преследват следните цели: 1) подобряване на знанията за въздействието на изменението на климата  и решенията, свързани с климата; 2) по-активно планиране и оценка на риска, свързан с климата; 3) ускоряване на действията за адаптиране и 4) изграждане на устойчивост по отношение на климата в световен мащаб. Едва след като постигне напредък по всичките четири цели, ЕС може да се доближи до основната си цел — устойчиво по отношение на климата общество. 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noProof/>
          <w:color w:val="000000"/>
          <w:sz w:val="24"/>
          <w:szCs w:val="20"/>
        </w:rPr>
        <w:t xml:space="preserve">Бяха оценени два варианта на политиката (съставени от представителен подбор на мерките с най-силно въздействие, предназначени за новата стратегия) по отношение на потенциалното им въздействие и постигането на тези цели </w:t>
      </w:r>
      <w:r>
        <w:rPr>
          <w:rFonts w:ascii="Times New Roman" w:hAnsi="Times New Roman"/>
          <w:b/>
          <w:noProof/>
          <w:color w:val="000000"/>
          <w:sz w:val="24"/>
          <w:szCs w:val="20"/>
        </w:rPr>
        <w:t>в сравнение с базовия сценарий  за продължаване на действията съгласно Стратегията от 2013 г.</w:t>
      </w:r>
      <w:r>
        <w:rPr>
          <w:rFonts w:ascii="Times New Roman" w:hAnsi="Times New Roman"/>
          <w:noProof/>
          <w:color w:val="000000"/>
          <w:sz w:val="24"/>
          <w:szCs w:val="20"/>
        </w:rPr>
        <w:t>:</w:t>
      </w:r>
    </w:p>
    <w:p>
      <w:pPr>
        <w:numPr>
          <w:ilvl w:val="0"/>
          <w:numId w:val="1"/>
        </w:numPr>
        <w:spacing w:after="0" w:line="240" w:lineRule="auto"/>
        <w:ind w:left="426" w:hanging="5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0"/>
        </w:rPr>
        <w:t xml:space="preserve">Във вариант 1 (повече амбиция)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се предлагат амбициозни промени както във формата, така и в естеството на осемте действия в Стратегията от 2013 г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. При този вариант се предлага и широко ветрило от нови мерки с цел задълбочаване на тяхното въздействие. Това представлява ясна стъпка напред по отношение на амбицията със съразмерно повишаване на видимостта и ефективността на действията на равнището на ЕС, която същевременно остава в рамките на обхвата на политиката от Стратегията от 2013 г. </w:t>
      </w:r>
    </w:p>
    <w:p>
      <w:pPr>
        <w:numPr>
          <w:ilvl w:val="0"/>
          <w:numId w:val="1"/>
        </w:numPr>
        <w:spacing w:after="120" w:line="240" w:lineRule="auto"/>
        <w:ind w:left="426" w:hanging="5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0"/>
        </w:rPr>
        <w:t xml:space="preserve">Вариант 2 (повече амбиция и промяна)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включва промените, предложени във вариант 1, като към стратегията се добавят 6 нови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действия, всяко от които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включва редица нови </w:t>
      </w:r>
      <w:r>
        <w:rPr>
          <w:rFonts w:ascii="Times New Roman" w:hAnsi="Times New Roman"/>
          <w:bCs/>
          <w:noProof/>
          <w:color w:val="000000"/>
          <w:sz w:val="24"/>
          <w:szCs w:val="20"/>
        </w:rPr>
        <w:t>мерки.</w:t>
      </w:r>
      <w:r>
        <w:rPr>
          <w:rFonts w:ascii="Times New Roman" w:hAnsi="Times New Roman"/>
          <w:noProof/>
          <w:color w:val="000000"/>
          <w:sz w:val="24"/>
          <w:szCs w:val="20"/>
        </w:rPr>
        <w:t xml:space="preserve"> Това представлява по-високо ниво на политическа амбиция в политиката на ЕС за адаптиране, включително в неговите международни ангажименти. Той се разширява към тематични области от първостепенно значение (например иновации, екосистемни услуги, отстраняване на пропуските в опазването на климата) и представлява ясна стъпка напред спрямо базовия сценарий чрез стремежа да се осигури по-голяма съгласуваност на политиките във връзка с действията на ЕС за адаптиране, включително в международен план. </w:t>
      </w:r>
    </w:p>
    <w:p>
      <w:pPr>
        <w:spacing w:after="120" w:line="240" w:lineRule="auto"/>
        <w:jc w:val="both"/>
        <w:rPr>
          <w:rFonts w:ascii="Times New Roman" w:eastAsia="MyriadPro-LightSemiCn" w:hAnsi="Times New Roman" w:cs="Trebuchet MS"/>
          <w:noProof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0"/>
        </w:rPr>
        <w:t xml:space="preserve">Вариант 2 показва най-добри резултати при почти всички мерки и поради това е предпочитаният вариант. </w:t>
      </w:r>
      <w:r>
        <w:rPr>
          <w:rFonts w:ascii="Times New Roman" w:hAnsi="Times New Roman"/>
          <w:noProof/>
          <w:color w:val="000000"/>
          <w:sz w:val="24"/>
          <w:szCs w:val="20"/>
        </w:rPr>
        <w:t>Оценката бе извършена в контекста на различни сценарии за климата (свързани с температурата) и показва устойчивост спрямо тази проверка на чувствителността. Според икономическите модели и качествените анализи този вариант би генерирал най-големи ползи за икономическото благосъстояние, тъй като ще намали загубите за икономическото благосъстояние и заетостта в сравнение с базовия сценарий. Той също така би имал по-голям положителен ефект като цяло в сравнение с вариант 1 върху икономическото въздействие върху   конкурентоспособността, търговията и инвестициите, както и иновациите и научните изследвания. При вариант 2 се констатира положително социално въздействие по отношение на разпределението на доходите, благосъстоянието и социалното приобщаване, както и значително положително отражение върху общественото здраве и обществената безопасност. Оценката на вариант 2 беше положителна и по отношение на въздействието върху околната среда, по-конкретно въздействието върху устойчивостта спрямо изменението на климата, върху качеството и наличността на природните ресурси, намаляването на замърсяването, както и върху биологичното разнообразие и екосистемните услуги. И накрая, беше оценено, че този вариант генерира значително по-голямо положително въздействие в държавите извън ЕС и във връзка с международните отношения. Ползите от двата варианта се увеличават при повишение на температурите (при което причинените от изменението на климата щети са по-големи), но вариант 2 продължава да бъде най-добър.</w:t>
      </w:r>
    </w:p>
    <w:p>
      <w:pPr>
        <w:spacing w:after="120" w:line="240" w:lineRule="auto"/>
        <w:jc w:val="both"/>
        <w:rPr>
          <w:noProof/>
        </w:rPr>
      </w:pPr>
      <w:r>
        <w:rPr>
          <w:rFonts w:ascii="Times New Roman" w:hAnsi="Times New Roman"/>
          <w:b/>
          <w:bCs/>
          <w:noProof/>
          <w:sz w:val="24"/>
          <w:szCs w:val="20"/>
        </w:rPr>
        <w:t>В стратегията се предлагат показатели за наблюдение и оценка (за стратегията и за адаптирането като цяло</w:t>
      </w:r>
      <w:r>
        <w:rPr>
          <w:rFonts w:ascii="Times New Roman" w:hAnsi="Times New Roman"/>
          <w:bCs/>
          <w:noProof/>
          <w:sz w:val="24"/>
          <w:szCs w:val="20"/>
        </w:rPr>
        <w:t>), като се признават сложността и несигурността, присъщи на проследяването на адаптирането и устойчивостта спрямо изменението на климата.</w:t>
      </w:r>
      <w:r>
        <w:rPr>
          <w:rFonts w:ascii="Times New Roman" w:hAnsi="Times New Roman"/>
          <w:noProof/>
          <w:sz w:val="24"/>
          <w:szCs w:val="20"/>
        </w:rPr>
        <w:t xml:space="preserve"> В препоръките за наблюдение и оценка също така се подчертават някои от следващите стъпки, необходими за по-нататъшно усъвършенстване и подобряване на този подход като част от процеса за прилагане на стратегията.</w:t>
      </w: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MyriadPro-LightSemiC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594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77C1"/>
    <w:multiLevelType w:val="hybridMultilevel"/>
    <w:tmpl w:val="6DA0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B67A7"/>
    <w:multiLevelType w:val="hybridMultilevel"/>
    <w:tmpl w:val="5BBC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E494D15E-DFF8-420A-803C-472F63915259"/>
    <w:docVar w:name="LW_COVERPAGE_TYPE" w:val="1"/>
    <w:docVar w:name="LW_CROSSREFERENCE" w:val="{COM(2021) 82 final} - {SEC(2021) 89 final} - {SWD(2021) 25 final}"/>
    <w:docVar w:name="LW_DocType" w:val="NORMAL"/>
    <w:docVar w:name="LW_EMISSION" w:val="24.2.2021"/>
    <w:docVar w:name="LW_EMISSION_ISODATE" w:val="2021-02-24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8?\u1079?\u1075?\u1088?\u1072?\u1078?\u1076?\u1072?\u1085?\u1077? \u1085?\u1072? \u1091?\u1089?\u1090?\u1086?\u1081?\u1095?\u1080?\u1074?\u1072? \u1085?\u1072? \u1082?\u1083?\u1080?\u1084?\u1072?\u1090?\u1080?\u1095?\u1085?\u1080?\u1090?\u1077? \u1080?\u1079?\u1084?\u1077?\u1085?\u1077?\u1085?\u1080?\u1103? \u1045?\u1074?\u1088?\u1086?\u1087?\u1072? \u8212? \u1085?\u1086?\u1074?\u1072?\u1090?\u1072? \u1089?\u1090?\u1088?\u1072?\u1090?\u1077?\u1075?\u1080?\u1103? \u1085?\u1072? \u1045?\u1057? \u1079?\u1072? \u1072?\u1076?\u1072?\u1087?\u1090?\u1080?\u1088?\u1072?\u1085?\u1077? \u1082?\u1098?\u1084? \u1080?\u1079?\u1084?\u1077?\u1085?\u1077?\u1085?\u1080?\u1077?\u1090?\u1086? \u1085?\u1072? \u1082?\u1083?\u1080?\u1084?\u1072?\u1090?\u1072?_x000d__x000d__x000b_"/>
    <w:docVar w:name="LW_PART_NBR" w:val="1"/>
    <w:docVar w:name="LW_PART_NBR_TOTAL" w:val="1"/>
    <w:docVar w:name="LW_REF.INST.NEW" w:val="SWD"/>
    <w:docVar w:name="LW_REF.INST.NEW_ADOPTED" w:val="final"/>
    <w:docVar w:name="LW_REF.INST.NEW_TEXT" w:val="(2021) 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6?\u1045?\u1047?\u1070?\u1052?\u1045? \u1053?\u1040? \u1044?\u1054?\u1050?\u1051?\u1040?\u1044?\u1040? \u1047?\u1040? \u1054?\u1062?\u1045?\u1053?\u1050?\u1040?\u1058?\u1040? \u1053?\u1040? \u1042?\u1066?\u1047?\u1044?\u1045?\u1049?\u1057?\u1058?\u1042?\u1048?\u1045?\u1058?\u1054?,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DocumentTitle">
    <w:name w:val="Document Title"/>
    <w:aliases w:val="DocTitle"/>
    <w:basedOn w:val="Normal"/>
    <w:link w:val="DocumentTitleChar"/>
    <w:uiPriority w:val="21"/>
    <w:qFormat/>
    <w:pPr>
      <w:spacing w:after="120"/>
      <w:jc w:val="center"/>
    </w:pPr>
    <w:rPr>
      <w:rFonts w:ascii="EC Square Sans Pro" w:eastAsia="MyriadPro-LightSemiCn" w:hAnsi="EC Square Sans Pro" w:cs="MyriadPro-LightSemiCn"/>
      <w:b/>
      <w:sz w:val="52"/>
      <w:szCs w:val="20"/>
    </w:rPr>
  </w:style>
  <w:style w:type="character" w:customStyle="1" w:styleId="DocumentTitleChar">
    <w:name w:val="Document Title Char"/>
    <w:link w:val="DocumentTitle"/>
    <w:uiPriority w:val="21"/>
    <w:rPr>
      <w:rFonts w:ascii="EC Square Sans Pro" w:eastAsia="MyriadPro-LightSemiCn" w:hAnsi="EC Square Sans Pro" w:cs="MyriadPro-LightSemiCn"/>
      <w:b/>
      <w:sz w:val="5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customStyle="1" w:styleId="DocumentTitle">
    <w:name w:val="Document Title"/>
    <w:aliases w:val="DocTitle"/>
    <w:basedOn w:val="Normal"/>
    <w:link w:val="DocumentTitleChar"/>
    <w:uiPriority w:val="21"/>
    <w:qFormat/>
    <w:pPr>
      <w:spacing w:after="120"/>
      <w:jc w:val="center"/>
    </w:pPr>
    <w:rPr>
      <w:rFonts w:ascii="EC Square Sans Pro" w:eastAsia="MyriadPro-LightSemiCn" w:hAnsi="EC Square Sans Pro" w:cs="MyriadPro-LightSemiCn"/>
      <w:b/>
      <w:sz w:val="52"/>
      <w:szCs w:val="20"/>
    </w:rPr>
  </w:style>
  <w:style w:type="character" w:customStyle="1" w:styleId="DocumentTitleChar">
    <w:name w:val="Document Title Char"/>
    <w:link w:val="DocumentTitle"/>
    <w:uiPriority w:val="21"/>
    <w:rPr>
      <w:rFonts w:ascii="EC Square Sans Pro" w:eastAsia="MyriadPro-LightSemiCn" w:hAnsi="EC Square Sans Pro" w:cs="MyriadPro-LightSemiCn"/>
      <w:b/>
      <w:sz w:val="5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c59cdfbf-1dfc-4ffc-abc4-a5feb33a1764">EN</EC_Collab_DocumentLanguage>
    <EC_Collab_Reference xmlns="c59cdfbf-1dfc-4ffc-abc4-a5feb33a1764" xsi:nil="true"/>
    <_Status xmlns="http://schemas.microsoft.com/sharepoint/v3/fields">Not Started</_Status>
    <EC_Collab_Status xmlns="c59cdfbf-1dfc-4ffc-abc4-a5feb33a1764">Not Started</EC_Collab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F10D73B233356943B8D036B8A0606D60" ma:contentTypeVersion="0" ma:contentTypeDescription="Create a new document in this library." ma:contentTypeScope="" ma:versionID="8ef8c627b9bc31cb54362bf90be7fe96">
  <xsd:schema xmlns:xsd="http://www.w3.org/2001/XMLSchema" xmlns:xs="http://www.w3.org/2001/XMLSchema" xmlns:p="http://schemas.microsoft.com/office/2006/metadata/properties" xmlns:ns2="http://schemas.microsoft.com/sharepoint/v3/fields" xmlns:ns3="c59cdfbf-1dfc-4ffc-abc4-a5feb33a1764" targetNamespace="http://schemas.microsoft.com/office/2006/metadata/properties" ma:root="true" ma:fieldsID="ea4433c989c691abca0c5f4ec492efef" ns2:_="" ns3:_="">
    <xsd:import namespace="http://schemas.microsoft.com/sharepoint/v3/fields"/>
    <xsd:import namespace="c59cdfbf-1dfc-4ffc-abc4-a5feb33a176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dfbf-1dfc-4ffc-abc4-a5feb33a176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70B61-D6A8-42B4-BC79-1D29E2720BFC}">
  <ds:schemaRefs>
    <ds:schemaRef ds:uri="http://purl.org/dc/terms/"/>
    <ds:schemaRef ds:uri="http://schemas.openxmlformats.org/package/2006/metadata/core-properties"/>
    <ds:schemaRef ds:uri="http://purl.org/dc/dcmitype/"/>
    <ds:schemaRef ds:uri="c59cdfbf-1dfc-4ffc-abc4-a5feb33a176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1795C6-91D8-4EA6-A603-5415B48F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59cdfbf-1dfc-4ffc-abc4-a5feb33a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04213-48CB-471B-9C24-2920A5CE2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6741</Characters>
  <Application>Microsoft Office Word</Application>
  <DocSecurity>0</DocSecurity>
  <Lines>108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2021-02-02T10:26:00Z</dcterms:created>
  <dcterms:modified xsi:type="dcterms:W3CDTF">2021-03-01T16:27:00Z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DocStatus">
    <vt:lpwstr>Green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CP-027</vt:lpwstr>
  </property>
  <property fmtid="{D5CDD505-2E9C-101B-9397-08002B2CF9AE}" pid="8" name="_LW_INVALIDATED__LW_INVALIDATED__LW_INVALIDATED_ContentTypeId">
    <vt:lpwstr>0x010100258AA79CEB83498886A3A0868112325000F10D73B233356943B8D036B8A0606D60</vt:lpwstr>
  </property>
</Properties>
</file>