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CC58603-276C-4377-9FC3-1BC392D52D54" style="width:450.6pt;height:320.4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240" w:line="240" w:lineRule="auto"/>
        <w:jc w:val="center"/>
        <w:rPr>
          <w:rFonts w:ascii="Times New Roman" w:eastAsia="Calibri" w:hAnsi="Times New Roman" w:cs="Times New Roman"/>
          <w:b/>
          <w:noProof/>
          <w:sz w:val="24"/>
          <w:szCs w:val="24"/>
          <w:lang w:eastAsia="en-US"/>
        </w:rPr>
      </w:pPr>
      <w:bookmarkStart w:id="1" w:name="_GoBack"/>
      <w:bookmarkEnd w:id="1"/>
      <w:r>
        <w:rPr>
          <w:rFonts w:ascii="Times New Roman" w:eastAsia="Calibri" w:hAnsi="Times New Roman" w:cs="Times New Roman"/>
          <w:b/>
          <w:noProof/>
          <w:sz w:val="24"/>
          <w:szCs w:val="24"/>
          <w:lang w:eastAsia="en-US"/>
        </w:rPr>
        <w:lastRenderedPageBreak/>
        <w:t>REPORT FROM THE COMMISSION TO THE EUROPEAN PARLIAMENT AND THE COUNCIL</w:t>
      </w:r>
    </w:p>
    <w:p>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on the exercise of the power to adopt delegated acts conferred on the Commission  pursuant to Regulation (EU) 2018/643 on rail transport statistics</w:t>
      </w:r>
    </w:p>
    <w:p>
      <w:pPr>
        <w:spacing w:after="0" w:line="240" w:lineRule="auto"/>
        <w:jc w:val="center"/>
        <w:rPr>
          <w:rFonts w:ascii="Times New Roman" w:hAnsi="Times New Roman" w:cs="Times New Roman"/>
          <w:b/>
          <w:bCs/>
          <w:noProof/>
          <w:sz w:val="24"/>
          <w:szCs w:val="24"/>
        </w:rPr>
      </w:pPr>
    </w:p>
    <w:p>
      <w:pPr>
        <w:numPr>
          <w:ilvl w:val="0"/>
          <w:numId w:val="2"/>
        </w:numPr>
        <w:spacing w:before="480" w:after="240" w:line="240" w:lineRule="auto"/>
        <w:ind w:left="680" w:hanging="680"/>
        <w:jc w:val="both"/>
        <w:rPr>
          <w:rFonts w:ascii="Times New Roman" w:eastAsia="Calibri" w:hAnsi="Times New Roman" w:cs="Times New Roman"/>
          <w:b/>
          <w:smallCaps/>
          <w:noProof/>
          <w:sz w:val="24"/>
          <w:szCs w:val="24"/>
          <w:lang w:eastAsia="en-US"/>
        </w:rPr>
      </w:pPr>
      <w:r>
        <w:rPr>
          <w:rFonts w:ascii="Times New Roman" w:eastAsia="Calibri" w:hAnsi="Times New Roman" w:cs="Times New Roman"/>
          <w:b/>
          <w:smallCaps/>
          <w:noProof/>
          <w:sz w:val="24"/>
          <w:szCs w:val="24"/>
          <w:lang w:eastAsia="en-US"/>
        </w:rPr>
        <w:t>I</w:t>
      </w:r>
      <w:r>
        <w:rPr>
          <w:rFonts w:ascii="Times New Roman" w:eastAsia="Calibri" w:hAnsi="Times New Roman" w:cs="Times New Roman"/>
          <w:b/>
          <w:caps/>
          <w:noProof/>
          <w:sz w:val="24"/>
          <w:szCs w:val="24"/>
          <w:lang w:eastAsia="en-US"/>
        </w:rPr>
        <w:t>ntroduction</w:t>
      </w:r>
    </w:p>
    <w:p>
      <w:pPr>
        <w:spacing w:after="12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Article 3(2) of Regulation (EU) 2018/643 of the European Parliament and of the Council</w:t>
      </w:r>
      <w:r>
        <w:rPr>
          <w:rStyle w:val="FootnoteReference"/>
          <w:rFonts w:ascii="Times New Roman" w:eastAsia="Calibri" w:hAnsi="Times New Roman" w:cs="Times New Roman"/>
          <w:noProof/>
          <w:sz w:val="24"/>
          <w:szCs w:val="24"/>
          <w:lang w:eastAsia="en-US"/>
        </w:rPr>
        <w:footnoteReference w:id="1"/>
      </w:r>
      <w:r>
        <w:rPr>
          <w:rFonts w:ascii="Times New Roman" w:eastAsia="Calibri" w:hAnsi="Times New Roman" w:cs="Times New Roman"/>
          <w:noProof/>
          <w:sz w:val="24"/>
          <w:szCs w:val="24"/>
          <w:lang w:eastAsia="en-US"/>
        </w:rPr>
        <w:t xml:space="preserve"> empowers the Commission to adopt delegated acts under Article 10. The Commission can exercise this power to take account of new developments and at the same time ensure harmonisation of statistics by defining certain technical details. More specifically, the Commission can adopt delegated acts in order to:</w:t>
      </w:r>
    </w:p>
    <w:p>
      <w:pPr>
        <w:pStyle w:val="ListParagraph"/>
        <w:numPr>
          <w:ilvl w:val="0"/>
          <w:numId w:val="7"/>
        </w:numPr>
        <w:spacing w:after="0" w:line="276" w:lineRule="auto"/>
        <w:ind w:left="709" w:hanging="283"/>
        <w:contextualSpacing w:val="0"/>
        <w:jc w:val="both"/>
        <w:rPr>
          <w:rFonts w:ascii="Times New Roman" w:eastAsia="Calibri" w:hAnsi="Times New Roman" w:cs="Times New Roman"/>
          <w:noProof/>
          <w:sz w:val="24"/>
          <w:szCs w:val="24"/>
          <w:lang w:eastAsia="en-US"/>
        </w:rPr>
      </w:pPr>
      <w:r>
        <w:rPr>
          <w:rFonts w:ascii="Times New Roman" w:hAnsi="Times New Roman" w:cs="Times New Roman"/>
          <w:noProof/>
          <w:sz w:val="24"/>
          <w:szCs w:val="24"/>
        </w:rPr>
        <w:t>adapt the technical definitions set out in points (8), (9), (10), (21), (22) and (23) of paragraph 1 of Article 3;</w:t>
      </w:r>
    </w:p>
    <w:p>
      <w:pPr>
        <w:pStyle w:val="ListParagraph"/>
        <w:numPr>
          <w:ilvl w:val="0"/>
          <w:numId w:val="7"/>
        </w:numPr>
        <w:spacing w:before="120" w:after="240" w:line="276" w:lineRule="auto"/>
        <w:ind w:left="709" w:hanging="283"/>
        <w:contextualSpacing w:val="0"/>
        <w:jc w:val="both"/>
        <w:rPr>
          <w:rFonts w:ascii="Times New Roman" w:eastAsia="Calibri" w:hAnsi="Times New Roman" w:cs="Times New Roman"/>
          <w:noProof/>
          <w:sz w:val="24"/>
          <w:szCs w:val="24"/>
          <w:lang w:eastAsia="en-US"/>
        </w:rPr>
      </w:pPr>
      <w:r>
        <w:rPr>
          <w:rFonts w:ascii="Times New Roman" w:hAnsi="Times New Roman" w:cs="Times New Roman"/>
          <w:noProof/>
          <w:sz w:val="24"/>
          <w:szCs w:val="24"/>
        </w:rPr>
        <w:t>provide for additional technical definitions.</w:t>
      </w:r>
    </w:p>
    <w:p>
      <w:pPr>
        <w:spacing w:after="24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When exercising that power, the Commission must ensure that the delegated acts do not impose a significant additional burden on the Member States or respondents. Furthermore, the Commission must justify the statistical actions for which those delegated acts provide, using, where appropriate, a cost-effectiveness analysis that assesses the burden on respondents and the production costs.</w:t>
      </w:r>
    </w:p>
    <w:p>
      <w:pPr>
        <w:spacing w:after="12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As specified in Article 10(4), before adopting a delegated act, the Commission must consult experts designated by each Member State in accordance with the principles laid down in the Interinstitutional Agreement of 13 April 2016 on Better Law-Making</w:t>
      </w:r>
      <w:r>
        <w:rPr>
          <w:rStyle w:val="FootnoteReference"/>
          <w:rFonts w:ascii="Times New Roman" w:eastAsia="Calibri" w:hAnsi="Times New Roman" w:cs="Times New Roman"/>
          <w:noProof/>
          <w:sz w:val="24"/>
          <w:szCs w:val="24"/>
          <w:lang w:eastAsia="en-US"/>
        </w:rPr>
        <w:footnoteReference w:id="2"/>
      </w:r>
      <w:r>
        <w:rPr>
          <w:rFonts w:ascii="Times New Roman" w:eastAsia="Calibri" w:hAnsi="Times New Roman" w:cs="Times New Roman"/>
          <w:noProof/>
          <w:sz w:val="24"/>
          <w:szCs w:val="24"/>
          <w:lang w:eastAsia="en-US"/>
        </w:rPr>
        <w:t xml:space="preserve">. </w:t>
      </w:r>
    </w:p>
    <w:p>
      <w:pPr>
        <w:numPr>
          <w:ilvl w:val="0"/>
          <w:numId w:val="2"/>
        </w:numPr>
        <w:spacing w:before="480" w:after="240" w:line="240" w:lineRule="auto"/>
        <w:ind w:left="680" w:hanging="680"/>
        <w:jc w:val="both"/>
        <w:rPr>
          <w:rFonts w:ascii="Times New Roman" w:eastAsia="Calibri" w:hAnsi="Times New Roman" w:cs="Times New Roman"/>
          <w:b/>
          <w:caps/>
          <w:noProof/>
          <w:sz w:val="24"/>
          <w:szCs w:val="24"/>
          <w:lang w:eastAsia="en-US"/>
        </w:rPr>
      </w:pPr>
      <w:r>
        <w:rPr>
          <w:rFonts w:ascii="Times New Roman" w:eastAsia="Calibri" w:hAnsi="Times New Roman" w:cs="Times New Roman"/>
          <w:b/>
          <w:caps/>
          <w:noProof/>
          <w:sz w:val="24"/>
          <w:szCs w:val="24"/>
          <w:lang w:eastAsia="en-US"/>
        </w:rPr>
        <w:t>Legal Basis</w:t>
      </w:r>
    </w:p>
    <w:p>
      <w:pPr>
        <w:spacing w:after="240" w:line="276"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en-US"/>
        </w:rPr>
        <w:t xml:space="preserve">Under Article 10(2) of Regulation (EU) 2018/643, the power to adopt delegated acts referred to in Article 3(2) is conferred on the Commission for a period of 5 years from 13 December 2016. </w:t>
      </w:r>
      <w:r>
        <w:rPr>
          <w:rFonts w:ascii="Times New Roman" w:hAnsi="Times New Roman" w:cs="Times New Roman"/>
          <w:noProof/>
          <w:sz w:val="24"/>
          <w:szCs w:val="24"/>
        </w:rPr>
        <w:t>The delegation of power is to be tacitly extended for periods of 5 years, unless the European Parliament or the Council opposes such extension.</w:t>
      </w:r>
    </w:p>
    <w:p>
      <w:pPr>
        <w:spacing w:after="0" w:line="276"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en-US"/>
        </w:rPr>
        <w:t xml:space="preserve">The Commission must draw up a report in respect of the delegation of power not later than 9 months before the end of the 5-year period. </w:t>
      </w:r>
      <w:r>
        <w:rPr>
          <w:rFonts w:ascii="Times New Roman" w:hAnsi="Times New Roman" w:cs="Times New Roman"/>
          <w:noProof/>
          <w:sz w:val="24"/>
          <w:lang w:eastAsia="en-GB"/>
        </w:rPr>
        <w:t>This report fulfils that obligation for the first time.</w:t>
      </w:r>
    </w:p>
    <w:p>
      <w:pPr>
        <w:numPr>
          <w:ilvl w:val="0"/>
          <w:numId w:val="2"/>
        </w:numPr>
        <w:spacing w:before="720" w:after="240" w:line="240" w:lineRule="auto"/>
        <w:ind w:left="680" w:hanging="680"/>
        <w:jc w:val="both"/>
        <w:rPr>
          <w:rFonts w:ascii="Times New Roman" w:eastAsia="Calibri" w:hAnsi="Times New Roman" w:cs="Times New Roman"/>
          <w:b/>
          <w:caps/>
          <w:noProof/>
          <w:sz w:val="24"/>
          <w:szCs w:val="24"/>
          <w:lang w:eastAsia="en-US"/>
        </w:rPr>
      </w:pPr>
      <w:r>
        <w:rPr>
          <w:rFonts w:ascii="Times New Roman" w:eastAsia="Calibri" w:hAnsi="Times New Roman" w:cs="Times New Roman"/>
          <w:b/>
          <w:caps/>
          <w:noProof/>
          <w:sz w:val="24"/>
          <w:szCs w:val="24"/>
          <w:lang w:eastAsia="en-US"/>
        </w:rPr>
        <w:lastRenderedPageBreak/>
        <w:t>Exercise of the Delegation</w:t>
      </w:r>
    </w:p>
    <w:p>
      <w:pPr>
        <w:spacing w:after="0" w:line="276" w:lineRule="auto"/>
        <w:jc w:val="both"/>
        <w:rPr>
          <w:rFonts w:ascii="Times New Roman" w:eastAsia="Calibri" w:hAnsi="Times New Roman" w:cs="Times New Roman"/>
          <w:noProof/>
          <w:sz w:val="24"/>
          <w:szCs w:val="24"/>
          <w:lang w:eastAsia="en-US"/>
        </w:rPr>
      </w:pPr>
      <w:r>
        <w:rPr>
          <w:rFonts w:ascii="Times New Roman" w:hAnsi="Times New Roman" w:cs="Times New Roman"/>
          <w:noProof/>
          <w:sz w:val="24"/>
          <w:lang w:eastAsia="en-GB"/>
        </w:rPr>
        <w:t xml:space="preserve">The Commission has not yet exercised the power to adopt delegated acts conferred on it by Regulation </w:t>
      </w:r>
      <w:r>
        <w:rPr>
          <w:rFonts w:ascii="Times New Roman" w:eastAsia="Calibri" w:hAnsi="Times New Roman" w:cs="Times New Roman"/>
          <w:noProof/>
          <w:sz w:val="24"/>
          <w:szCs w:val="24"/>
          <w:lang w:eastAsia="en-US"/>
        </w:rPr>
        <w:t>(EU) 2018/643.</w:t>
      </w:r>
    </w:p>
    <w:p>
      <w:pPr>
        <w:spacing w:before="240" w:after="0" w:line="276"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The Commission regularly discusses </w:t>
      </w:r>
      <w:r>
        <w:rPr>
          <w:rFonts w:ascii="Times New Roman" w:hAnsi="Times New Roman" w:cs="Times New Roman"/>
          <w:noProof/>
          <w:sz w:val="24"/>
          <w:szCs w:val="24"/>
          <w:lang w:eastAsia="de-DE"/>
        </w:rPr>
        <w:t xml:space="preserve">potential improvements to </w:t>
      </w:r>
      <w:r>
        <w:rPr>
          <w:rFonts w:ascii="Times New Roman" w:hAnsi="Times New Roman" w:cs="Times New Roman"/>
          <w:noProof/>
          <w:sz w:val="24"/>
          <w:lang w:eastAsia="en-GB"/>
        </w:rPr>
        <w:t xml:space="preserve">rail transport statistics with the Expert Group on Rail Transport Statistics and the </w:t>
      </w:r>
      <w:r>
        <w:rPr>
          <w:rFonts w:ascii="Times New Roman" w:hAnsi="Times New Roman" w:cs="Times New Roman"/>
          <w:noProof/>
          <w:sz w:val="24"/>
          <w:szCs w:val="24"/>
          <w:lang w:eastAsia="de-DE"/>
        </w:rPr>
        <w:t>Coordinating Group for Statistics on Transport. These discussions also</w:t>
      </w:r>
      <w:r>
        <w:rPr>
          <w:rFonts w:ascii="Times New Roman" w:hAnsi="Times New Roman" w:cs="Times New Roman"/>
          <w:noProof/>
          <w:sz w:val="24"/>
          <w:lang w:eastAsia="en-GB"/>
        </w:rPr>
        <w:t xml:space="preserve"> take into consideration possible costs and burdens on countries and respondents.</w:t>
      </w:r>
    </w:p>
    <w:p>
      <w:pPr>
        <w:spacing w:before="240" w:after="0" w:line="276"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Statistical needs in the context of the Sustainable and Smart Mobility Strategy</w:t>
      </w:r>
      <w:r>
        <w:rPr>
          <w:rStyle w:val="FootnoteReference"/>
          <w:rFonts w:ascii="Times New Roman" w:hAnsi="Times New Roman" w:cs="Times New Roman"/>
          <w:noProof/>
          <w:sz w:val="24"/>
          <w:szCs w:val="24"/>
          <w:lang w:eastAsia="de-DE"/>
        </w:rPr>
        <w:footnoteReference w:id="3"/>
      </w:r>
      <w:r>
        <w:rPr>
          <w:rFonts w:ascii="Times New Roman" w:hAnsi="Times New Roman" w:cs="Times New Roman"/>
          <w:noProof/>
          <w:sz w:val="24"/>
          <w:szCs w:val="24"/>
          <w:lang w:eastAsia="de-DE"/>
        </w:rPr>
        <w:t xml:space="preserve"> and policy initiatives set out in the Commission Communication on the European Green Deal</w:t>
      </w:r>
      <w:r>
        <w:rPr>
          <w:rStyle w:val="FootnoteReference"/>
          <w:rFonts w:ascii="Times New Roman" w:hAnsi="Times New Roman" w:cs="Times New Roman"/>
          <w:noProof/>
          <w:sz w:val="24"/>
          <w:szCs w:val="24"/>
          <w:lang w:eastAsia="de-DE"/>
        </w:rPr>
        <w:footnoteReference w:id="4"/>
      </w:r>
      <w:r>
        <w:rPr>
          <w:rFonts w:ascii="Times New Roman" w:hAnsi="Times New Roman" w:cs="Times New Roman"/>
          <w:noProof/>
          <w:sz w:val="24"/>
          <w:szCs w:val="24"/>
          <w:lang w:eastAsia="de-DE"/>
        </w:rPr>
        <w:t xml:space="preserve"> may require the Commission to adopt delegated acts regarding technical definitions in Regulation (EU) 2018/643.</w:t>
      </w:r>
    </w:p>
    <w:p>
      <w:pPr>
        <w:numPr>
          <w:ilvl w:val="0"/>
          <w:numId w:val="2"/>
        </w:numPr>
        <w:spacing w:before="480" w:after="240" w:line="240" w:lineRule="auto"/>
        <w:ind w:left="680" w:hanging="680"/>
        <w:jc w:val="both"/>
        <w:rPr>
          <w:rFonts w:ascii="Times New Roman" w:eastAsia="Calibri" w:hAnsi="Times New Roman" w:cs="Times New Roman"/>
          <w:b/>
          <w:caps/>
          <w:noProof/>
          <w:sz w:val="24"/>
          <w:szCs w:val="24"/>
          <w:lang w:eastAsia="en-US"/>
        </w:rPr>
      </w:pPr>
      <w:r>
        <w:rPr>
          <w:rFonts w:ascii="Times New Roman" w:eastAsia="Calibri" w:hAnsi="Times New Roman" w:cs="Times New Roman"/>
          <w:b/>
          <w:caps/>
          <w:noProof/>
          <w:sz w:val="24"/>
          <w:szCs w:val="24"/>
          <w:lang w:eastAsia="en-US"/>
        </w:rPr>
        <w:t>Conclusion</w:t>
      </w:r>
    </w:p>
    <w:p>
      <w:pPr>
        <w:spacing w:before="120" w:after="12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The Commission has not yet exercised its power to adopt delegated acts as conferred on it by Regulation (EU) 2018/643.</w:t>
      </w:r>
    </w:p>
    <w:p>
      <w:pPr>
        <w:spacing w:before="240" w:after="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The Commission considers that it </w:t>
      </w:r>
      <w:r>
        <w:rPr>
          <w:rFonts w:ascii="Times New Roman" w:hAnsi="Times New Roman" w:cs="Times New Roman"/>
          <w:noProof/>
          <w:sz w:val="24"/>
          <w:lang w:eastAsia="en-GB"/>
        </w:rPr>
        <w:t>should continue to have these delegated powers</w:t>
      </w:r>
      <w:r>
        <w:rPr>
          <w:rFonts w:ascii="Times New Roman" w:eastAsia="Calibri" w:hAnsi="Times New Roman" w:cs="Times New Roman"/>
          <w:noProof/>
          <w:sz w:val="24"/>
          <w:szCs w:val="24"/>
          <w:lang w:eastAsia="en-US"/>
        </w:rPr>
        <w:t>, as it may need to adopt delegated acts in the future to support developments in rail transport statistics.</w:t>
      </w:r>
    </w:p>
    <w:p>
      <w:pPr>
        <w:spacing w:after="240" w:line="240" w:lineRule="auto"/>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70645"/>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745371"/>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ind w:left="142" w:hanging="142"/>
        <w:rPr>
          <w:rStyle w:val="Hyperlink"/>
          <w:rFonts w:ascii="Times New Roman" w:hAnsi="Times New Roman" w:cs="Times New Roman"/>
          <w:bCs/>
          <w:color w:val="000000"/>
          <w:sz w:val="20"/>
          <w:szCs w:val="20"/>
          <w:u w:val="none"/>
          <w:lang w:val="en-US"/>
        </w:rPr>
      </w:pPr>
      <w:r>
        <w:rPr>
          <w:rStyle w:val="FootnoteReference"/>
          <w:rFonts w:ascii="Times New Roman" w:hAnsi="Times New Roman" w:cs="Times New Roman"/>
          <w:sz w:val="20"/>
          <w:szCs w:val="20"/>
        </w:rPr>
        <w:footnoteRef/>
      </w:r>
      <w:r>
        <w:rPr>
          <w:rFonts w:ascii="Times New Roman" w:hAnsi="Times New Roman" w:cs="Times New Roman"/>
          <w:bCs/>
          <w:color w:val="000000"/>
          <w:sz w:val="20"/>
          <w:szCs w:val="20"/>
          <w:lang w:val="en-US"/>
        </w:rPr>
        <w:t xml:space="preserve"> Regulation (EU) 2018/643 of the European Parliament and of the Council of 18 April 2018 on rail transport statistics (OJ L 112, 2.5.2018, p. 1).</w:t>
      </w:r>
    </w:p>
  </w:footnote>
  <w:footnote w:id="2">
    <w:p>
      <w:pPr>
        <w:pStyle w:val="FootnoteText"/>
        <w:spacing w:before="60"/>
        <w:ind w:left="284" w:hanging="284"/>
        <w:rPr>
          <w:rStyle w:val="Hyperlink"/>
          <w:rFonts w:ascii="Times New Roman" w:hAnsi="Times New Roman"/>
          <w:color w:val="auto"/>
          <w:u w:val="none"/>
        </w:rPr>
      </w:pPr>
      <w:r>
        <w:rPr>
          <w:rStyle w:val="FootnoteReference"/>
          <w:rFonts w:ascii="Times New Roman" w:hAnsi="Times New Roman"/>
        </w:rPr>
        <w:footnoteRef/>
      </w:r>
      <w:r>
        <w:rPr>
          <w:rFonts w:ascii="Times New Roman" w:hAnsi="Times New Roman"/>
        </w:rPr>
        <w:t xml:space="preserve"> OJ L 123, 12.5.2016, p. 1.</w:t>
      </w:r>
    </w:p>
  </w:footnote>
  <w:footnote w:id="3">
    <w:p>
      <w:pPr>
        <w:pStyle w:val="FootnoteText"/>
      </w:pPr>
      <w:r>
        <w:rPr>
          <w:rFonts w:ascii="Times New Roman" w:hAnsi="Times New Roman"/>
          <w:vertAlign w:val="superscript"/>
        </w:rPr>
        <w:footnoteRef/>
      </w:r>
      <w:r>
        <w:rPr>
          <w:rFonts w:ascii="Times New Roman" w:hAnsi="Times New Roman"/>
        </w:rPr>
        <w:t xml:space="preserve"> COM(2020) 789 final.</w:t>
      </w:r>
    </w:p>
  </w:footnote>
  <w:footnote w:id="4">
    <w:p>
      <w:pPr>
        <w:pStyle w:val="FootnoteText"/>
      </w:pPr>
      <w:r>
        <w:rPr>
          <w:rStyle w:val="FootnoteReference"/>
          <w:rFonts w:ascii="Times New Roman" w:hAnsi="Times New Roman"/>
        </w:rPr>
        <w:footnoteRef/>
      </w:r>
      <w:r>
        <w:rPr>
          <w:rFonts w:ascii="Times New Roman" w:hAnsi="Times New Roman"/>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0452026"/>
    <w:multiLevelType w:val="hybridMultilevel"/>
    <w:tmpl w:val="A028B11A"/>
    <w:lvl w:ilvl="0" w:tplc="F4B2E0B2">
      <w:numFmt w:val="bullet"/>
      <w:lvlText w:val="-"/>
      <w:lvlJc w:val="left"/>
      <w:pPr>
        <w:ind w:left="-231" w:hanging="360"/>
      </w:pPr>
      <w:rPr>
        <w:rFonts w:ascii="Times New Roman" w:eastAsia="Calibri" w:hAnsi="Times New Roman" w:cs="Times New Roman"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5">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CC58603-276C-4377-9FC3-1BC392D52D54"/>
    <w:docVar w:name="LW_COVERPAGE_TYPE" w:val="1"/>
    <w:docVar w:name="LW_CROSSREFERENCE" w:val="&lt;UNUSED&gt;"/>
    <w:docVar w:name="LW_DocType" w:val="NORMAL"/>
    <w:docVar w:name="LW_EMISSION" w:val="2.3.2021"/>
    <w:docVar w:name="LW_EMISSION_ISODATE" w:val="2021-03-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U) 2018/643 on rail transport statistic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11E509-33BC-48FB-BFAD-5D2C1EC1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469</Words>
  <Characters>2546</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Rail_Report_Exercise of power delegated acts_2021</vt:lpstr>
    </vt:vector>
  </TitlesOfParts>
  <Manager/>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Rail_Report_Exercise of power delegated acts_2021</dc:title>
  <dc:subject>Rail_Report_Exercise of power delegated acts_2021</dc:subject>
  <dc:creator/>
  <cp:keywords/>
  <dc:description/>
  <cp:lastModifiedBy>WES PDFC Administrator</cp:lastModifiedBy>
  <cp:revision>15</cp:revision>
  <dcterms:created xsi:type="dcterms:W3CDTF">2021-02-18T09:35:00Z</dcterms:created>
  <dcterms:modified xsi:type="dcterms:W3CDTF">2021-02-25T09:41:00Z</dcterms:modified>
  <cp:category>Rail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