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alt="8BB1F5F6-AA4C-467C-AA2F-DA4AEBE3A66C" style="width:450.75pt;height:389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Rfrenceinterinstitutionnelle"/>
        <w:rPr>
          <w:noProof/>
        </w:rPr>
      </w:pPr>
      <w:bookmarkStart w:id="0" w:name="_GoBack"/>
      <w:bookmarkEnd w:id="0"/>
      <w:r>
        <w:rPr>
          <w:noProof/>
        </w:rPr>
        <w:lastRenderedPageBreak/>
        <w:t>2018/0232 (COD)</w:t>
      </w:r>
    </w:p>
    <w:p>
      <w:pPr>
        <w:pStyle w:val="Typedudocument"/>
        <w:rPr>
          <w:noProof/>
        </w:rPr>
      </w:pPr>
      <w:r>
        <w:rPr>
          <w:noProof/>
        </w:rPr>
        <w:t>СЪОБЩЕНИЕ НА КОМИСИЯТА ДО ЕВРОПЕЙСКИЯ ПАРЛАМЕНТ</w:t>
      </w:r>
      <w:r>
        <w:rPr>
          <w:noProof/>
        </w:rPr>
        <w:br/>
      </w:r>
      <w:r>
        <w:rPr>
          <w:noProof/>
        </w:rPr>
        <w:br/>
        <w:t>съгласно член 294, параграф 6 от Договора за функционирането на Европейския съюз</w:t>
      </w:r>
      <w:r>
        <w:rPr>
          <w:noProof/>
        </w:rPr>
        <w:br/>
      </w:r>
      <w:r>
        <w:rPr>
          <w:noProof/>
        </w:rPr>
        <w:br/>
        <w:t>относно</w:t>
      </w:r>
    </w:p>
    <w:p>
      <w:pPr>
        <w:pStyle w:val="Titreobjet"/>
        <w:rPr>
          <w:noProof/>
        </w:rPr>
      </w:pPr>
      <w:r>
        <w:rPr>
          <w:noProof/>
        </w:rPr>
        <w:t>позицията на Съвета във връзка с приемането на Регламент за създаване на програма „Митници“ за сътрудничество в областта на митниците</w:t>
      </w:r>
    </w:p>
    <w:p>
      <w:pPr>
        <w:pStyle w:val="ManualHeading1"/>
        <w:rPr>
          <w:noProof/>
          <w:sz w:val="22"/>
        </w:rPr>
      </w:pPr>
      <w:r>
        <w:rPr>
          <w:noProof/>
        </w:rPr>
        <w:t>1.</w:t>
      </w:r>
      <w:r>
        <w:rPr>
          <w:noProof/>
        </w:rPr>
        <w:tab/>
        <w:t>Контекст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804"/>
        <w:gridCol w:w="2483"/>
      </w:tblGrid>
      <w:tr>
        <w:tc>
          <w:tcPr>
            <w:tcW w:w="6804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 xml:space="preserve">Дата на предаване на предложението на Европейския парламент и на Съвета </w:t>
            </w:r>
            <w:r>
              <w:rPr>
                <w:noProof/>
              </w:rPr>
              <w:br/>
              <w:t>(документ COM(2018) 442 final – 2018/0232 (COD):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8 юни 2018 г.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становището на Европейския икономически и социален комитет: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17 октомври 2018 г.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позицията на Европейския парламент на първо четене: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16 април 2019 г.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предаване на измененото предложение: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N/A</w:t>
            </w:r>
          </w:p>
        </w:tc>
      </w:tr>
      <w:tr>
        <w:tc>
          <w:tcPr>
            <w:tcW w:w="6804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Дата на приемане на позицията на Съвета:</w:t>
            </w:r>
          </w:p>
        </w:tc>
        <w:tc>
          <w:tcPr>
            <w:tcW w:w="2483" w:type="dxa"/>
          </w:tcPr>
          <w:p>
            <w:pPr>
              <w:jc w:val="left"/>
              <w:rPr>
                <w:noProof/>
              </w:rPr>
            </w:pPr>
            <w:r>
              <w:rPr>
                <w:noProof/>
              </w:rPr>
              <w:t>1 март 2021 г.</w:t>
            </w:r>
          </w:p>
        </w:tc>
      </w:tr>
    </w:tbl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>Цел на предложението на Комисията</w:t>
      </w:r>
    </w:p>
    <w:p>
      <w:pPr>
        <w:rPr>
          <w:noProof/>
        </w:rPr>
      </w:pPr>
      <w:r>
        <w:rPr>
          <w:noProof/>
        </w:rPr>
        <w:t xml:space="preserve">Митниците спомагат за опазването на финансовите интереси на Съюза и държавите членки. Освен това в ролята си на пазители на външните граници на ЕС по отношение на стоковите потоци митниците защитават обществеността от терористични, здравни, екологични и други заплахи. От 2016 г. Митническият кодекс на Съюза (МКС) представлява новата правна уредба в областта на митниците. Главните цели на МКС са да се сложи край на процедурите с използване на хартиени носители и да се осъществи цифровизация на взаимодействията между търговците и митниците. Цялостното прилагане на МКС може да се постигне единствено чрез усилено оперативно сътрудничество между митническите администрации на държавите членки, между тях и други органи, както и с търговците и други трети страни. </w:t>
      </w:r>
    </w:p>
    <w:p>
      <w:pPr>
        <w:rPr>
          <w:noProof/>
        </w:rPr>
      </w:pPr>
      <w:r>
        <w:rPr>
          <w:noProof/>
        </w:rPr>
        <w:t>По предложената програма, която ще замени програма „Митници 2020“, ще се оказва подкрепа за сътрудничеството в областта на митниците.</w:t>
      </w:r>
    </w:p>
    <w:p>
      <w:pPr>
        <w:rPr>
          <w:noProof/>
        </w:rPr>
      </w:pPr>
      <w:r>
        <w:rPr>
          <w:noProof/>
        </w:rPr>
        <w:t xml:space="preserve">Митническото сътрудничество и изграждането на капацитет ще бъдат групирани въз основа на дейности по създаване на работни връзки между хората и развиване на компетентностите им, от една страна, и дейности по изграждане на информационнотехнологичния (ИТ) капацитет, от друга страна. Чрез първата група дейности ще се рационализира обменът на добри практики и оперативни знания между държавите членки и другите държави, участващи в програмата, като особено ще се наблегне върху структурираната съвместна работа въз основа на проекти, която дава възможност за дълбоки и цялостни форми на сътрудничество между участващите </w:t>
      </w:r>
      <w:r>
        <w:rPr>
          <w:noProof/>
        </w:rPr>
        <w:lastRenderedPageBreak/>
        <w:t>държави. По този начин ще бъде прокаран пътят за по-нататъшното развитие на митническия съюз. Чрез втората група дейности ще се даде възможност по програмата да бъдат финансирани взаимосвързаните митнически ИТ системи, в т.ч. цифровизацията на взаимодействията между търговците и митниците, както и подсилено управление на риска. Това ще позволи на митническите администрации в Съюза да се превърнат в изцяло „електронни“ администрации и ще бъде в подкрепа на решимостта на Комисията „Фон дер Лайен“ да изведе митническия съюз на следващото равнище.</w:t>
      </w:r>
    </w:p>
    <w:p>
      <w:pPr>
        <w:pStyle w:val="ManualHeading1"/>
        <w:rPr>
          <w:noProof/>
        </w:rPr>
      </w:pPr>
      <w:r>
        <w:rPr>
          <w:noProof/>
        </w:rPr>
        <w:t>3.</w:t>
      </w:r>
      <w:r>
        <w:rPr>
          <w:noProof/>
        </w:rPr>
        <w:tab/>
        <w:t>Коментари относно позицията на Съвета</w:t>
      </w:r>
    </w:p>
    <w:p>
      <w:pPr>
        <w:widowControl w:val="0"/>
        <w:rPr>
          <w:noProof/>
        </w:rPr>
      </w:pPr>
      <w:r>
        <w:rPr>
          <w:noProof/>
        </w:rPr>
        <w:t>Позицията на Съвета, приета на първо четене, отразява изцяло споразумението, постигнато на тристранната среща между Европейския парламент, Съвета и Комисията, приключила на 15 декември 2020 г. Сред основните точки на споразумението са следните:</w:t>
      </w:r>
    </w:p>
    <w:p>
      <w:pPr>
        <w:pStyle w:val="Tiret0"/>
        <w:numPr>
          <w:ilvl w:val="0"/>
          <w:numId w:val="9"/>
        </w:numPr>
        <w:rPr>
          <w:noProof/>
        </w:rPr>
      </w:pPr>
      <w:r>
        <w:rPr>
          <w:noProof/>
        </w:rPr>
        <w:t>приемане на работната програма чрез акт за изпълнение, като се добавят редица елементи, които да бъдат включени в нея. Повечето от тези елементи вече са задължителни в съответствие с Регламент (ЕС, Евратом) № 2018/1046 на Европейския парламент и на Съвета от 18 юли 2018 г. за финансовите правила, приложими за общия бюджет на Съюза</w:t>
      </w:r>
      <w:r>
        <w:rPr>
          <w:rStyle w:val="FootnoteReference"/>
          <w:noProof/>
        </w:rPr>
        <w:footnoteReference w:id="1"/>
      </w:r>
      <w:r>
        <w:rPr>
          <w:noProof/>
        </w:rPr>
        <w:t>;</w:t>
      </w:r>
    </w:p>
    <w:p>
      <w:pPr>
        <w:pStyle w:val="Tiret0"/>
        <w:rPr>
          <w:noProof/>
        </w:rPr>
      </w:pPr>
      <w:r>
        <w:rPr>
          <w:noProof/>
        </w:rPr>
        <w:t>заличаване от текста на Регламента на всички позовавания на Многогодишния стратегически план за митниците (МГСП-М), без да се отменя Решение № 70/2008/ЕО на Европейския парламент и на Съвета от 15 януари 2008 г. относно безкнижна среда в митниците и търговията (предишното Решение за електронните митници);</w:t>
      </w:r>
    </w:p>
    <w:p>
      <w:pPr>
        <w:pStyle w:val="Tiret0"/>
        <w:rPr>
          <w:noProof/>
        </w:rPr>
      </w:pPr>
      <w:r>
        <w:rPr>
          <w:noProof/>
        </w:rPr>
        <w:t>ново задължение за Комисията да публикува и редовно да актуализира ориентировъчен списък на европейските електронни системи, финансирани по програмата;</w:t>
      </w:r>
    </w:p>
    <w:p>
      <w:pPr>
        <w:pStyle w:val="Tiret0"/>
        <w:rPr>
          <w:noProof/>
        </w:rPr>
      </w:pPr>
      <w:r>
        <w:rPr>
          <w:noProof/>
        </w:rPr>
        <w:t>доклад, който да бъде изготвен от Комисията във връзка с делегирането на правомощия;</w:t>
      </w:r>
    </w:p>
    <w:p>
      <w:pPr>
        <w:pStyle w:val="Tiret0"/>
        <w:rPr>
          <w:noProof/>
        </w:rPr>
      </w:pPr>
      <w:r>
        <w:rPr>
          <w:noProof/>
        </w:rPr>
        <w:t>продължителността на програмата е от 1 януари 2021 г. до 31 декември 2027 г.;</w:t>
      </w:r>
    </w:p>
    <w:p>
      <w:pPr>
        <w:pStyle w:val="Tiret0"/>
        <w:rPr>
          <w:noProof/>
        </w:rPr>
      </w:pPr>
      <w:r>
        <w:rPr>
          <w:noProof/>
        </w:rPr>
        <w:t>Регламентът влиза в сила в деня на публикуването му и се прилага от 1 януари 2021 г.</w:t>
      </w:r>
    </w:p>
    <w:p>
      <w:pPr>
        <w:tabs>
          <w:tab w:val="left" w:pos="567"/>
        </w:tabs>
        <w:spacing w:before="100" w:beforeAutospacing="1" w:after="100" w:afterAutospacing="1"/>
        <w:ind w:left="567"/>
        <w:rPr>
          <w:noProof/>
        </w:rPr>
      </w:pPr>
      <w:r>
        <w:rPr>
          <w:noProof/>
        </w:rPr>
        <w:t>Комисията подкрепя споразумението, постигнато на тристранната среща, което проправя пътя за бързо приемане на новата програма. Програмата ще спомогне за изграждането на съвременен митнически съюз, в основата на който са интересите на предприятията и гражданите. Комисията изразява отново своята загриженост във връзка със заличаването на член 12 и липсата на отмяна на Решение № 70/2008/ЕО. Ето защо тя прави посоченото в точка 5 по-долу изявление по този въпрос, което да придружи окончателното приемане:</w:t>
      </w:r>
    </w:p>
    <w:p>
      <w:pPr>
        <w:pStyle w:val="ManualHeading1"/>
        <w:rPr>
          <w:noProof/>
        </w:rPr>
      </w:pPr>
      <w:r>
        <w:rPr>
          <w:noProof/>
        </w:rPr>
        <w:t>4.</w:t>
      </w:r>
      <w:r>
        <w:rPr>
          <w:noProof/>
        </w:rPr>
        <w:tab/>
        <w:t>Заключение</w:t>
      </w:r>
    </w:p>
    <w:p>
      <w:pPr>
        <w:rPr>
          <w:noProof/>
        </w:rPr>
      </w:pPr>
      <w:r>
        <w:rPr>
          <w:noProof/>
        </w:rPr>
        <w:t>Комисията приема позицията на Съвета, която напълно отразява споразумението, постигнато от съзаконодателите на 15 декември 2020 г.</w:t>
      </w:r>
    </w:p>
    <w:p>
      <w:pPr>
        <w:pStyle w:val="ManualHeading1"/>
        <w:rPr>
          <w:noProof/>
        </w:rPr>
      </w:pPr>
      <w:r>
        <w:rPr>
          <w:noProof/>
        </w:rPr>
        <w:lastRenderedPageBreak/>
        <w:t>5.</w:t>
      </w:r>
      <w:r>
        <w:rPr>
          <w:noProof/>
        </w:rPr>
        <w:tab/>
        <w:t>Приложение: Изявление на Комисията</w:t>
      </w:r>
    </w:p>
    <w:p>
      <w:pPr>
        <w:keepNext/>
        <w:tabs>
          <w:tab w:val="left" w:pos="567"/>
        </w:tabs>
        <w:spacing w:before="100" w:beforeAutospacing="1" w:after="100" w:afterAutospacing="1"/>
        <w:rPr>
          <w:noProof/>
        </w:rPr>
      </w:pPr>
      <w:r>
        <w:rPr>
          <w:noProof/>
        </w:rPr>
        <w:t>„В своето предложение за Регламент на Европейския парламент и на Съвета за създаване на програма „Митници“ за сътрудничество в областта на митниците Комисията предложи да се замени и отмени Решение № 70/2008/ЕО на Европейския парламент и на Съвета от 15 януари 2008 г. относно безкнижна среда в митниците и търговията (предишното Решение за електронните митници). Решение № 70/2008/ЕО служи като правно основание за Многогодишния стратегически план за митниците (МГСП-М). Комисията предложи това правно основание да се съдържа в член 12 от Регламента вместо в Решение № 70/2008/ЕО. В името на компромиса Комисията не възразява срещу заличаването на позоваванията на МГСП-М от Регламента и срещу липсата на отмяна на Решение № 70/2008/ЕО. Комисията изразява съжаление, че по този начин тя не може да изпълни изцяло своите ангажиментите по програмата за по-добро регулиране.“</w:t>
      </w:r>
    </w:p>
    <w:p>
      <w:pPr>
        <w:tabs>
          <w:tab w:val="left" w:pos="567"/>
        </w:tabs>
        <w:spacing w:before="100" w:beforeAutospacing="1" w:after="100" w:afterAutospacing="1"/>
        <w:rPr>
          <w:noProof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ОВ L 193, 30.7.2018 г., стр. 1.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3028C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503C8B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6C1AA95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4E263A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5F447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E1699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48E86DA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25B8692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18"/>
    <w:lvlOverride w:ilvl="0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3-01 10:29:3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8BB1F5F6-AA4C-467C-AA2F-DA4AEBE3A66C"/>
    <w:docVar w:name="LW_COVERPAGE_TYPE" w:val="1"/>
    <w:docVar w:name="LW_CROSSREFERENCE" w:val="&lt;UNUSED&gt;"/>
    <w:docVar w:name="LW_DocType" w:val="COM"/>
    <w:docVar w:name="LW_EMISSION" w:val="2.3.2021"/>
    <w:docVar w:name="LW_EMISSION_ISODATE" w:val="2021-03-02"/>
    <w:docVar w:name="LW_EMISSION_LOCATION" w:val="BRX"/>
    <w:docVar w:name="LW_EMISSION_PREFIX" w:val="\u1041?\u1088?\u1102?\u1082?\u1089?\u1077?\u1083?, "/>
    <w:docVar w:name="LW_EMISSION_SUFFIX" w:val=" \u1075?."/>
    <w:docVar w:name="LW_ID_DOCMODEL" w:val="SJ-028"/>
    <w:docVar w:name="LW_ID_DOCSTRUCTURE" w:val="COM/PL/CODEC"/>
    <w:docVar w:name="LW_ID_DOCTYPE" w:val="SJ-028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COD"/>
    <w:docVar w:name="LW_REF.II.NEW.CP_NUMBER" w:val="0232"/>
    <w:docVar w:name="LW_REF.II.NEW.CP_YEAR" w:val="2018"/>
    <w:docVar w:name="LW_REF.INST.NEW" w:val="COM"/>
    <w:docVar w:name="LW_REF.INST.NEW_ADOPTED" w:val="final"/>
    <w:docVar w:name="LW_REF.INST.NEW_TEXT" w:val="(2021) 99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ITRE.OBJ.CP" w:val="\u1087?\u1086?\u1079?\u1080?\u1094?\u1080?\u1103?\u1090?\u1072? \u1085?\u1072? \u1057?\u1098?\u1074?\u1077?\u1090?\u1072? \u1074?\u1098?\u1074? \u1074?\u1088?\u1098?\u1079?\u1082?\u1072? \u1089? \u1087?\u1088?\u1080?\u1077?\u1084?\u1072?\u1085?\u1077?\u1090?\u1086? \u1085?\u1072? \u1056?\u1077?\u1075?\u1083?\u1072?\u1084?\u1077?\u1085?\u1090? \u1079?\u1072? \u1089?\u1098?\u1079?\u1076?\u1072?\u1074?\u1072?\u1085?\u1077? \u1085?\u1072? \u1087?\u1088?\u1086?\u1075?\u1088?\u1072?\u1084?\u1072? \u8222?\u1052?\u1080?\u1090?\u1085?\u1080?\u1094?\u1080?\u8220? \u1079?\u1072? \u1089?\u1098?\u1090?\u1088?\u1091?\u1076?\u1085?\u1080?\u1095?\u1077?\u1089?\u1090?\u1074?\u1086? \u1074? \u1086?\u1073?\u1083?\u1072?\u1089?\u1090?\u1090?\u1072? \u1085?\u1072? \u1084?\u1080?\u1090?\u1085?\u1080?\u1094?\u1080?\u1090?\u1077?"/>
    <w:docVar w:name="LW_TYPE.DOC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_x000b__x000b_\u1089?\u1098?\u1075?\u1083?\u1072?\u1089?\u1085?\u1086? \u1095?\u1083?\u1077?\u1085? 294, \u1087?\u1072?\u1088?\u1072?\u1075?\u1088?\u1072?\u1092? 6 \u1086?\u1090? \u1044?\u1086?\u1075?\u1086?\u1074?\u1086?\u1088?\u1072? \u1079?\u1072? \u1092?\u1091?\u1085?\u1082?\u1094?\u1080?\u1086?\u1085?\u1080?\u1088?\u1072?\u1085?\u1077?\u1090?\u1086? \u1085?\u1072? \u1045?\u1074?\u1088?\u1086?\u1087?\u1077?\u1081?\u1089?\u1082?\u1080?\u1103? \u1089?\u1098?\u1102?\u1079?_x000b__x000b_\u1086?\u1090?\u1085?\u1086?\u1089?\u1085?\u1086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4</Pages>
  <Words>845</Words>
  <Characters>4868</Characters>
  <Application>Microsoft Office Word</Application>
  <DocSecurity>0</DocSecurity>
  <Lines>101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WES PDFC Administrator</cp:lastModifiedBy>
  <cp:revision>18</cp:revision>
  <dcterms:created xsi:type="dcterms:W3CDTF">2021-02-26T13:53:00Z</dcterms:created>
  <dcterms:modified xsi:type="dcterms:W3CDTF">2021-03-01T09:29:00Z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COM/PL/CODEC</vt:lpwstr>
  </property>
  <property fmtid="{D5CDD505-2E9C-101B-9397-08002B2CF9AE}" pid="3" name="Version">
    <vt:lpwstr>7.0.9.0</vt:lpwstr>
  </property>
  <property fmtid="{D5CDD505-2E9C-101B-9397-08002B2CF9AE}" pid="4" name="Last edited using">
    <vt:lpwstr>LW 7.0.1, Build 20190916</vt:lpwstr>
  </property>
  <property fmtid="{D5CDD505-2E9C-101B-9397-08002B2CF9AE}" pid="5" name="Created using">
    <vt:lpwstr>LW 7.0.1, Build 20190916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SJ-028</vt:lpwstr>
  </property>
  <property fmtid="{D5CDD505-2E9C-101B-9397-08002B2CF9AE}" pid="10" name="DQCStatus">
    <vt:lpwstr>Green (DQC version 03)</vt:lpwstr>
  </property>
</Properties>
</file>